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30" w:rsidRDefault="009156ED">
      <w:pPr>
        <w:spacing w:after="617" w:line="259" w:lineRule="auto"/>
        <w:ind w:left="77" w:right="0" w:firstLine="0"/>
        <w:jc w:val="left"/>
      </w:pPr>
      <w:r>
        <w:rPr>
          <w:sz w:val="20"/>
        </w:rPr>
        <w:t>1 RK 7/2004</w:t>
      </w:r>
    </w:p>
    <w:p w:rsidR="00371F30" w:rsidRDefault="009156ED">
      <w:pPr>
        <w:pStyle w:val="Nadpis1"/>
      </w:pPr>
      <w:r>
        <w:t>Smlouva</w:t>
      </w:r>
    </w:p>
    <w:p w:rsidR="00371F30" w:rsidRDefault="009156ED">
      <w:pPr>
        <w:spacing w:after="799" w:line="250" w:lineRule="auto"/>
        <w:ind w:left="816" w:hanging="10"/>
        <w:jc w:val="center"/>
      </w:pPr>
      <w:r>
        <w:t xml:space="preserve">o nájmu nebytových prostor, </w:t>
      </w:r>
      <w:proofErr w:type="gramStart"/>
      <w:r>
        <w:t>kterou</w:t>
      </w:r>
      <w:proofErr w:type="gramEnd"/>
      <w:r>
        <w:t xml:space="preserve"> v souladu se zákonem 116/1990 Sb., o nájmu a podnájmu nebytových prostor, uzavírají</w:t>
      </w:r>
    </w:p>
    <w:p w:rsidR="00371F30" w:rsidRDefault="009156ED">
      <w:pPr>
        <w:tabs>
          <w:tab w:val="center" w:pos="2985"/>
        </w:tabs>
        <w:spacing w:after="0" w:line="265" w:lineRule="auto"/>
        <w:ind w:left="-15" w:right="0" w:firstLine="0"/>
        <w:jc w:val="left"/>
      </w:pPr>
      <w:r>
        <w:rPr>
          <w:sz w:val="26"/>
        </w:rPr>
        <w:t>Majitel:</w:t>
      </w:r>
      <w:r>
        <w:rPr>
          <w:sz w:val="26"/>
        </w:rPr>
        <w:tab/>
        <w:t>BYTY Třinec, a.s.</w:t>
      </w:r>
    </w:p>
    <w:p w:rsidR="00371F30" w:rsidRDefault="009156ED">
      <w:pPr>
        <w:spacing w:after="61"/>
        <w:ind w:left="2092" w:right="643"/>
      </w:pPr>
      <w:r>
        <w:t>se sídlem Hradební 9, I IO OO Praha I zapsané ve vložce 7934 oddílu B, obchodního rejstříku vydaného Městským soudem v Praze</w:t>
      </w:r>
    </w:p>
    <w:p w:rsidR="00371F30" w:rsidRDefault="009156ED">
      <w:pPr>
        <w:tabs>
          <w:tab w:val="center" w:pos="2749"/>
          <w:tab w:val="center" w:pos="5005"/>
        </w:tabs>
        <w:spacing w:after="49"/>
        <w:ind w:left="0" w:right="0" w:firstLine="0"/>
        <w:jc w:val="left"/>
      </w:pPr>
      <w:r>
        <w:tab/>
        <w:t>IČ 26733439</w:t>
      </w:r>
      <w:r>
        <w:tab/>
        <w:t>DIČ 00126733439</w:t>
      </w:r>
    </w:p>
    <w:p w:rsidR="00371F30" w:rsidRDefault="009156ED">
      <w:pPr>
        <w:spacing w:after="32"/>
        <w:ind w:left="2092" w:right="4"/>
      </w:pPr>
      <w:r>
        <w:t>Bankovní spojení: Komerční banka, a.s. expozitura Praha</w:t>
      </w:r>
    </w:p>
    <w:p w:rsidR="00371F30" w:rsidRDefault="009156ED">
      <w:pPr>
        <w:spacing w:after="549"/>
        <w:ind w:left="2092" w:right="4"/>
      </w:pPr>
      <w:r>
        <w:t xml:space="preserve">č. účtu: </w:t>
      </w:r>
    </w:p>
    <w:p w:rsidR="00371F30" w:rsidRDefault="009156ED">
      <w:pPr>
        <w:spacing w:after="560"/>
        <w:ind w:left="23" w:right="4"/>
      </w:pPr>
      <w:r>
        <w:t>zastoupené na základě plné moci</w:t>
      </w:r>
    </w:p>
    <w:p w:rsidR="00371F30" w:rsidRDefault="009156ED">
      <w:pPr>
        <w:spacing w:after="75"/>
        <w:ind w:left="2092" w:right="643"/>
      </w:pPr>
      <w:r>
        <w:t>1. realitní kanceláři v Třinci, s.r.o., se sídlem Komenského 812, 739 61 Třinec zapsané ve vložce 4176 oddílu C, obchodního rejstříku vydaného Krajským obchodním soudem v Ostravě</w:t>
      </w:r>
    </w:p>
    <w:p w:rsidR="00371F30" w:rsidRDefault="009156ED">
      <w:pPr>
        <w:tabs>
          <w:tab w:val="center" w:pos="2749"/>
          <w:tab w:val="center" w:pos="5072"/>
        </w:tabs>
        <w:spacing w:after="42"/>
        <w:ind w:left="0" w:right="0" w:firstLine="0"/>
        <w:jc w:val="left"/>
      </w:pPr>
      <w:r>
        <w:tab/>
        <w:t>IČ 47679646</w:t>
      </w:r>
      <w:r>
        <w:tab/>
        <w:t>DIČ 364-47679646</w:t>
      </w:r>
    </w:p>
    <w:p w:rsidR="00371F30" w:rsidRDefault="009156ED">
      <w:pPr>
        <w:spacing w:after="34"/>
        <w:ind w:left="2092" w:right="4"/>
      </w:pPr>
      <w:r>
        <w:t>Bankovní spojení: Komerční banka, a.s. expozitura Třinec</w:t>
      </w:r>
    </w:p>
    <w:p w:rsidR="00371F30" w:rsidRDefault="009156ED">
      <w:pPr>
        <w:spacing w:after="570"/>
        <w:ind w:left="2092" w:right="4"/>
      </w:pPr>
      <w:r>
        <w:t xml:space="preserve">č. účtu: </w:t>
      </w:r>
    </w:p>
    <w:p w:rsidR="00371F30" w:rsidRDefault="009156ED">
      <w:pPr>
        <w:pStyle w:val="Nadpis2"/>
        <w:spacing w:after="483"/>
        <w:ind w:left="58"/>
      </w:pPr>
      <w:r>
        <w:t>dále jen „Majitel”</w:t>
      </w:r>
    </w:p>
    <w:p w:rsidR="00371F30" w:rsidRDefault="009156ED">
      <w:pPr>
        <w:spacing w:after="0" w:line="278" w:lineRule="auto"/>
        <w:ind w:left="2067" w:right="2322" w:hanging="2044"/>
      </w:pPr>
      <w:r>
        <w:t>Provozovatel: Jubilejní Masarykova základní škola Třinec se sídlem U Splavu 550, 739 61 Třinec IČ 70640009 DIČ 364-70640009</w:t>
      </w:r>
    </w:p>
    <w:p w:rsidR="00371F30" w:rsidRDefault="009156ED">
      <w:pPr>
        <w:spacing w:after="32"/>
        <w:ind w:left="2073" w:right="4"/>
      </w:pPr>
      <w:r>
        <w:t>Bankovní spojení: Komerční banka, a.s. expozitura Třinec</w:t>
      </w:r>
    </w:p>
    <w:p w:rsidR="00371F30" w:rsidRDefault="009156ED">
      <w:pPr>
        <w:spacing w:after="498" w:line="265" w:lineRule="auto"/>
        <w:ind w:left="2093" w:right="81" w:hanging="10"/>
      </w:pPr>
      <w:r>
        <w:rPr>
          <w:sz w:val="22"/>
        </w:rPr>
        <w:t xml:space="preserve">č. účtu: </w:t>
      </w:r>
      <w:bookmarkStart w:id="0" w:name="_GoBack"/>
      <w:bookmarkEnd w:id="0"/>
    </w:p>
    <w:p w:rsidR="00371F30" w:rsidRDefault="009156ED">
      <w:pPr>
        <w:spacing w:after="474" w:line="250" w:lineRule="auto"/>
        <w:ind w:left="816" w:right="768" w:hanging="10"/>
        <w:jc w:val="center"/>
      </w:pPr>
      <w:r>
        <w:t>dále jen „Provozovatel”</w:t>
      </w:r>
    </w:p>
    <w:p w:rsidR="00371F30" w:rsidRDefault="009156ED">
      <w:pPr>
        <w:spacing w:after="9" w:line="250" w:lineRule="auto"/>
        <w:ind w:left="816" w:right="768" w:hanging="10"/>
        <w:jc w:val="center"/>
      </w:pPr>
      <w:r>
        <w:t>1.</w:t>
      </w:r>
    </w:p>
    <w:p w:rsidR="00371F30" w:rsidRDefault="009156ED">
      <w:pPr>
        <w:spacing w:after="244" w:line="250" w:lineRule="auto"/>
        <w:ind w:left="816" w:right="768" w:hanging="10"/>
        <w:jc w:val="center"/>
      </w:pPr>
      <w:r>
        <w:t>Předmět a účel nájmu</w:t>
      </w:r>
    </w:p>
    <w:p w:rsidR="00371F30" w:rsidRDefault="009156ED">
      <w:pPr>
        <w:ind w:left="23" w:right="4"/>
      </w:pPr>
      <w:r>
        <w:lastRenderedPageBreak/>
        <w:t xml:space="preserve">LI. Majitel je výlučným vlastníkem domu čp. 349, Nový Borek v Třinci. Nacházející se na pozemku </w:t>
      </w:r>
      <w:proofErr w:type="spellStart"/>
      <w:r>
        <w:t>parc</w:t>
      </w:r>
      <w:proofErr w:type="spellEnd"/>
      <w:r>
        <w:t xml:space="preserve">. č. 2590 — </w:t>
      </w:r>
      <w:proofErr w:type="spellStart"/>
      <w:r>
        <w:t>zast</w:t>
      </w:r>
      <w:proofErr w:type="spellEnd"/>
      <w:r>
        <w:t xml:space="preserve">. Plocha,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Třinec a obci Třinec zapsaného na LV č. 3246 (dále jen „Dům”).</w:t>
      </w:r>
    </w:p>
    <w:p w:rsidR="00371F30" w:rsidRDefault="009156ED">
      <w:pPr>
        <w:spacing w:after="793"/>
        <w:ind w:left="23" w:right="4"/>
      </w:pPr>
      <w:r>
        <w:t xml:space="preserve">1.2. Touto smlouvou (dále jen „Smlouva”) Majitel přenechává Provozovateli do nájmu nebytové prostory nacházející se v I. nadzemním podlaží Domu, o celkové výměře </w:t>
      </w:r>
      <w:proofErr w:type="gramStart"/>
      <w:r>
        <w:t>421 ,60</w:t>
      </w:r>
      <w:proofErr w:type="gramEnd"/>
      <w:r>
        <w:t xml:space="preserve"> m</w:t>
      </w:r>
      <w:r>
        <w:rPr>
          <w:vertAlign w:val="superscript"/>
        </w:rPr>
        <w:t>2</w:t>
      </w:r>
      <w:r>
        <w:t>, za účelem zřízení a provozování mateřské školy</w:t>
      </w:r>
    </w:p>
    <w:p w:rsidR="00371F30" w:rsidRDefault="009156ED">
      <w:pPr>
        <w:spacing w:after="6" w:line="259" w:lineRule="auto"/>
        <w:ind w:left="0" w:right="0" w:firstLine="0"/>
        <w:jc w:val="center"/>
      </w:pPr>
      <w:r>
        <w:rPr>
          <w:sz w:val="22"/>
        </w:rPr>
        <w:t>11.</w:t>
      </w:r>
    </w:p>
    <w:p w:rsidR="00371F30" w:rsidRDefault="009156ED">
      <w:pPr>
        <w:spacing w:after="244" w:line="250" w:lineRule="auto"/>
        <w:ind w:left="816" w:right="816" w:hanging="10"/>
        <w:jc w:val="center"/>
      </w:pPr>
      <w:r>
        <w:t>Výše a splatnost nájemného a záloh na cenu energií a služeb</w:t>
      </w:r>
    </w:p>
    <w:p w:rsidR="00371F30" w:rsidRDefault="009156ED">
      <w:pPr>
        <w:spacing w:after="525"/>
        <w:ind w:left="23" w:right="4"/>
      </w:pPr>
      <w:proofErr w:type="gramStart"/>
      <w:r>
        <w:t>n.l.</w:t>
      </w:r>
      <w:proofErr w:type="gramEnd"/>
      <w:r>
        <w:t xml:space="preserve"> Strany Smlouvy se dohodly na následujícím nájemném, které je určeno dle pravidel pro výpočet nájemného z nebytových prostor platných u Majitele.</w:t>
      </w:r>
    </w:p>
    <w:p w:rsidR="00371F30" w:rsidRDefault="009156ED">
      <w:pPr>
        <w:spacing w:after="232" w:line="259" w:lineRule="auto"/>
        <w:ind w:left="5" w:right="0" w:hanging="10"/>
        <w:jc w:val="left"/>
      </w:pPr>
      <w:proofErr w:type="spellStart"/>
      <w:r>
        <w:rPr>
          <w:u w:val="single" w:color="000000"/>
        </w:rPr>
        <w:t>Ná</w:t>
      </w:r>
      <w:proofErr w:type="spellEnd"/>
      <w:r>
        <w:rPr>
          <w:u w:val="single" w:color="000000"/>
        </w:rPr>
        <w:t xml:space="preserve"> i </w:t>
      </w:r>
      <w:proofErr w:type="spellStart"/>
      <w:r>
        <w:rPr>
          <w:u w:val="single" w:color="000000"/>
        </w:rPr>
        <w:t>emné</w:t>
      </w:r>
      <w:proofErr w:type="spellEnd"/>
    </w:p>
    <w:p w:rsidR="00371F30" w:rsidRDefault="009156ED">
      <w:pPr>
        <w:ind w:left="23" w:right="4"/>
      </w:pPr>
      <w:r>
        <w:t>Místnosti:</w:t>
      </w:r>
    </w:p>
    <w:p w:rsidR="00371F30" w:rsidRDefault="00371F30">
      <w:pPr>
        <w:sectPr w:rsidR="00371F30">
          <w:footerReference w:type="even" r:id="rId7"/>
          <w:footerReference w:type="default" r:id="rId8"/>
          <w:footerReference w:type="first" r:id="rId9"/>
          <w:pgSz w:w="11900" w:h="16840"/>
          <w:pgMar w:top="1549" w:right="1420" w:bottom="1963" w:left="1747" w:header="708" w:footer="1181" w:gutter="0"/>
          <w:cols w:space="708"/>
        </w:sectPr>
      </w:pPr>
    </w:p>
    <w:tbl>
      <w:tblPr>
        <w:tblStyle w:val="TableGrid"/>
        <w:tblW w:w="2697" w:type="dxa"/>
        <w:tblInd w:w="29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035"/>
        <w:gridCol w:w="662"/>
      </w:tblGrid>
      <w:tr w:rsidR="00371F30">
        <w:trPr>
          <w:trHeight w:val="24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29" w:right="0" w:firstLine="0"/>
              <w:jc w:val="left"/>
            </w:pPr>
            <w:r>
              <w:lastRenderedPageBreak/>
              <w:t>- ložnice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38" w:right="0" w:firstLine="0"/>
            </w:pPr>
            <w:r>
              <w:rPr>
                <w:sz w:val="22"/>
              </w:rPr>
              <w:t xml:space="preserve">o </w:t>
            </w:r>
            <w:proofErr w:type="spellStart"/>
            <w:r>
              <w:rPr>
                <w:sz w:val="22"/>
              </w:rPr>
              <w:t>vým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371F30">
        <w:trPr>
          <w:trHeight w:val="26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38" w:right="0" w:firstLine="0"/>
              <w:jc w:val="left"/>
            </w:pPr>
            <w:r>
              <w:t>- ředitelna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38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6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38" w:right="0" w:firstLine="0"/>
              <w:jc w:val="left"/>
            </w:pPr>
            <w:r>
              <w:t>- ložnice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 xml:space="preserve">o </w:t>
            </w:r>
            <w:proofErr w:type="spellStart"/>
            <w:r>
              <w:rPr>
                <w:sz w:val="22"/>
              </w:rPr>
              <w:t>vým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371F30">
        <w:trPr>
          <w:trHeight w:val="26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29" w:right="0" w:firstLine="0"/>
              <w:jc w:val="left"/>
            </w:pPr>
            <w:r>
              <w:t>- jídelna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29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6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- kuchyň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29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6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6"/>
              </w:rPr>
              <w:t>- sklad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29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7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9" w:right="0" w:firstLine="0"/>
              <w:jc w:val="left"/>
            </w:pPr>
            <w:r>
              <w:t>- sborovna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9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6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9" w:right="0" w:firstLine="0"/>
              <w:jc w:val="left"/>
            </w:pPr>
            <w:r>
              <w:t>- šatna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9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6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9" w:right="0" w:firstLine="0"/>
              <w:jc w:val="left"/>
            </w:pPr>
            <w:r>
              <w:t>- pracovna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9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5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9" w:right="0" w:firstLine="0"/>
              <w:jc w:val="left"/>
            </w:pPr>
            <w:r>
              <w:t>- herna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9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70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- umyvárna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0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5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proofErr w:type="spellStart"/>
            <w:r>
              <w:t>WC+chodba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0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7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0" w:right="0" w:firstLine="0"/>
              <w:jc w:val="left"/>
            </w:pPr>
            <w:r>
              <w:t>- herna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0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7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0" w:right="0" w:firstLine="0"/>
              <w:jc w:val="left"/>
            </w:pPr>
            <w:r>
              <w:t>- pracovna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0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5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0" w:right="0" w:firstLine="0"/>
              <w:jc w:val="left"/>
            </w:pPr>
            <w:r>
              <w:t>- chodba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0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70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0" w:right="0" w:firstLine="0"/>
              <w:jc w:val="left"/>
            </w:pPr>
            <w:r>
              <w:t>- sklep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10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  <w:tr w:rsidR="00371F30">
        <w:trPr>
          <w:trHeight w:val="24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- boční vstup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71F30" w:rsidRDefault="009156ED">
            <w:pPr>
              <w:spacing w:after="0" w:line="259" w:lineRule="auto"/>
              <w:ind w:left="0" w:right="0" w:firstLine="0"/>
            </w:pPr>
            <w:r>
              <w:t xml:space="preserve">o </w:t>
            </w:r>
            <w:proofErr w:type="spellStart"/>
            <w:r>
              <w:t>vým</w:t>
            </w:r>
            <w:proofErr w:type="spellEnd"/>
            <w:r>
              <w:t>.</w:t>
            </w:r>
          </w:p>
        </w:tc>
      </w:tr>
    </w:tbl>
    <w:p w:rsidR="00371F30" w:rsidRDefault="009156ED">
      <w:pPr>
        <w:spacing w:after="549"/>
        <w:ind w:left="23" w:right="4"/>
      </w:pPr>
      <w:r>
        <w:t>Podlahová plocha celkem</w:t>
      </w:r>
    </w:p>
    <w:p w:rsidR="00371F30" w:rsidRDefault="009156ED">
      <w:pPr>
        <w:spacing w:after="537"/>
        <w:ind w:left="23" w:right="4"/>
      </w:pPr>
      <w:r>
        <w:lastRenderedPageBreak/>
        <w:t>Roční nájemné činí celkem</w:t>
      </w:r>
    </w:p>
    <w:p w:rsidR="00371F30" w:rsidRDefault="009156ED">
      <w:pPr>
        <w:spacing w:after="232" w:line="259" w:lineRule="auto"/>
        <w:ind w:left="5" w:right="0" w:hanging="10"/>
        <w:jc w:val="left"/>
      </w:pPr>
      <w:proofErr w:type="spellStart"/>
      <w:r>
        <w:rPr>
          <w:u w:val="single" w:color="000000"/>
        </w:rPr>
        <w:t>Službv</w:t>
      </w:r>
      <w:proofErr w:type="spellEnd"/>
      <w:r>
        <w:rPr>
          <w:u w:val="single" w:color="000000"/>
        </w:rPr>
        <w:t>:</w:t>
      </w:r>
    </w:p>
    <w:p w:rsidR="00371F30" w:rsidRDefault="009156ED">
      <w:pPr>
        <w:spacing w:after="7" w:line="265" w:lineRule="auto"/>
        <w:ind w:left="53" w:right="81" w:hanging="10"/>
      </w:pPr>
      <w:r>
        <w:rPr>
          <w:sz w:val="22"/>
        </w:rPr>
        <w:t>- záloha na ústřední topení</w:t>
      </w:r>
    </w:p>
    <w:p w:rsidR="00371F30" w:rsidRDefault="009156ED">
      <w:pPr>
        <w:spacing w:after="0" w:line="259" w:lineRule="auto"/>
        <w:ind w:left="801" w:right="0" w:hanging="10"/>
        <w:jc w:val="left"/>
      </w:pPr>
      <w:r>
        <w:rPr>
          <w:sz w:val="20"/>
          <w:vertAlign w:val="superscript"/>
        </w:rPr>
        <w:t>2</w:t>
      </w:r>
    </w:p>
    <w:p w:rsidR="00371F30" w:rsidRDefault="009156ED">
      <w:pPr>
        <w:spacing w:after="34"/>
        <w:ind w:left="23" w:right="4"/>
      </w:pPr>
      <w:r>
        <w:t>20,50 m</w:t>
      </w:r>
    </w:p>
    <w:p w:rsidR="00371F30" w:rsidRDefault="009156ED">
      <w:pPr>
        <w:spacing w:after="71"/>
        <w:ind w:left="23" w:right="4"/>
      </w:pPr>
      <w:r>
        <w:t>20,70 m</w:t>
      </w:r>
      <w:r>
        <w:rPr>
          <w:vertAlign w:val="superscript"/>
        </w:rPr>
        <w:t>2</w:t>
      </w:r>
    </w:p>
    <w:p w:rsidR="00371F30" w:rsidRDefault="009156ED">
      <w:pPr>
        <w:spacing w:after="119" w:line="259" w:lineRule="auto"/>
        <w:ind w:left="53" w:right="0" w:hanging="10"/>
        <w:jc w:val="left"/>
      </w:pPr>
      <w:r>
        <w:rPr>
          <w:rFonts w:ascii="Courier New" w:eastAsia="Courier New" w:hAnsi="Courier New" w:cs="Courier New"/>
          <w:sz w:val="18"/>
        </w:rPr>
        <w:t>20,70 rn</w:t>
      </w:r>
      <w:r>
        <w:rPr>
          <w:rFonts w:ascii="Courier New" w:eastAsia="Courier New" w:hAnsi="Courier New" w:cs="Courier New"/>
          <w:sz w:val="18"/>
          <w:vertAlign w:val="superscript"/>
        </w:rPr>
        <w:t>2</w:t>
      </w:r>
    </w:p>
    <w:p w:rsidR="00371F30" w:rsidRDefault="009156ED">
      <w:pPr>
        <w:spacing w:after="76"/>
        <w:ind w:left="23" w:right="4"/>
      </w:pPr>
      <w:r>
        <w:t>42,80 m</w:t>
      </w:r>
      <w:r>
        <w:rPr>
          <w:vertAlign w:val="superscript"/>
        </w:rPr>
        <w:t>2</w:t>
      </w:r>
    </w:p>
    <w:p w:rsidR="00371F30" w:rsidRDefault="009156ED">
      <w:pPr>
        <w:spacing w:after="79"/>
        <w:ind w:left="23" w:right="4"/>
      </w:pPr>
      <w:r>
        <w:t>20,50 m</w:t>
      </w:r>
      <w:r>
        <w:rPr>
          <w:vertAlign w:val="superscript"/>
        </w:rPr>
        <w:t>2</w:t>
      </w:r>
    </w:p>
    <w:p w:rsidR="00371F30" w:rsidRDefault="009156ED">
      <w:pPr>
        <w:spacing w:after="50" w:line="259" w:lineRule="auto"/>
        <w:ind w:left="183" w:right="0" w:hanging="10"/>
        <w:jc w:val="left"/>
      </w:pPr>
      <w:r>
        <w:rPr>
          <w:sz w:val="22"/>
        </w:rPr>
        <w:t>5,00 m</w:t>
      </w:r>
      <w:r>
        <w:rPr>
          <w:sz w:val="22"/>
          <w:vertAlign w:val="superscript"/>
        </w:rPr>
        <w:t>2</w:t>
      </w:r>
    </w:p>
    <w:p w:rsidR="00371F30" w:rsidRDefault="009156ED">
      <w:pPr>
        <w:spacing w:after="50" w:line="259" w:lineRule="auto"/>
        <w:ind w:left="62" w:right="0" w:hanging="10"/>
        <w:jc w:val="left"/>
      </w:pPr>
      <w:r>
        <w:rPr>
          <w:sz w:val="22"/>
        </w:rPr>
        <w:t>15,10 m</w:t>
      </w:r>
      <w:r>
        <w:rPr>
          <w:sz w:val="22"/>
          <w:vertAlign w:val="superscript"/>
        </w:rPr>
        <w:t>2</w:t>
      </w:r>
    </w:p>
    <w:p w:rsidR="00371F30" w:rsidRDefault="009156ED">
      <w:pPr>
        <w:spacing w:after="0" w:line="259" w:lineRule="auto"/>
        <w:ind w:left="24" w:right="0" w:hanging="10"/>
        <w:jc w:val="left"/>
      </w:pPr>
      <w:r>
        <w:t>20,70 m</w:t>
      </w:r>
      <w:r>
        <w:rPr>
          <w:vertAlign w:val="superscript"/>
        </w:rPr>
        <w:t>2</w:t>
      </w:r>
    </w:p>
    <w:p w:rsidR="00371F30" w:rsidRDefault="009156ED">
      <w:pPr>
        <w:spacing w:after="7" w:line="265" w:lineRule="auto"/>
        <w:ind w:left="53" w:right="81" w:hanging="10"/>
      </w:pPr>
      <w:r>
        <w:rPr>
          <w:sz w:val="22"/>
        </w:rPr>
        <w:t>20,70</w:t>
      </w:r>
    </w:p>
    <w:p w:rsidR="00371F30" w:rsidRDefault="009156ED">
      <w:pPr>
        <w:spacing w:after="75"/>
        <w:ind w:left="23" w:right="4"/>
      </w:pPr>
      <w:r>
        <w:t>43,90 rn</w:t>
      </w:r>
      <w:r>
        <w:rPr>
          <w:vertAlign w:val="superscript"/>
        </w:rPr>
        <w:t>2</w:t>
      </w:r>
    </w:p>
    <w:p w:rsidR="00371F30" w:rsidRDefault="009156ED">
      <w:pPr>
        <w:spacing w:after="27" w:line="259" w:lineRule="auto"/>
        <w:ind w:left="53" w:right="0" w:hanging="10"/>
        <w:jc w:val="left"/>
      </w:pPr>
      <w:r>
        <w:rPr>
          <w:rFonts w:ascii="Courier New" w:eastAsia="Courier New" w:hAnsi="Courier New" w:cs="Courier New"/>
          <w:sz w:val="18"/>
        </w:rPr>
        <w:t>12,50 m</w:t>
      </w:r>
      <w:r>
        <w:rPr>
          <w:rFonts w:ascii="Courier New" w:eastAsia="Courier New" w:hAnsi="Courier New" w:cs="Courier New"/>
          <w:sz w:val="18"/>
          <w:vertAlign w:val="superscript"/>
        </w:rPr>
        <w:t>2</w:t>
      </w:r>
    </w:p>
    <w:p w:rsidR="00371F30" w:rsidRDefault="009156ED">
      <w:pPr>
        <w:spacing w:after="7" w:line="265" w:lineRule="auto"/>
        <w:ind w:left="53" w:right="81" w:hanging="10"/>
      </w:pPr>
      <w:r>
        <w:rPr>
          <w:sz w:val="22"/>
        </w:rPr>
        <w:t>11,70</w:t>
      </w:r>
    </w:p>
    <w:p w:rsidR="00371F30" w:rsidRDefault="009156ED">
      <w:pPr>
        <w:spacing w:after="62"/>
        <w:ind w:left="23" w:right="4"/>
      </w:pPr>
      <w:r>
        <w:t>43,00 rn</w:t>
      </w:r>
      <w:r>
        <w:rPr>
          <w:vertAlign w:val="superscript"/>
        </w:rPr>
        <w:t>2</w:t>
      </w:r>
    </w:p>
    <w:p w:rsidR="00371F30" w:rsidRDefault="009156ED">
      <w:pPr>
        <w:spacing w:after="0" w:line="259" w:lineRule="auto"/>
        <w:ind w:left="24" w:right="0" w:hanging="10"/>
        <w:jc w:val="left"/>
      </w:pPr>
      <w:r>
        <w:t>20,90 m</w:t>
      </w:r>
      <w:r>
        <w:rPr>
          <w:vertAlign w:val="superscript"/>
        </w:rPr>
        <w:t>2</w:t>
      </w:r>
    </w:p>
    <w:p w:rsidR="00371F30" w:rsidRDefault="009156ED">
      <w:pPr>
        <w:spacing w:after="46"/>
        <w:ind w:left="23" w:right="4"/>
      </w:pPr>
      <w:r>
        <w:t>54,00 rn</w:t>
      </w:r>
      <w:r>
        <w:rPr>
          <w:vertAlign w:val="superscript"/>
        </w:rPr>
        <w:t>2</w:t>
      </w:r>
    </w:p>
    <w:p w:rsidR="00371F30" w:rsidRDefault="009156ED">
      <w:pPr>
        <w:spacing w:after="32"/>
        <w:ind w:left="23" w:right="4"/>
      </w:pPr>
      <w:r>
        <w:t>40,50</w:t>
      </w:r>
    </w:p>
    <w:p w:rsidR="00371F30" w:rsidRDefault="009156ED">
      <w:pPr>
        <w:spacing w:after="219"/>
        <w:ind w:left="144" w:right="4"/>
      </w:pPr>
      <w:r>
        <w:t>8,40 m</w:t>
      </w:r>
      <w:r>
        <w:rPr>
          <w:vertAlign w:val="superscript"/>
        </w:rPr>
        <w:t>2</w:t>
      </w:r>
    </w:p>
    <w:p w:rsidR="00371F30" w:rsidRDefault="009156ED">
      <w:pPr>
        <w:spacing w:after="0" w:line="259" w:lineRule="auto"/>
        <w:ind w:left="893" w:right="0" w:hanging="10"/>
        <w:jc w:val="left"/>
      </w:pPr>
      <w:r>
        <w:rPr>
          <w:sz w:val="20"/>
          <w:vertAlign w:val="superscript"/>
        </w:rPr>
        <w:t>2</w:t>
      </w:r>
    </w:p>
    <w:p w:rsidR="00371F30" w:rsidRDefault="009156ED">
      <w:pPr>
        <w:spacing w:after="550"/>
        <w:ind w:left="23" w:right="4"/>
      </w:pPr>
      <w:r>
        <w:lastRenderedPageBreak/>
        <w:t>421,60 m</w:t>
      </w:r>
    </w:p>
    <w:p w:rsidR="00371F30" w:rsidRDefault="009156ED">
      <w:pPr>
        <w:spacing w:after="1031" w:line="265" w:lineRule="auto"/>
        <w:ind w:left="-5" w:right="0" w:hanging="10"/>
        <w:jc w:val="left"/>
      </w:pPr>
      <w:r>
        <w:rPr>
          <w:sz w:val="26"/>
        </w:rPr>
        <w:t>40 000,- Kč</w:t>
      </w:r>
    </w:p>
    <w:p w:rsidR="00371F30" w:rsidRDefault="009156ED">
      <w:pPr>
        <w:tabs>
          <w:tab w:val="center" w:pos="2457"/>
          <w:tab w:val="right" w:pos="4472"/>
        </w:tabs>
        <w:spacing w:after="0" w:line="259" w:lineRule="auto"/>
        <w:ind w:left="0" w:right="0" w:firstLine="0"/>
        <w:jc w:val="left"/>
      </w:pPr>
      <w:r>
        <w:lastRenderedPageBreak/>
        <w:tab/>
        <w:t>čtvrtletně</w:t>
      </w:r>
      <w:r>
        <w:tab/>
        <w:t>27 000,- Kč</w:t>
      </w:r>
    </w:p>
    <w:p w:rsidR="00371F30" w:rsidRDefault="00371F30">
      <w:pPr>
        <w:sectPr w:rsidR="00371F30">
          <w:type w:val="continuous"/>
          <w:pgSz w:w="11900" w:h="16840"/>
          <w:pgMar w:top="1440" w:right="2342" w:bottom="1440" w:left="1679" w:header="708" w:footer="708" w:gutter="0"/>
          <w:cols w:num="2" w:space="708" w:equalWidth="0">
            <w:col w:w="2524" w:space="883"/>
            <w:col w:w="4472"/>
          </w:cols>
        </w:sectPr>
      </w:pPr>
    </w:p>
    <w:p w:rsidR="00371F30" w:rsidRDefault="009156ED">
      <w:pPr>
        <w:spacing w:after="556"/>
        <w:ind w:left="691" w:right="4"/>
      </w:pPr>
      <w:r>
        <w:lastRenderedPageBreak/>
        <w:t>Záloha na cenu služeb činí ročně 108 000,- Kč</w:t>
      </w:r>
    </w:p>
    <w:p w:rsidR="00371F30" w:rsidRDefault="009156ED">
      <w:pPr>
        <w:ind w:left="23" w:right="202"/>
      </w:pPr>
      <w:r>
        <w:t>11.2. Provozovatel se zavazuje platit shora uvedené roční nájemné, a to ve čtvrtletních splátkách po IO 000,- Kč, a čtvrtletní zálohy na cenu služeb ve výši 27 000,- Kč, tj. celkem čtvrtletně 37 000,- KČ, dle splátkového kalendáře, který je nedílnou součástí této nájemní smlouvy, na účet Majitele, vedený u Komerční banky, a.s., expozitura Praha, č. účtu 510121740267/0100, VS 349007.</w:t>
      </w:r>
    </w:p>
    <w:p w:rsidR="00371F30" w:rsidRDefault="009156ED">
      <w:pPr>
        <w:ind w:left="173" w:right="4"/>
      </w:pPr>
      <w:r>
        <w:t xml:space="preserve">11.3. V případě prodlení se zaplacením kterékoliv ze splátek nájemného nebo záloh na cenu služeb, jakož i s jakýmkoliv jiným </w:t>
      </w:r>
      <w:proofErr w:type="spellStart"/>
      <w:r>
        <w:t>peněžnim</w:t>
      </w:r>
      <w:proofErr w:type="spellEnd"/>
      <w:r>
        <w:t xml:space="preserve"> plněni dle Smlouvy, se Provozovatel zavazuje zaplatit Majiteli úrok z prodlení ve výši 0,05% z dlužné Částky za každý započatý den prodlení.</w:t>
      </w:r>
    </w:p>
    <w:p w:rsidR="00371F30" w:rsidRDefault="009156ED">
      <w:pPr>
        <w:ind w:left="154" w:right="4"/>
      </w:pPr>
      <w:r>
        <w:t xml:space="preserve">11.4. Provozovatel bere na vědomí, že po uplynutí zúčtovacího období, kterým je dle vzájemné dohody smluvních stran kalendářní rok, dojde k vyúčtování záloh na cenu služeb, a to nejpozději do 4 měsíců po uplynutí zúčtovacího období. Tímto se Provozovatel zavazuje zaplatit Majiteli případný nedoplatek na vyúčtovanou cenu za služby za příslušné zúčtovací období, a to vždy nejpozději do 14 dnů od </w:t>
      </w:r>
      <w:proofErr w:type="gramStart"/>
      <w:r>
        <w:t>doručeni</w:t>
      </w:r>
      <w:proofErr w:type="gramEnd"/>
      <w:r>
        <w:t xml:space="preserve"> vyúčtování. Případný přeplatek na vyúčtovanou cenu služeb bude zaslán ve lhůtě shora uvedené na účet Provozovatele uvedený v záhlaví bod 2) Smlouvy, pokud se strany nedohodnou jinak.</w:t>
      </w:r>
    </w:p>
    <w:p w:rsidR="00371F30" w:rsidRDefault="009156ED">
      <w:pPr>
        <w:ind w:left="134" w:right="4"/>
      </w:pPr>
      <w:r>
        <w:t xml:space="preserve">11.5. Majitel je oprávněn vždy s účinností ke dni </w:t>
      </w:r>
      <w:proofErr w:type="gramStart"/>
      <w:r>
        <w:t>01.07. každého</w:t>
      </w:r>
      <w:proofErr w:type="gramEnd"/>
      <w:r>
        <w:t xml:space="preserve"> kalendářního roku, počínaje rokem 2004, zvýšit dosavadní nájemné o jeho poměrnou část odpovídající míře inflace za uplynulý kalendářní rok zveřejněné či jinak oznámené Českým statistickým úřadem a Provozovatel je povinen mu takto zvýšené nájemné uhrazovat. Provozovatel bere na vědomí, že úprava cen nájemného bude provedena pouze na základě předloženého výpočtového listu.</w:t>
      </w:r>
    </w:p>
    <w:p w:rsidR="00371F30" w:rsidRDefault="009156ED">
      <w:pPr>
        <w:ind w:left="134" w:right="4"/>
      </w:pPr>
      <w:r>
        <w:t>11.6. Taktéž je Majitel oprávněn jednostranně upravit zálohy na cenu služeb, a to o jejich poměrné části odpovídající míře zvýšení cen, které Majitel hradí dodavatelům těchto služeb.</w:t>
      </w:r>
    </w:p>
    <w:p w:rsidR="00371F30" w:rsidRDefault="009156ED">
      <w:pPr>
        <w:spacing w:after="1027"/>
        <w:ind w:left="96" w:right="86"/>
      </w:pPr>
      <w:r>
        <w:t xml:space="preserve">11.7. Dodávku ostatních energií či služeb, které Majitel nezajišťuje pro Provozovatele, jako jsou např. el. </w:t>
      </w:r>
      <w:proofErr w:type="gramStart"/>
      <w:r>
        <w:t>energie</w:t>
      </w:r>
      <w:proofErr w:type="gramEnd"/>
      <w:r>
        <w:t>, odvoz komunálního odpadu, služby spojené s možností užívání účastnických telefonních stanic a jiné, je Provozovatel povinen si sjednat sám a na svůj náklad s dodavateli jednotlivých služeb.</w:t>
      </w:r>
    </w:p>
    <w:p w:rsidR="00371F30" w:rsidRDefault="009156ED">
      <w:pPr>
        <w:spacing w:after="244" w:line="250" w:lineRule="auto"/>
        <w:ind w:left="816" w:right="806" w:hanging="10"/>
        <w:jc w:val="center"/>
      </w:pPr>
      <w:r>
        <w:t>Doba nájmu</w:t>
      </w:r>
    </w:p>
    <w:p w:rsidR="00371F30" w:rsidRDefault="009156ED">
      <w:pPr>
        <w:spacing w:after="253"/>
        <w:ind w:left="106" w:right="4"/>
      </w:pPr>
      <w:r>
        <w:t xml:space="preserve">111,1. Nájem se sjednává na dobu neurčitou od </w:t>
      </w:r>
      <w:proofErr w:type="gramStart"/>
      <w:r>
        <w:t>01.01.2004</w:t>
      </w:r>
      <w:proofErr w:type="gramEnd"/>
    </w:p>
    <w:p w:rsidR="00371F30" w:rsidRDefault="009156ED">
      <w:pPr>
        <w:ind w:left="106" w:right="4"/>
      </w:pPr>
      <w:r>
        <w:lastRenderedPageBreak/>
        <w:t>111.2. Nájem lze dokončit dohodou, popř. výpovědí s tříměsíční lhůtou, která počíná běžet prvním dnem měsíce následujícího po doručení výpovědi druhé smluvní straně.</w:t>
      </w:r>
    </w:p>
    <w:p w:rsidR="00371F30" w:rsidRDefault="009156ED">
      <w:pPr>
        <w:ind w:left="86" w:right="115"/>
      </w:pPr>
      <w:r>
        <w:t xml:space="preserve">111-3. Pokud však Provozovatel bude užívat přenechané nebytové prostory takovým způsobem, že Majiteli vznikne škoda, anebo Provozovatel bude užívat přenechané nebytové prostory v rozporu se smluveným účelem užívání, popř. bude Provozovatel po dobu nejméně tří měsíců v prodlení s placením nájemného, záloh na cenu služeb nebo s jiným peněžním </w:t>
      </w:r>
      <w:proofErr w:type="spellStart"/>
      <w:r>
        <w:t>plněnim</w:t>
      </w:r>
      <w:proofErr w:type="spellEnd"/>
      <w:r>
        <w:t xml:space="preserve"> dle Smlouvy, je Majitel oprávněn Smlouvu vypovědět v sedmidenní výpovědní lhůtě, která počne běžet prvním dnem následujícím po doručení výpovědi druhé smluvní straně.</w:t>
      </w:r>
    </w:p>
    <w:p w:rsidR="00371F30" w:rsidRDefault="009156ED">
      <w:pPr>
        <w:spacing w:after="0" w:line="259" w:lineRule="auto"/>
        <w:ind w:left="58" w:right="0" w:firstLine="0"/>
        <w:jc w:val="center"/>
      </w:pPr>
      <w:r>
        <w:rPr>
          <w:sz w:val="30"/>
        </w:rPr>
        <w:t>Iv.</w:t>
      </w:r>
    </w:p>
    <w:p w:rsidR="00371F30" w:rsidRDefault="009156ED">
      <w:pPr>
        <w:spacing w:after="207" w:line="250" w:lineRule="auto"/>
        <w:ind w:left="816" w:hanging="10"/>
        <w:jc w:val="center"/>
      </w:pPr>
      <w:r>
        <w:t>Práva a povinnosti smluvních stran</w:t>
      </w:r>
    </w:p>
    <w:p w:rsidR="00371F30" w:rsidRDefault="009156ED">
      <w:pPr>
        <w:ind w:left="86" w:right="4"/>
      </w:pPr>
      <w:proofErr w:type="gramStart"/>
      <w:r>
        <w:t>IV.1.</w:t>
      </w:r>
      <w:proofErr w:type="gramEnd"/>
      <w:r>
        <w:t xml:space="preserve"> Provozovatel není oprávněn přenechat pronajaté nebytové prostory do podnájmu jinému bez výslovného písemného souhlasu Majitele, a pokud Majitel dá Provozovateli souhlas s </w:t>
      </w:r>
      <w:proofErr w:type="spellStart"/>
      <w:r>
        <w:t>wavřením</w:t>
      </w:r>
      <w:proofErr w:type="spellEnd"/>
      <w:r>
        <w:t xml:space="preserve"> podnájemní Smlouvy, vyhrazuje si právo </w:t>
      </w:r>
      <w:proofErr w:type="spellStart"/>
      <w:r>
        <w:t>seznárnit</w:t>
      </w:r>
      <w:proofErr w:type="spellEnd"/>
      <w:r>
        <w:t xml:space="preserve"> se s obsahem této podnájemní smlouvy, a Provozovatel se zavazuje jedno vyhotovení citované podnájemní Smlouvy předat Majiteli.</w:t>
      </w:r>
    </w:p>
    <w:p w:rsidR="00371F30" w:rsidRDefault="009156ED">
      <w:pPr>
        <w:ind w:left="96" w:right="86"/>
      </w:pPr>
      <w:proofErr w:type="gramStart"/>
      <w:r>
        <w:t>IV.2.</w:t>
      </w:r>
      <w:proofErr w:type="gramEnd"/>
      <w:r>
        <w:t xml:space="preserve"> Provozovatel se dále zavazuje neuzavírat smlouvu o tichém společenství, kde by předmětem vkladu dle této smlouvy byly práva a povinnosti ze Smlouvy, ale i jinak, např. převodem nebo vkladem podniku či jeho části, neumožnit třetí osobě užívání nebytových prostor podle Smlouvy.</w:t>
      </w:r>
    </w:p>
    <w:p w:rsidR="00371F30" w:rsidRDefault="009156ED">
      <w:pPr>
        <w:spacing w:after="239" w:line="265" w:lineRule="auto"/>
        <w:ind w:left="53" w:right="81" w:hanging="10"/>
      </w:pPr>
      <w:r>
        <w:rPr>
          <w:sz w:val="22"/>
        </w:rPr>
        <w:t>IV„3. Provozovatel má právo na umístění svého firemního označení na pronajatých nebytových prostorách a na Domě a na reklamu poskytovaných služeb. Zároveň je povinen ke dni ukončení nájmu toto na vlastní náklady odstranit.</w:t>
      </w:r>
    </w:p>
    <w:p w:rsidR="00371F30" w:rsidRDefault="009156ED">
      <w:pPr>
        <w:spacing w:after="244"/>
        <w:ind w:left="23" w:right="115"/>
      </w:pPr>
      <w:proofErr w:type="gramStart"/>
      <w:r>
        <w:t>IV.4.</w:t>
      </w:r>
      <w:proofErr w:type="gramEnd"/>
      <w:r>
        <w:t xml:space="preserve"> Provozovatel je povinen užívat </w:t>
      </w:r>
      <w:proofErr w:type="spellStart"/>
      <w:r>
        <w:t>předmčt</w:t>
      </w:r>
      <w:proofErr w:type="spellEnd"/>
      <w:r>
        <w:t xml:space="preserve"> nájmu tak, aby nedocházelo k jeho </w:t>
      </w:r>
      <w:proofErr w:type="gramStart"/>
      <w:r>
        <w:t>poškozeni</w:t>
      </w:r>
      <w:proofErr w:type="gramEnd"/>
      <w:r>
        <w:t>, zničení nebo nepřiměřenému opotřebení. Při porušení této povinnosti hradí Provozovatel vzniklou škodu v plné výši.</w:t>
      </w:r>
    </w:p>
    <w:p w:rsidR="00371F30" w:rsidRDefault="009156ED">
      <w:pPr>
        <w:ind w:left="23" w:right="115"/>
      </w:pPr>
      <w:proofErr w:type="gramStart"/>
      <w:r>
        <w:t>IV.5- Změny</w:t>
      </w:r>
      <w:proofErr w:type="gramEnd"/>
      <w:r>
        <w:t xml:space="preserve"> na pronajatých nebytových prostorách je Provozovatel oprávněn provádět jen po předchozí písemné dohodě s Majitelem, ve které se smluvní strany dohodnou zejména rozsah prováděných změn, výši nákladů na tyto změny, příp. další </w:t>
      </w:r>
      <w:proofErr w:type="spellStart"/>
      <w:r>
        <w:t>podminky</w:t>
      </w:r>
      <w:proofErr w:type="spellEnd"/>
      <w:r>
        <w:t xml:space="preserve"> nezbytné k provedení změn (dále jen „Dohoda”). Dohoda bude uzavřena formou dodatku ke Smlouvě. Úhradu nákladů na změny provedené Provozovatelem na svůj náklad a se souhlasem Majitele je Provozovatel oprávněn po Majiteli požadovat jen tehdy, jestliže se k této úhradě Majitel výslovně v Dohodě zaváže, a jen v rozsahu, který bude takto písemně dohodnut.</w:t>
      </w:r>
    </w:p>
    <w:p w:rsidR="00371F30" w:rsidRDefault="009156ED">
      <w:pPr>
        <w:ind w:left="23" w:right="4"/>
      </w:pPr>
      <w:proofErr w:type="gramStart"/>
      <w:r>
        <w:t>IV.6.</w:t>
      </w:r>
      <w:proofErr w:type="gramEnd"/>
      <w:r>
        <w:t xml:space="preserve"> Výdaje dle čl. </w:t>
      </w:r>
      <w:proofErr w:type="gramStart"/>
      <w:r>
        <w:t>IV.5.</w:t>
      </w:r>
      <w:proofErr w:type="gramEnd"/>
      <w:r>
        <w:t xml:space="preserve"> Smlouvy je Provozovatel oprávněn, nebylo-li dohodnuto jinak, ve smyslu 33 zákona č. 586/1992 Sb., o daních z příjmů, odpisovat, přičemž</w:t>
      </w:r>
    </w:p>
    <w:p w:rsidR="00371F30" w:rsidRDefault="009156ED">
      <w:pPr>
        <w:spacing w:after="300"/>
        <w:ind w:left="685" w:right="4" w:hanging="662"/>
      </w:pPr>
      <w:r>
        <w:t xml:space="preserve">a/ </w:t>
      </w:r>
      <w:r>
        <w:tab/>
        <w:t>Majitel se zavazuje, že tyto výdaje nezvýší vstupní cenu Budovy ve své analytické evidenci,</w:t>
      </w:r>
    </w:p>
    <w:p w:rsidR="00371F30" w:rsidRDefault="009156ED">
      <w:pPr>
        <w:ind w:left="695" w:right="4" w:hanging="672"/>
      </w:pPr>
      <w:r>
        <w:t>b/ Provozovatel provedené technické zhodnocení zatřídí do odpisové skupiny, ve které je zatříděna Budova,</w:t>
      </w:r>
    </w:p>
    <w:p w:rsidR="00371F30" w:rsidRDefault="009156ED">
      <w:pPr>
        <w:ind w:left="676" w:right="173" w:hanging="653"/>
      </w:pPr>
      <w:r>
        <w:lastRenderedPageBreak/>
        <w:t xml:space="preserve">c/ v případě ukončení platnosti Smlouvy před ukončením odpisování vynaložených výdajů je Provozovatel oprávněn po Majiteli požadovat zůstatkovou cenu provedených zrněn jen v případě, že </w:t>
      </w:r>
      <w:proofErr w:type="gramStart"/>
      <w:r>
        <w:t>se Majitel</w:t>
      </w:r>
      <w:proofErr w:type="gramEnd"/>
      <w:r>
        <w:t xml:space="preserve"> k úhradě této zůstatkové ceny v Dohodě dle čl. IV.5. Smlouvy výslovně zaváže.</w:t>
      </w:r>
    </w:p>
    <w:p w:rsidR="00371F30" w:rsidRDefault="009156ED">
      <w:pPr>
        <w:ind w:left="23" w:right="192"/>
      </w:pPr>
      <w:r>
        <w:t>IV.'. Provede-li Provozovatel změny na předmětu nájmu bez písemného souhlasu Majitele anebo nad rozsah sjednaný v Dohodě, je povinna tyto změny na svůj náklad odstranit a nebytové prostory uvést do původního stavu, příp. do stavu sjednaného v Dohodě, nedohodnou-li se smluvní strany jinak.</w:t>
      </w:r>
    </w:p>
    <w:p w:rsidR="00371F30" w:rsidRDefault="009156ED">
      <w:pPr>
        <w:ind w:left="182" w:right="4"/>
      </w:pPr>
      <w:proofErr w:type="gramStart"/>
      <w:r>
        <w:t>IV.8.</w:t>
      </w:r>
      <w:proofErr w:type="gramEnd"/>
      <w:r>
        <w:t xml:space="preserve"> Provozovatel je povinen na svůj náklad provádět běžnou údržbu přenechaných nebytových prostor, jakož i jejich obvyklé drobné opravy. Obě smluvní strany se shodují, že:</w:t>
      </w:r>
    </w:p>
    <w:p w:rsidR="00371F30" w:rsidRDefault="009156ED">
      <w:pPr>
        <w:ind w:left="192" w:right="4"/>
      </w:pPr>
      <w:proofErr w:type="gramStart"/>
      <w:r>
        <w:t>IV.8.1</w:t>
      </w:r>
      <w:proofErr w:type="gramEnd"/>
      <w:r>
        <w:t>. - drobnými opravami se rozumí zejména:</w:t>
      </w:r>
    </w:p>
    <w:p w:rsidR="00371F30" w:rsidRDefault="009156ED">
      <w:pPr>
        <w:numPr>
          <w:ilvl w:val="0"/>
          <w:numId w:val="1"/>
        </w:numPr>
        <w:ind w:right="4" w:hanging="681"/>
      </w:pPr>
      <w:r>
        <w:t>opravy jednotlivých vrchních částí podlah — vnitřních dlažeb a podlahových krytin, výměny prahů a lišt,</w:t>
      </w:r>
    </w:p>
    <w:p w:rsidR="00371F30" w:rsidRDefault="009156ED">
      <w:pPr>
        <w:numPr>
          <w:ilvl w:val="0"/>
          <w:numId w:val="1"/>
        </w:numPr>
        <w:ind w:right="4" w:hanging="681"/>
      </w:pPr>
      <w:r>
        <w:t>opravy jednotlivých částí oken a dveří a jejich součástí a výměny zámků, kování, klik rolet a žaluzií,</w:t>
      </w:r>
    </w:p>
    <w:p w:rsidR="00371F30" w:rsidRDefault="009156ED">
      <w:pPr>
        <w:numPr>
          <w:ilvl w:val="0"/>
          <w:numId w:val="1"/>
        </w:numPr>
        <w:spacing w:after="324"/>
        <w:ind w:right="4" w:hanging="681"/>
      </w:pPr>
      <w:r>
        <w:t>výměny vypínačů, zásuvek, jističů, zvonků a osvětlovacích těles, včetně elektrických zámků,</w:t>
      </w:r>
    </w:p>
    <w:p w:rsidR="00371F30" w:rsidRDefault="009156ED">
      <w:pPr>
        <w:numPr>
          <w:ilvl w:val="0"/>
          <w:numId w:val="1"/>
        </w:numPr>
        <w:ind w:right="4" w:hanging="681"/>
      </w:pPr>
      <w:r>
        <w:t>opravy a výměny uzavíracích armatur na rozvodech vody, s výjimkou hlavních uzávěrů přípojky pro objekt či pronajímaný areál, výměny sifonů a lapačů tuků a nečistot,</w:t>
      </w:r>
    </w:p>
    <w:p w:rsidR="00371F30" w:rsidRDefault="009156ED">
      <w:pPr>
        <w:numPr>
          <w:ilvl w:val="0"/>
          <w:numId w:val="1"/>
        </w:numPr>
        <w:spacing w:after="319"/>
        <w:ind w:right="4" w:hanging="681"/>
      </w:pPr>
      <w:r>
        <w:t xml:space="preserve">za drobné opravy se dále považují opravy vodovodních výtoků, zápachových uzávěrek, vodovodních baterií, sprch, </w:t>
      </w:r>
      <w:proofErr w:type="spellStart"/>
      <w:r>
        <w:t>umyv'adel</w:t>
      </w:r>
      <w:proofErr w:type="spellEnd"/>
      <w:r>
        <w:t>, splachovačů, vestavěných skříní, a dále rovněž výměny drobných součástí těchto předmětů,</w:t>
      </w:r>
    </w:p>
    <w:p w:rsidR="00371F30" w:rsidRDefault="009156ED">
      <w:pPr>
        <w:numPr>
          <w:ilvl w:val="0"/>
          <w:numId w:val="1"/>
        </w:numPr>
        <w:spacing w:after="449"/>
        <w:ind w:right="4" w:hanging="681"/>
      </w:pPr>
      <w:r>
        <w:t>provádění dezinfekce a deratizace.</w:t>
      </w:r>
    </w:p>
    <w:p w:rsidR="00371F30" w:rsidRDefault="009156ED">
      <w:pPr>
        <w:numPr>
          <w:ilvl w:val="1"/>
          <w:numId w:val="3"/>
        </w:numPr>
        <w:spacing w:after="254"/>
        <w:ind w:right="106"/>
      </w:pPr>
      <w:proofErr w:type="gramStart"/>
      <w:r>
        <w:t>2.- běžnou</w:t>
      </w:r>
      <w:proofErr w:type="gramEnd"/>
      <w:r>
        <w:t xml:space="preserve"> údržbou se rozumí zejména náklady na pravidelné prohlídky a čištěni předmětů uvedených v bodě e) článku IV.8.l. Smlouvy, a dále malování včetně oprav omítek vnitřních stěn objektů, tapetování a čištění podlah včetně podlahových krytin, obkladů stěn, čištění odpadů a vnitřní nátěry.</w:t>
      </w:r>
    </w:p>
    <w:p w:rsidR="00371F30" w:rsidRDefault="009156ED">
      <w:pPr>
        <w:numPr>
          <w:ilvl w:val="1"/>
          <w:numId w:val="3"/>
        </w:numPr>
        <w:ind w:right="106"/>
      </w:pPr>
      <w:proofErr w:type="spellStart"/>
      <w:r>
        <w:t>Ostatni</w:t>
      </w:r>
      <w:proofErr w:type="spellEnd"/>
      <w:r>
        <w:t xml:space="preserve"> opravy, nad rámec drobných oprav a běžné údržby tak, jak jsou specifikovány v ustanovení čl. IV. 8. Smlouvy, zajišťuje a provádí na své náklady Majitel, pokud se strany nedohodnou jinak. V souvislosti s výše uvedeným je Provozovatel povinen oznámit Majiteli bez zbytečného odkladu potřeby oprav, které má provést Majitel. Majitel se zavazuje vyjádřit se k nim nejpozději do 15 dnů od doručení tohoto oznámení.</w:t>
      </w:r>
    </w:p>
    <w:p w:rsidR="00371F30" w:rsidRDefault="009156ED">
      <w:pPr>
        <w:numPr>
          <w:ilvl w:val="1"/>
          <w:numId w:val="3"/>
        </w:numPr>
        <w:spacing w:after="253"/>
        <w:ind w:right="106"/>
      </w:pPr>
      <w:r>
        <w:t xml:space="preserve">Smluvní strany se dále dohodly, že k požadavkům oprav pro příští kalendářní rok, nejedná-li se o mimořádné opravy, jejichž potřeba je dána bezprostředním ohrožením </w:t>
      </w:r>
      <w:r>
        <w:lastRenderedPageBreak/>
        <w:t>majetku nebo zdraví osob, zaujme Majitel konečné stanovisko, s ohledem na přípravu plánu oprav, do 15 dnů po schválení plánu nákladů na opravy a udržování po příští kalendářní rok.</w:t>
      </w:r>
    </w:p>
    <w:p w:rsidR="00371F30" w:rsidRDefault="009156ED">
      <w:pPr>
        <w:numPr>
          <w:ilvl w:val="1"/>
          <w:numId w:val="3"/>
        </w:numPr>
        <w:spacing w:after="1"/>
        <w:ind w:right="106"/>
      </w:pPr>
      <w:r>
        <w:t xml:space="preserve">Provozovatel bere na vědomí, že opravy dle čl. </w:t>
      </w:r>
      <w:proofErr w:type="gramStart"/>
      <w:r>
        <w:t>IV.9.</w:t>
      </w:r>
      <w:proofErr w:type="gramEnd"/>
      <w:r>
        <w:t xml:space="preserve"> Smlouvy je oprávněn provést na své vlastni náklady jen po předchozím projednání a odsouhlasení Majitelem. Po provedení opravy či oprav je Provozovatel oprávněn účtovat Majiteli účelně a přiměřeně </w:t>
      </w:r>
      <w:proofErr w:type="spellStart"/>
      <w:r>
        <w:t>vynaložcné</w:t>
      </w:r>
      <w:proofErr w:type="spellEnd"/>
      <w:r>
        <w:t xml:space="preserve"> náklady na jejich provedení. V případě, že Provozovatel neprokáže předchozí souhlas s provedením opravy či oprav dle výše uvedeného ujednání, není Majitel povinen Provozovateli uhradit jeho vynaložené náklady na jejich provedení. K provedení oprav dle čl. IV.'). Smlouvy s nárokem vůči Majiteli na náhradu nákladů na jejich provedení je</w:t>
      </w:r>
    </w:p>
    <w:p w:rsidR="00371F30" w:rsidRDefault="009156ED">
      <w:pPr>
        <w:spacing w:after="269" w:line="247" w:lineRule="auto"/>
        <w:ind w:left="67" w:right="0" w:firstLine="0"/>
        <w:jc w:val="left"/>
      </w:pPr>
      <w:r>
        <w:t>Provozovatel oprávněn rovněž v případě mimořádných událostí bezprostředně ohrožujících majetek Majitele nebo zdraví osob, kdy Provozovatel příjme neprodleně taková opatření, kterými budou odstraněny vady či zamezeno, aby hrozily škody na majetku či zdraví osob.</w:t>
      </w:r>
    </w:p>
    <w:p w:rsidR="00371F30" w:rsidRDefault="009156ED">
      <w:pPr>
        <w:numPr>
          <w:ilvl w:val="1"/>
          <w:numId w:val="3"/>
        </w:numPr>
        <w:spacing w:after="257"/>
        <w:ind w:right="106"/>
      </w:pPr>
      <w:r>
        <w:t xml:space="preserve">Provádění revizí zajišťuje Majitel. Odstraňování nálezů a závad z revizních zpráv, jakož i provádění případných oprav a údržby jednoznačně nezařaditelných do jednotlivých skupin uvedených v čl. </w:t>
      </w:r>
      <w:proofErr w:type="gramStart"/>
      <w:r>
        <w:t>IV.8.</w:t>
      </w:r>
      <w:proofErr w:type="gramEnd"/>
      <w:r>
        <w:t xml:space="preserve"> Smlouvy, bude řešeno písemně formou dohody mezi Provozovatelem a Majitelem, a to s přihlédnutím k delimitaci drobných oprav a běžné údržby uvedených v citovaném čl. </w:t>
      </w:r>
      <w:proofErr w:type="gramStart"/>
      <w:r>
        <w:t>IV.8.</w:t>
      </w:r>
      <w:proofErr w:type="gramEnd"/>
      <w:r>
        <w:t xml:space="preserve"> Smlouvy</w:t>
      </w:r>
      <w:r>
        <w:rPr>
          <w:noProof/>
        </w:rPr>
        <w:drawing>
          <wp:inline distT="0" distB="0" distL="0" distR="0">
            <wp:extent cx="18282" cy="24386"/>
            <wp:effectExtent l="0" t="0" r="0" b="0"/>
            <wp:docPr id="12731" name="Picture 1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" name="Picture 127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30" w:rsidRDefault="009156ED">
      <w:pPr>
        <w:numPr>
          <w:ilvl w:val="1"/>
          <w:numId w:val="3"/>
        </w:numPr>
        <w:ind w:right="106"/>
      </w:pPr>
      <w:r>
        <w:t xml:space="preserve">Provozovatel je dále povinen na svůj náklad odstranit veškeré závady a škody vzniklé jeho činností, včetně škod a </w:t>
      </w:r>
      <w:proofErr w:type="spellStart"/>
      <w:r>
        <w:t>úvad</w:t>
      </w:r>
      <w:proofErr w:type="spellEnd"/>
      <w:r>
        <w:t xml:space="preserve"> způsobených osobami vstupujícími do pronajatých nebytových prostor a společných prostor Domu v souvislosti s jeho činností.</w:t>
      </w:r>
    </w:p>
    <w:p w:rsidR="00371F30" w:rsidRDefault="009156ED">
      <w:pPr>
        <w:numPr>
          <w:ilvl w:val="1"/>
          <w:numId w:val="3"/>
        </w:numPr>
        <w:ind w:right="106"/>
      </w:pPr>
      <w:r>
        <w:t>Provozovatel je povinen na svůj náklad a odpovědnost zajišťovat plnění všech povinností stanovených právními předpisy či rozhodnutími příslušných státních orgánů týkajících se činností, které bude Provozovatel v pronajatých nebytových prostorách vykonávat.</w:t>
      </w:r>
    </w:p>
    <w:p w:rsidR="00371F30" w:rsidRDefault="009156ED">
      <w:pPr>
        <w:numPr>
          <w:ilvl w:val="1"/>
          <w:numId w:val="3"/>
        </w:numPr>
        <w:spacing w:after="230"/>
        <w:ind w:right="106"/>
      </w:pPr>
      <w:r>
        <w:t>Provozovatel si zajišťuje na svůj náklad úklid přenechaných nebytových prostor a úklid společných prostor v těsném sousedství. Provozovatel je povinen dodržovat předpisy na ochranu životního prostředí a svou činností neznečišťovat okolí pronajatých prostor.</w:t>
      </w:r>
    </w:p>
    <w:p w:rsidR="00371F30" w:rsidRDefault="009156ED">
      <w:pPr>
        <w:numPr>
          <w:ilvl w:val="1"/>
          <w:numId w:val="3"/>
        </w:numPr>
        <w:ind w:right="106"/>
      </w:pPr>
      <w:r>
        <w:t>Provozovatel je povinen zabezpečit plnění povinností vyplývajících pro něho ze zákona č. 133/1985 Sb., o požární ochraně, ve znění pozdějších předpisů, z předpisů vydaných na jeho '</w:t>
      </w:r>
      <w:proofErr w:type="spellStart"/>
      <w:r>
        <w:t>úkladě</w:t>
      </w:r>
      <w:proofErr w:type="spellEnd"/>
      <w:r>
        <w:t xml:space="preserve"> a z předpisů upravujících povinnosti na úseku požární ochrany platných u Majitele, jako nedílnou součást své řídící, hospodářské nebo jiné základní činnosti.</w:t>
      </w:r>
    </w:p>
    <w:p w:rsidR="00371F30" w:rsidRDefault="009156ED">
      <w:pPr>
        <w:numPr>
          <w:ilvl w:val="1"/>
          <w:numId w:val="3"/>
        </w:numPr>
        <w:spacing w:after="255"/>
        <w:ind w:right="106"/>
      </w:pPr>
      <w:r>
        <w:t xml:space="preserve">Provozovatel </w:t>
      </w:r>
      <w:proofErr w:type="gramStart"/>
      <w:r>
        <w:t>instaluje</w:t>
      </w:r>
      <w:proofErr w:type="gramEnd"/>
      <w:r>
        <w:t xml:space="preserve"> na své </w:t>
      </w:r>
      <w:proofErr w:type="gramStart"/>
      <w:r>
        <w:t>vlastni</w:t>
      </w:r>
      <w:proofErr w:type="gramEnd"/>
      <w:r>
        <w:t xml:space="preserve"> náklady přenosné hasicí přístroje v rozsahu ustanovení Š 2 odst. 5 a 6 vyhlášky č. 246/2001 Sb., o stanovení podmínek požární bezpečnosti a výkonu státního požárního dozoru.</w:t>
      </w:r>
    </w:p>
    <w:p w:rsidR="00371F30" w:rsidRDefault="009156ED">
      <w:pPr>
        <w:numPr>
          <w:ilvl w:val="1"/>
          <w:numId w:val="3"/>
        </w:numPr>
        <w:spacing w:after="1069"/>
        <w:ind w:right="106"/>
      </w:pPr>
      <w:r>
        <w:t>Provozovatel neprodleně informuje Majitele o vzniku požáru, havárie nebo jiné mimořádné události v pronajatých nebytových prostorách Majitele, jak rovněž neodkladně odstraňuje zjištěné nedostatky.</w:t>
      </w:r>
    </w:p>
    <w:p w:rsidR="00371F30" w:rsidRDefault="009156ED">
      <w:pPr>
        <w:spacing w:after="244" w:line="250" w:lineRule="auto"/>
        <w:ind w:left="816" w:right="950" w:hanging="10"/>
        <w:jc w:val="center"/>
      </w:pPr>
      <w:r>
        <w:lastRenderedPageBreak/>
        <w:t>Závěrečná ustanovení</w:t>
      </w:r>
    </w:p>
    <w:p w:rsidR="00371F30" w:rsidRDefault="009156ED">
      <w:pPr>
        <w:numPr>
          <w:ilvl w:val="1"/>
          <w:numId w:val="2"/>
        </w:numPr>
        <w:ind w:right="4"/>
      </w:pPr>
      <w:proofErr w:type="gramStart"/>
      <w:r>
        <w:t>Nedílnou</w:t>
      </w:r>
      <w:proofErr w:type="gramEnd"/>
      <w:r>
        <w:t xml:space="preserve"> součástí Smlouvy je protokol o předání a převzetí nebytových prostor, který tvoři přílohu č. I ke </w:t>
      </w:r>
      <w:proofErr w:type="gramStart"/>
      <w:r>
        <w:t>Smlouvě.</w:t>
      </w:r>
      <w:proofErr w:type="gramEnd"/>
    </w:p>
    <w:p w:rsidR="00371F30" w:rsidRDefault="009156ED">
      <w:pPr>
        <w:numPr>
          <w:ilvl w:val="1"/>
          <w:numId w:val="2"/>
        </w:numPr>
        <w:spacing w:after="32"/>
        <w:ind w:right="4"/>
      </w:pPr>
      <w:r>
        <w:t>Práva a povinnosti stran Smlouvy Smlouvou neupravené se řídí ustanoveními zákona</w:t>
      </w:r>
    </w:p>
    <w:p w:rsidR="00371F30" w:rsidRDefault="009156ED">
      <w:pPr>
        <w:spacing w:after="256"/>
        <w:ind w:left="23" w:right="4"/>
      </w:pPr>
      <w:r>
        <w:t>č. 116/1990 Sb., o nájmu a podnájmu nebytových prostor, příslušnými ustanoveními občanského zákoníku a právními předpisy na ně navazujícími.</w:t>
      </w:r>
    </w:p>
    <w:p w:rsidR="00371F30" w:rsidRDefault="009156ED">
      <w:pPr>
        <w:numPr>
          <w:ilvl w:val="1"/>
          <w:numId w:val="2"/>
        </w:numPr>
        <w:ind w:right="4"/>
      </w:pPr>
      <w:r>
        <w:t>Změna Smlouvy je možná písemnými dodatky, které se pořadově číslují a které musí být podepsány oprávněnými zástupci obou smluvních stran.</w:t>
      </w:r>
    </w:p>
    <w:p w:rsidR="00371F30" w:rsidRDefault="009156ED">
      <w:pPr>
        <w:numPr>
          <w:ilvl w:val="1"/>
          <w:numId w:val="2"/>
        </w:numPr>
        <w:spacing w:after="32"/>
        <w:ind w:right="4"/>
      </w:pPr>
      <w:r>
        <w:t>Smlouva se vyhotovuje ve dvou stejnopisech, z nichž jeden obdrží Provozovatel, jeden</w:t>
      </w:r>
    </w:p>
    <w:p w:rsidR="00371F30" w:rsidRDefault="00371F30">
      <w:pPr>
        <w:sectPr w:rsidR="00371F30">
          <w:type w:val="continuous"/>
          <w:pgSz w:w="11900" w:h="16840"/>
          <w:pgMar w:top="1680" w:right="1353" w:bottom="1973" w:left="1651" w:header="708" w:footer="708" w:gutter="0"/>
          <w:cols w:space="708"/>
        </w:sectPr>
      </w:pPr>
    </w:p>
    <w:p w:rsidR="00371F30" w:rsidRDefault="009156ED">
      <w:pPr>
        <w:spacing w:after="1655" w:line="265" w:lineRule="auto"/>
        <w:ind w:left="53" w:right="81" w:hanging="10"/>
      </w:pPr>
      <w:r>
        <w:rPr>
          <w:sz w:val="22"/>
        </w:rPr>
        <w:lastRenderedPageBreak/>
        <w:t>Majitel.</w:t>
      </w:r>
    </w:p>
    <w:p w:rsidR="00371F30" w:rsidRDefault="009156ED">
      <w:pPr>
        <w:tabs>
          <w:tab w:val="center" w:pos="6507"/>
        </w:tabs>
        <w:spacing w:after="2087"/>
        <w:ind w:left="0" w:right="0" w:firstLine="0"/>
        <w:jc w:val="left"/>
      </w:pPr>
      <w:r>
        <w:t>V Třinci dne</w:t>
      </w:r>
      <w:r>
        <w:tab/>
        <w:t xml:space="preserve">V Třinci dne </w:t>
      </w:r>
      <w:proofErr w:type="gramStart"/>
      <w:r>
        <w:t>29.1.2004</w:t>
      </w:r>
      <w:proofErr w:type="gramEnd"/>
    </w:p>
    <w:sectPr w:rsidR="00371F30">
      <w:type w:val="continuous"/>
      <w:pgSz w:w="11900" w:h="16840"/>
      <w:pgMar w:top="1680" w:right="2092" w:bottom="8132" w:left="18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35" w:rsidRDefault="00BF1435">
      <w:pPr>
        <w:spacing w:after="0" w:line="240" w:lineRule="auto"/>
      </w:pPr>
      <w:r>
        <w:separator/>
      </w:r>
    </w:p>
  </w:endnote>
  <w:endnote w:type="continuationSeparator" w:id="0">
    <w:p w:rsidR="00BF1435" w:rsidRDefault="00BF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30" w:rsidRDefault="009156ED">
    <w:pPr>
      <w:spacing w:after="0" w:line="259" w:lineRule="auto"/>
      <w:ind w:left="0"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30" w:rsidRDefault="009156ED">
    <w:pPr>
      <w:spacing w:after="0" w:line="259" w:lineRule="auto"/>
      <w:ind w:left="0"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23CA" w:rsidRPr="006723CA">
      <w:rPr>
        <w:noProof/>
        <w:sz w:val="26"/>
      </w:rPr>
      <w:t>7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30" w:rsidRDefault="009156ED">
    <w:pPr>
      <w:spacing w:after="0" w:line="259" w:lineRule="auto"/>
      <w:ind w:left="0"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35" w:rsidRDefault="00BF1435">
      <w:pPr>
        <w:spacing w:after="0" w:line="240" w:lineRule="auto"/>
      </w:pPr>
      <w:r>
        <w:separator/>
      </w:r>
    </w:p>
  </w:footnote>
  <w:footnote w:type="continuationSeparator" w:id="0">
    <w:p w:rsidR="00BF1435" w:rsidRDefault="00BF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6933"/>
    <w:multiLevelType w:val="multilevel"/>
    <w:tmpl w:val="3500C918"/>
    <w:lvl w:ilvl="0">
      <w:start w:val="4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779F7"/>
    <w:multiLevelType w:val="hybridMultilevel"/>
    <w:tmpl w:val="7D2C8C36"/>
    <w:lvl w:ilvl="0" w:tplc="92925F36">
      <w:start w:val="1"/>
      <w:numFmt w:val="lowerLetter"/>
      <w:lvlText w:val="%1)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40F338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764DD2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7C012C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E889FE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929B5C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38EED6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7E60A0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726DF6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8F170F"/>
    <w:multiLevelType w:val="multilevel"/>
    <w:tmpl w:val="A4F0181E"/>
    <w:lvl w:ilvl="0">
      <w:start w:val="5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30"/>
    <w:rsid w:val="00371F30"/>
    <w:rsid w:val="005C4661"/>
    <w:rsid w:val="006723CA"/>
    <w:rsid w:val="009156ED"/>
    <w:rsid w:val="00B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D9718-8635-4559-9886-78B5304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9" w:line="227" w:lineRule="auto"/>
      <w:ind w:left="806" w:right="739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0"/>
      <w:ind w:left="8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8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1909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Účetní2</dc:creator>
  <cp:keywords/>
  <cp:lastModifiedBy>Účetní2</cp:lastModifiedBy>
  <cp:revision>5</cp:revision>
  <dcterms:created xsi:type="dcterms:W3CDTF">2025-03-14T13:33:00Z</dcterms:created>
  <dcterms:modified xsi:type="dcterms:W3CDTF">2025-03-14T13:43:00Z</dcterms:modified>
</cp:coreProperties>
</file>