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Pr="00BB6F01" w:rsidRDefault="00C4760D" w:rsidP="00C4760D">
      <w:pPr>
        <w:jc w:val="center"/>
        <w:rPr>
          <w:b/>
          <w:sz w:val="32"/>
          <w:szCs w:val="32"/>
        </w:rPr>
      </w:pPr>
      <w:r w:rsidRPr="00BB6F01">
        <w:rPr>
          <w:b/>
          <w:sz w:val="32"/>
          <w:szCs w:val="32"/>
        </w:rPr>
        <w:t xml:space="preserve">Dodatek </w:t>
      </w:r>
      <w:r w:rsidR="00714E7F" w:rsidRPr="00BB6F01">
        <w:rPr>
          <w:b/>
          <w:sz w:val="32"/>
          <w:szCs w:val="32"/>
        </w:rPr>
        <w:t xml:space="preserve">č. </w:t>
      </w:r>
      <w:r w:rsidR="00280272">
        <w:rPr>
          <w:b/>
          <w:sz w:val="32"/>
          <w:szCs w:val="32"/>
        </w:rPr>
        <w:t>2</w:t>
      </w:r>
      <w:r w:rsidR="00714E7F" w:rsidRPr="00BB6F01">
        <w:rPr>
          <w:b/>
          <w:sz w:val="32"/>
          <w:szCs w:val="32"/>
        </w:rPr>
        <w:t xml:space="preserve"> </w:t>
      </w:r>
      <w:r w:rsidRPr="00BB6F01">
        <w:rPr>
          <w:b/>
          <w:sz w:val="32"/>
          <w:szCs w:val="32"/>
        </w:rPr>
        <w:t>ke smlouvě o dílo</w:t>
      </w:r>
    </w:p>
    <w:p w:rsidR="00BB6F01" w:rsidRPr="00BB6F01" w:rsidRDefault="00BB6F01" w:rsidP="002269D9">
      <w:pPr>
        <w:rPr>
          <w:b/>
          <w:sz w:val="32"/>
          <w:szCs w:val="32"/>
        </w:rPr>
      </w:pPr>
    </w:p>
    <w:p w:rsidR="00C4760D" w:rsidRDefault="00C4760D" w:rsidP="002269D9">
      <w:pPr>
        <w:rPr>
          <w:b/>
        </w:rPr>
      </w:pPr>
    </w:p>
    <w:p w:rsidR="00C4760D" w:rsidRPr="002269D9" w:rsidRDefault="002269D9" w:rsidP="00C4760D">
      <w:r w:rsidRPr="002269D9">
        <w:rPr>
          <w:b/>
        </w:rPr>
        <w:t>Moravská zemská knihovna v</w:t>
      </w:r>
      <w:r w:rsidR="00C4760D">
        <w:rPr>
          <w:b/>
        </w:rPr>
        <w:t> </w:t>
      </w:r>
      <w:r w:rsidRPr="002269D9">
        <w:rPr>
          <w:b/>
        </w:rPr>
        <w:t>Brně</w:t>
      </w:r>
      <w:r w:rsidR="00C4760D">
        <w:rPr>
          <w:b/>
        </w:rPr>
        <w:t xml:space="preserve">, </w:t>
      </w:r>
      <w:r w:rsidR="00C4760D" w:rsidRPr="002269D9">
        <w:t>IČ: 00094943</w:t>
      </w:r>
    </w:p>
    <w:p w:rsidR="002269D9" w:rsidRPr="002269D9" w:rsidRDefault="00BB6F01" w:rsidP="002269D9">
      <w:r>
        <w:t xml:space="preserve">se </w:t>
      </w:r>
      <w:r w:rsidR="002269D9" w:rsidRPr="002269D9">
        <w:t>sídl</w:t>
      </w:r>
      <w:r>
        <w:t>em</w:t>
      </w:r>
      <w:r w:rsidR="002269D9" w:rsidRPr="002269D9">
        <w:t xml:space="preserve"> Kounicova 65a, 601 87 Brno</w:t>
      </w:r>
    </w:p>
    <w:p w:rsidR="002269D9" w:rsidRDefault="002269D9" w:rsidP="002269D9">
      <w:r>
        <w:t>zastoupená</w:t>
      </w:r>
      <w:r w:rsidR="00C4760D">
        <w:t xml:space="preserve"> </w:t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2269D9" w:rsidRDefault="002269D9" w:rsidP="00D53442"/>
    <w:p w:rsidR="00F6150B" w:rsidRDefault="00F6150B" w:rsidP="00D53442">
      <w:r>
        <w:t>a</w:t>
      </w:r>
    </w:p>
    <w:p w:rsidR="00C4760D" w:rsidRDefault="00C4760D" w:rsidP="00D53442"/>
    <w:p w:rsidR="00FD2580" w:rsidRPr="00C937FD" w:rsidRDefault="00FD2580" w:rsidP="00FD2580">
      <w:pPr>
        <w:autoSpaceDE w:val="0"/>
        <w:autoSpaceDN w:val="0"/>
        <w:adjustRightInd w:val="0"/>
      </w:pPr>
      <w:proofErr w:type="spellStart"/>
      <w:r w:rsidRPr="00C937FD">
        <w:rPr>
          <w:b/>
          <w:bCs/>
        </w:rPr>
        <w:t>Abbreva</w:t>
      </w:r>
      <w:proofErr w:type="spellEnd"/>
      <w:r w:rsidRPr="00C937FD">
        <w:rPr>
          <w:b/>
          <w:bCs/>
        </w:rPr>
        <w:t xml:space="preserve"> s.r.o.</w:t>
      </w:r>
      <w:r>
        <w:rPr>
          <w:b/>
          <w:bCs/>
        </w:rPr>
        <w:t xml:space="preserve">, </w:t>
      </w:r>
      <w:r w:rsidRPr="00C937FD">
        <w:t>IČ: 03816303</w:t>
      </w:r>
    </w:p>
    <w:p w:rsidR="00FD2580" w:rsidRPr="00C937FD" w:rsidRDefault="00FD2580" w:rsidP="00FD2580">
      <w:pPr>
        <w:autoSpaceDE w:val="0"/>
        <w:autoSpaceDN w:val="0"/>
        <w:adjustRightInd w:val="0"/>
      </w:pPr>
      <w:r w:rsidRPr="00C937FD">
        <w:t>sídlo: Černokostelecká 111, Praha 10, 100 00</w:t>
      </w:r>
    </w:p>
    <w:p w:rsidR="00FD2580" w:rsidRPr="00C937FD" w:rsidRDefault="00FD2580" w:rsidP="00FD2580">
      <w:pPr>
        <w:autoSpaceDE w:val="0"/>
        <w:autoSpaceDN w:val="0"/>
        <w:adjustRightInd w:val="0"/>
      </w:pPr>
      <w:r w:rsidRPr="00C937FD">
        <w:t>zastoupená Bc. Michaelem Urbanem, jednatelem společnosti</w:t>
      </w:r>
    </w:p>
    <w:p w:rsidR="00C05967" w:rsidRPr="00C05967" w:rsidRDefault="00C05967" w:rsidP="00C05967">
      <w:pPr>
        <w:rPr>
          <w:i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C05967">
        <w:tc>
          <w:tcPr>
            <w:tcW w:w="5552" w:type="dxa"/>
          </w:tcPr>
          <w:p w:rsidR="00BB6F01" w:rsidRPr="002634AC" w:rsidRDefault="00BB6F01" w:rsidP="00C4760D">
            <w:pPr>
              <w:rPr>
                <w:rFonts w:ascii="Times New Roman" w:hAnsi="Times New Roman" w:cs="Times New Roman"/>
              </w:rPr>
            </w:pPr>
          </w:p>
        </w:tc>
      </w:tr>
    </w:tbl>
    <w:p w:rsidR="00C4760D" w:rsidRDefault="00C4760D"/>
    <w:p w:rsidR="00C4760D" w:rsidRDefault="00C4760D" w:rsidP="00C4760D">
      <w:pPr>
        <w:jc w:val="center"/>
      </w:pPr>
      <w:r>
        <w:t>I.</w:t>
      </w:r>
    </w:p>
    <w:p w:rsidR="00FD2580" w:rsidRPr="00FD2580" w:rsidRDefault="00C4760D" w:rsidP="007E56AF">
      <w:pPr>
        <w:numPr>
          <w:ilvl w:val="0"/>
          <w:numId w:val="31"/>
        </w:numPr>
        <w:suppressAutoHyphens/>
        <w:spacing w:before="120"/>
        <w:jc w:val="both"/>
      </w:pPr>
      <w:r w:rsidRPr="00FD2580">
        <w:rPr>
          <w:bCs/>
        </w:rPr>
        <w:t xml:space="preserve">Smluvní strany uzavřely dne </w:t>
      </w:r>
      <w:proofErr w:type="gramStart"/>
      <w:r w:rsidR="00FD2580">
        <w:rPr>
          <w:bCs/>
        </w:rPr>
        <w:t>7.3.2024</w:t>
      </w:r>
      <w:proofErr w:type="gramEnd"/>
      <w:r w:rsidRPr="00FD2580">
        <w:rPr>
          <w:bCs/>
        </w:rPr>
        <w:t xml:space="preserve"> smlouvu o dílo, jejímž předmětem je</w:t>
      </w:r>
      <w:r w:rsidRPr="00C4760D">
        <w:t xml:space="preserve"> </w:t>
      </w:r>
      <w:r w:rsidR="00FD2580" w:rsidRPr="00994162">
        <w:t xml:space="preserve">závazek zhotovitele </w:t>
      </w:r>
      <w:r w:rsidR="00FD2580">
        <w:t>provést</w:t>
      </w:r>
      <w:r w:rsidR="00FD2580" w:rsidRPr="00994162">
        <w:t xml:space="preserve"> pro objednatele dílo</w:t>
      </w:r>
      <w:r w:rsidR="00FD2580" w:rsidRPr="00FD2580">
        <w:t xml:space="preserve"> Webové stránky Moravské zemské knihovny v Brně a jejich implementace</w:t>
      </w:r>
      <w:r w:rsidR="00FD2580">
        <w:rPr>
          <w:color w:val="000000"/>
        </w:rPr>
        <w:t xml:space="preserve">. </w:t>
      </w:r>
      <w:r w:rsidR="00FD2580" w:rsidRPr="007E56AF">
        <w:rPr>
          <w:color w:val="000000"/>
        </w:rPr>
        <w:t>V čl. VI. smlouvy uvedené v čl. I. odst. 1 tohoto dodatku byly dohodnuty termíny provedení jednotlivých částí díla.</w:t>
      </w:r>
    </w:p>
    <w:p w:rsidR="007E56AF" w:rsidRDefault="007E56AF" w:rsidP="00D6052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Smluvní strany</w:t>
      </w:r>
      <w:r w:rsidR="00D60520">
        <w:rPr>
          <w:color w:val="333333"/>
        </w:rPr>
        <w:t xml:space="preserve"> uzavřely dne </w:t>
      </w:r>
      <w:proofErr w:type="gramStart"/>
      <w:r w:rsidR="00D60520">
        <w:rPr>
          <w:color w:val="333333"/>
        </w:rPr>
        <w:t>17.12.2024</w:t>
      </w:r>
      <w:proofErr w:type="gramEnd"/>
      <w:r w:rsidR="00D60520">
        <w:rPr>
          <w:color w:val="333333"/>
        </w:rPr>
        <w:t xml:space="preserve"> dodatek č. 1, kterým došlo k prodloužení termínu provedení díla do 28.2.2025</w:t>
      </w:r>
      <w:r>
        <w:rPr>
          <w:color w:val="333333"/>
        </w:rPr>
        <w:t xml:space="preserve"> z důvodu prodlení objednatele s poskytováním součinnosti </w:t>
      </w:r>
      <w:r w:rsidR="00D60520">
        <w:rPr>
          <w:color w:val="333333"/>
        </w:rPr>
        <w:t xml:space="preserve"> </w:t>
      </w:r>
      <w:r>
        <w:rPr>
          <w:color w:val="333333"/>
        </w:rPr>
        <w:t>nutnosti</w:t>
      </w:r>
      <w:r w:rsidRPr="00FD2580">
        <w:rPr>
          <w:iCs/>
          <w:color w:val="333333"/>
        </w:rPr>
        <w:t xml:space="preserve"> </w:t>
      </w:r>
      <w:r>
        <w:rPr>
          <w:iCs/>
          <w:color w:val="333333"/>
        </w:rPr>
        <w:t xml:space="preserve">provést </w:t>
      </w:r>
      <w:r w:rsidRPr="00FD2580">
        <w:rPr>
          <w:iCs/>
          <w:color w:val="333333"/>
        </w:rPr>
        <w:t>specifické technické úpravy</w:t>
      </w:r>
      <w:r w:rsidRPr="00D60520">
        <w:rPr>
          <w:color w:val="333333"/>
        </w:rPr>
        <w:t xml:space="preserve"> </w:t>
      </w:r>
      <w:r>
        <w:rPr>
          <w:color w:val="333333"/>
        </w:rPr>
        <w:t xml:space="preserve">při vývoji registračního formuláře, které </w:t>
      </w:r>
      <w:r w:rsidR="00D60520" w:rsidRPr="00D60520">
        <w:rPr>
          <w:color w:val="333333"/>
        </w:rPr>
        <w:t xml:space="preserve">zhotovitel </w:t>
      </w:r>
      <w:r>
        <w:rPr>
          <w:color w:val="333333"/>
        </w:rPr>
        <w:t>nemohl při podpisu smlouvy předpokládat.</w:t>
      </w:r>
    </w:p>
    <w:p w:rsidR="00D60520" w:rsidRDefault="007E56AF" w:rsidP="00D6052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Po uzavření dodatku č. 1</w:t>
      </w:r>
      <w:r w:rsidR="00D60520">
        <w:rPr>
          <w:color w:val="333333"/>
        </w:rPr>
        <w:t xml:space="preserve"> </w:t>
      </w:r>
      <w:r>
        <w:rPr>
          <w:color w:val="333333"/>
        </w:rPr>
        <w:t xml:space="preserve">uvedeného v čl. I. odst. 2 tohoto dodatku zhotovitel </w:t>
      </w:r>
      <w:r w:rsidR="00D60520">
        <w:rPr>
          <w:color w:val="333333"/>
        </w:rPr>
        <w:t>zjistil</w:t>
      </w:r>
      <w:r>
        <w:rPr>
          <w:color w:val="333333"/>
        </w:rPr>
        <w:t xml:space="preserve"> při provádění díla</w:t>
      </w:r>
      <w:r w:rsidR="00D60520">
        <w:rPr>
          <w:color w:val="333333"/>
        </w:rPr>
        <w:t xml:space="preserve"> další překážky v provádění díla, které nemohl zjistit před uzavřením tohoto dodatku</w:t>
      </w:r>
      <w:r>
        <w:rPr>
          <w:color w:val="333333"/>
        </w:rPr>
        <w:t>. Jedná se o:</w:t>
      </w:r>
    </w:p>
    <w:p w:rsidR="00D60520" w:rsidRDefault="00D60520" w:rsidP="00D60520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D60520">
        <w:rPr>
          <w:color w:val="333333"/>
        </w:rPr>
        <w:t xml:space="preserve">problémy s nastavením nového prostředí pro weby (chybná adresářová struktura a synchronizace s </w:t>
      </w:r>
      <w:proofErr w:type="spellStart"/>
      <w:r w:rsidRPr="00D60520">
        <w:rPr>
          <w:color w:val="333333"/>
        </w:rPr>
        <w:t>git</w:t>
      </w:r>
      <w:r w:rsidR="007E56AF">
        <w:rPr>
          <w:color w:val="333333"/>
        </w:rPr>
        <w:t>lab</w:t>
      </w:r>
      <w:proofErr w:type="spellEnd"/>
      <w:r w:rsidR="007E56AF">
        <w:rPr>
          <w:color w:val="333333"/>
        </w:rPr>
        <w:t>)</w:t>
      </w:r>
    </w:p>
    <w:p w:rsidR="00F1392C" w:rsidRDefault="00F1392C" w:rsidP="00F1392C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vzhledem k nedostatečné technické dokumentaci a složitosti problematiky bude zachována stávající verze registračního formuláře, která je dostupná na adrese registrace.mzk.cz. Současně bude proveden </w:t>
      </w:r>
      <w:proofErr w:type="spellStart"/>
      <w:r>
        <w:rPr>
          <w:color w:val="333333"/>
        </w:rPr>
        <w:t>redesign</w:t>
      </w:r>
      <w:proofErr w:type="spellEnd"/>
      <w:r>
        <w:rPr>
          <w:color w:val="333333"/>
        </w:rPr>
        <w:t xml:space="preserve"> šablon registračního formuláře, přičemž jeho dosavadní funkčnost zůstane nezměněna, což zajistí naplnění požadavků dle specifikace předmětu plnění. Dochází tedy k úpravě předmětu plnění bod </w:t>
      </w:r>
      <w:proofErr w:type="gramStart"/>
      <w:r>
        <w:rPr>
          <w:color w:val="333333"/>
        </w:rPr>
        <w:t>6.3. specifikace</w:t>
      </w:r>
      <w:proofErr w:type="gramEnd"/>
      <w:r>
        <w:rPr>
          <w:color w:val="333333"/>
        </w:rPr>
        <w:t xml:space="preserve"> předmětu plnění, protože nelze toto naplnit a změnil se rozsah.</w:t>
      </w:r>
    </w:p>
    <w:p w:rsidR="007E56AF" w:rsidRPr="00F1392C" w:rsidRDefault="00D60520" w:rsidP="00F1392C">
      <w:pPr>
        <w:pStyle w:val="Odstavecseseznamem"/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F1392C">
        <w:rPr>
          <w:color w:val="333333"/>
        </w:rPr>
        <w:t>Objednatel poskytl zhotoviteli součinnost s řešením problémů uvedených v čl. I. odst. 3 tohoto dodatku až v únoru 2025</w:t>
      </w:r>
      <w:r w:rsidR="000441CB" w:rsidRPr="00F1392C">
        <w:rPr>
          <w:color w:val="333333"/>
        </w:rPr>
        <w:t>.</w:t>
      </w:r>
    </w:p>
    <w:p w:rsidR="00F1392C" w:rsidRDefault="000441CB" w:rsidP="0007072B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Zhotovitel podpisem tohoto dodatku potvrzuje</w:t>
      </w:r>
      <w:r w:rsidR="0007072B">
        <w:rPr>
          <w:color w:val="333333"/>
        </w:rPr>
        <w:t xml:space="preserve">, že </w:t>
      </w:r>
      <w:r w:rsidR="00F1392C">
        <w:rPr>
          <w:color w:val="333333"/>
        </w:rPr>
        <w:t xml:space="preserve">za předpokladu splnění níže uvedené součinnosti ze strany objednavatele, bude schopen dílo dokončit a předat </w:t>
      </w:r>
      <w:r w:rsidR="0007072B">
        <w:rPr>
          <w:color w:val="333333"/>
        </w:rPr>
        <w:t xml:space="preserve">do </w:t>
      </w:r>
      <w:proofErr w:type="gramStart"/>
      <w:r w:rsidR="0007072B">
        <w:rPr>
          <w:color w:val="333333"/>
        </w:rPr>
        <w:t>31.3.2025</w:t>
      </w:r>
      <w:proofErr w:type="gramEnd"/>
      <w:r w:rsidR="00F1392C">
        <w:rPr>
          <w:color w:val="333333"/>
        </w:rPr>
        <w:t>:</w:t>
      </w:r>
    </w:p>
    <w:p w:rsidR="00D60520" w:rsidRDefault="00F1392C" w:rsidP="00F1392C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finální revize a schválení obsahu</w:t>
      </w:r>
    </w:p>
    <w:p w:rsidR="00F1392C" w:rsidRDefault="00F1392C" w:rsidP="00F1392C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report požadavků, změn a chyb do </w:t>
      </w:r>
      <w:proofErr w:type="gramStart"/>
      <w:r>
        <w:rPr>
          <w:color w:val="333333"/>
        </w:rPr>
        <w:t>12.3.2025</w:t>
      </w:r>
      <w:proofErr w:type="gramEnd"/>
    </w:p>
    <w:p w:rsidR="00F1392C" w:rsidRPr="00F1392C" w:rsidRDefault="00F1392C" w:rsidP="00F1392C">
      <w:pPr>
        <w:pStyle w:val="Odstavecseseznamem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spuštění finální verze do ostrého provozu ze strany </w:t>
      </w:r>
      <w:proofErr w:type="spellStart"/>
      <w:r>
        <w:rPr>
          <w:color w:val="333333"/>
        </w:rPr>
        <w:t>WFtech</w:t>
      </w:r>
      <w:proofErr w:type="spellEnd"/>
      <w:r>
        <w:rPr>
          <w:color w:val="333333"/>
        </w:rPr>
        <w:t>, s.ro.</w:t>
      </w:r>
    </w:p>
    <w:p w:rsidR="00C4760D" w:rsidRDefault="00C4760D" w:rsidP="00C4760D">
      <w:pPr>
        <w:jc w:val="both"/>
      </w:pPr>
    </w:p>
    <w:p w:rsidR="00F1392C" w:rsidRDefault="00F1392C" w:rsidP="00C4760D">
      <w:pPr>
        <w:jc w:val="both"/>
      </w:pPr>
      <w:bookmarkStart w:id="0" w:name="_GoBack"/>
      <w:bookmarkEnd w:id="0"/>
    </w:p>
    <w:p w:rsidR="00C4760D" w:rsidRDefault="00C4760D" w:rsidP="00C4760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II.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Ostatní ustanovení sml</w:t>
      </w:r>
      <w:r w:rsidR="00714E7F">
        <w:t>o</w:t>
      </w:r>
      <w:r>
        <w:t>uv</w:t>
      </w:r>
      <w:r w:rsidR="00714E7F">
        <w:t>y</w:t>
      </w:r>
      <w:r>
        <w:t xml:space="preserve"> o dílo uveden</w:t>
      </w:r>
      <w:r w:rsidR="00714E7F">
        <w:t>é</w:t>
      </w:r>
      <w:r>
        <w:t xml:space="preserve"> v čl. I. odst. 1 t</w:t>
      </w:r>
      <w:r w:rsidR="00714E7F">
        <w:t>ohoto dodatku</w:t>
      </w:r>
      <w:r>
        <w:t xml:space="preserve"> nemění.</w:t>
      </w:r>
    </w:p>
    <w:p w:rsidR="00C4760D" w:rsidRDefault="00C4760D" w:rsidP="00C4760D">
      <w:pPr>
        <w:numPr>
          <w:ilvl w:val="0"/>
          <w:numId w:val="34"/>
        </w:numPr>
        <w:ind w:left="284" w:hanging="284"/>
        <w:jc w:val="both"/>
      </w:pPr>
      <w:r>
        <w:t>Na tento dodatek se vztahují veškerá ustanovení smlouvy o dílo.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E0196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E0196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dodatek</w:t>
      </w:r>
      <w:r w:rsidRPr="00E0196A">
        <w:rPr>
          <w:rFonts w:ascii="Times New Roman" w:hAnsi="Times New Roman" w:cs="Times New Roman"/>
        </w:rPr>
        <w:t xml:space="preserve"> nabývá platnosti dnem podpisu oběma smluvním stranami</w:t>
      </w:r>
      <w:r>
        <w:rPr>
          <w:rFonts w:ascii="Times New Roman" w:hAnsi="Times New Roman" w:cs="Times New Roman"/>
        </w:rPr>
        <w:t xml:space="preserve"> a podléhá registraci </w:t>
      </w:r>
      <w:proofErr w:type="gramStart"/>
      <w:r>
        <w:rPr>
          <w:rFonts w:ascii="Times New Roman" w:hAnsi="Times New Roman" w:cs="Times New Roman"/>
        </w:rPr>
        <w:t xml:space="preserve">dle </w:t>
      </w:r>
      <w:proofErr w:type="spellStart"/>
      <w:r>
        <w:rPr>
          <w:rFonts w:ascii="Times New Roman" w:hAnsi="Times New Roman" w:cs="Times New Roman"/>
        </w:rPr>
        <w:t>z.č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340/2015 Sb.</w:t>
      </w:r>
      <w:r w:rsidR="004D58D6">
        <w:rPr>
          <w:rFonts w:ascii="Times New Roman" w:hAnsi="Times New Roman" w:cs="Times New Roman"/>
        </w:rPr>
        <w:t xml:space="preserve"> (do registru smluv jej vloží objednatel)</w:t>
      </w:r>
      <w:r w:rsidRPr="00E0196A">
        <w:rPr>
          <w:rFonts w:ascii="Times New Roman" w:hAnsi="Times New Roman" w:cs="Times New Roman"/>
        </w:rPr>
        <w:t>.</w:t>
      </w:r>
    </w:p>
    <w:p w:rsidR="00C4760D" w:rsidRDefault="00C4760D" w:rsidP="00C4760D">
      <w:pPr>
        <w:pStyle w:val="Standard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</w:rPr>
      </w:pPr>
      <w:r w:rsidRPr="0024223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en</w:t>
      </w:r>
      <w:r w:rsidRPr="0024223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dodatek </w:t>
      </w:r>
      <w:r w:rsidRPr="00242238">
        <w:rPr>
          <w:rFonts w:ascii="Times New Roman" w:hAnsi="Times New Roman" w:cs="Times New Roman"/>
        </w:rPr>
        <w:t>se vyhotovuje ve 2 stejnopisech, přičemž každá ze smluvních stran obdrží po jenom vyhotovení.</w:t>
      </w:r>
    </w:p>
    <w:p w:rsidR="00C4760D" w:rsidRDefault="00C4760D" w:rsidP="00C4760D"/>
    <w:p w:rsidR="0036346E" w:rsidRDefault="0036346E" w:rsidP="00F91D12">
      <w:pPr>
        <w:jc w:val="both"/>
      </w:pPr>
    </w:p>
    <w:p w:rsidR="00B4799F" w:rsidRDefault="00B4799F" w:rsidP="0050164F"/>
    <w:p w:rsidR="00B4799F" w:rsidRDefault="00B4799F" w:rsidP="0050164F"/>
    <w:p w:rsidR="00B4799F" w:rsidRDefault="00B4799F" w:rsidP="0050164F"/>
    <w:p w:rsidR="00B4799F" w:rsidRDefault="00B4799F" w:rsidP="0050164F"/>
    <w:p w:rsidR="0036346E" w:rsidRDefault="009E0A07" w:rsidP="0050164F">
      <w:r>
        <w:t>V</w:t>
      </w:r>
      <w:r w:rsidR="0036346E">
        <w:t> Brně dne</w:t>
      </w:r>
      <w:r w:rsidR="00280272">
        <w:t xml:space="preserve"> </w:t>
      </w:r>
      <w:proofErr w:type="gramStart"/>
      <w:r w:rsidR="00280272">
        <w:t>28.2.2025</w:t>
      </w:r>
      <w:proofErr w:type="gramEnd"/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4D58D6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</w:p>
    <w:p w:rsidR="00982999" w:rsidRDefault="004D58D6" w:rsidP="0050164F">
      <w:r>
        <w:t xml:space="preserve">          </w:t>
      </w:r>
      <w:r w:rsidR="003118AB">
        <w:t xml:space="preserve">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BB6F01">
        <w:t xml:space="preserve">         </w:t>
      </w:r>
    </w:p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BB6F01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80" w:rsidRDefault="00FD2580" w:rsidP="00F93B63">
      <w:r>
        <w:separator/>
      </w:r>
    </w:p>
  </w:endnote>
  <w:endnote w:type="continuationSeparator" w:id="0">
    <w:p w:rsidR="00FD2580" w:rsidRDefault="00FD2580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FD2580" w:rsidRDefault="00FD2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2C">
          <w:rPr>
            <w:noProof/>
          </w:rPr>
          <w:t>2</w:t>
        </w:r>
        <w:r>
          <w:fldChar w:fldCharType="end"/>
        </w:r>
      </w:p>
    </w:sdtContent>
  </w:sdt>
  <w:p w:rsidR="00FD2580" w:rsidRDefault="00FD2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80" w:rsidRDefault="00FD2580" w:rsidP="00F93B63">
      <w:r>
        <w:separator/>
      </w:r>
    </w:p>
  </w:footnote>
  <w:footnote w:type="continuationSeparator" w:id="0">
    <w:p w:rsidR="00FD2580" w:rsidRDefault="00FD2580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B5993"/>
    <w:multiLevelType w:val="hybridMultilevel"/>
    <w:tmpl w:val="6F98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C0F1E53"/>
    <w:multiLevelType w:val="multilevel"/>
    <w:tmpl w:val="22C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0092527"/>
    <w:multiLevelType w:val="multilevel"/>
    <w:tmpl w:val="0CBE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C1604"/>
    <w:multiLevelType w:val="hybridMultilevel"/>
    <w:tmpl w:val="F328FC9C"/>
    <w:lvl w:ilvl="0" w:tplc="40209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215A2F"/>
    <w:multiLevelType w:val="hybridMultilevel"/>
    <w:tmpl w:val="6E58AAAE"/>
    <w:lvl w:ilvl="0" w:tplc="E0D87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36246"/>
    <w:multiLevelType w:val="hybridMultilevel"/>
    <w:tmpl w:val="7F545ABA"/>
    <w:lvl w:ilvl="0" w:tplc="66F671A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D846C6E"/>
    <w:multiLevelType w:val="multilevel"/>
    <w:tmpl w:val="332A3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39"/>
  </w:num>
  <w:num w:numId="6">
    <w:abstractNumId w:val="40"/>
  </w:num>
  <w:num w:numId="7">
    <w:abstractNumId w:val="38"/>
  </w:num>
  <w:num w:numId="8">
    <w:abstractNumId w:val="20"/>
  </w:num>
  <w:num w:numId="9">
    <w:abstractNumId w:val="33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4"/>
  </w:num>
  <w:num w:numId="15">
    <w:abstractNumId w:val="23"/>
  </w:num>
  <w:num w:numId="16">
    <w:abstractNumId w:val="32"/>
  </w:num>
  <w:num w:numId="17">
    <w:abstractNumId w:val="0"/>
  </w:num>
  <w:num w:numId="18">
    <w:abstractNumId w:val="31"/>
  </w:num>
  <w:num w:numId="19">
    <w:abstractNumId w:val="26"/>
  </w:num>
  <w:num w:numId="20">
    <w:abstractNumId w:val="11"/>
  </w:num>
  <w:num w:numId="21">
    <w:abstractNumId w:val="7"/>
  </w:num>
  <w:num w:numId="22">
    <w:abstractNumId w:val="25"/>
  </w:num>
  <w:num w:numId="23">
    <w:abstractNumId w:val="22"/>
  </w:num>
  <w:num w:numId="24">
    <w:abstractNumId w:val="21"/>
  </w:num>
  <w:num w:numId="25">
    <w:abstractNumId w:val="37"/>
  </w:num>
  <w:num w:numId="26">
    <w:abstractNumId w:val="34"/>
  </w:num>
  <w:num w:numId="27">
    <w:abstractNumId w:val="27"/>
  </w:num>
  <w:num w:numId="28">
    <w:abstractNumId w:val="36"/>
  </w:num>
  <w:num w:numId="29">
    <w:abstractNumId w:val="16"/>
  </w:num>
  <w:num w:numId="30">
    <w:abstractNumId w:val="19"/>
  </w:num>
  <w:num w:numId="31">
    <w:abstractNumId w:val="2"/>
  </w:num>
  <w:num w:numId="32">
    <w:abstractNumId w:val="1"/>
  </w:num>
  <w:num w:numId="33">
    <w:abstractNumId w:val="35"/>
  </w:num>
  <w:num w:numId="34">
    <w:abstractNumId w:val="15"/>
  </w:num>
  <w:num w:numId="35">
    <w:abstractNumId w:val="12"/>
  </w:num>
  <w:num w:numId="36">
    <w:abstractNumId w:val="29"/>
  </w:num>
  <w:num w:numId="37">
    <w:abstractNumId w:val="14"/>
  </w:num>
  <w:num w:numId="38">
    <w:abstractNumId w:val="30"/>
  </w:num>
  <w:num w:numId="39">
    <w:abstractNumId w:val="28"/>
  </w:num>
  <w:num w:numId="40">
    <w:abstractNumId w:val="1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41CB"/>
    <w:rsid w:val="00046520"/>
    <w:rsid w:val="00053F3B"/>
    <w:rsid w:val="00060B75"/>
    <w:rsid w:val="00067FAF"/>
    <w:rsid w:val="0007072B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24830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221"/>
    <w:rsid w:val="00260840"/>
    <w:rsid w:val="002763BB"/>
    <w:rsid w:val="00280272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D58D6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7023F2"/>
    <w:rsid w:val="00714E7F"/>
    <w:rsid w:val="00723CC8"/>
    <w:rsid w:val="00732837"/>
    <w:rsid w:val="007356C1"/>
    <w:rsid w:val="00743949"/>
    <w:rsid w:val="0074785D"/>
    <w:rsid w:val="00750495"/>
    <w:rsid w:val="00765536"/>
    <w:rsid w:val="00776152"/>
    <w:rsid w:val="00786A06"/>
    <w:rsid w:val="00790CE5"/>
    <w:rsid w:val="0079290B"/>
    <w:rsid w:val="007B1DA1"/>
    <w:rsid w:val="007E56AF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84913"/>
    <w:rsid w:val="008A16F1"/>
    <w:rsid w:val="008E125D"/>
    <w:rsid w:val="008F4036"/>
    <w:rsid w:val="009242B9"/>
    <w:rsid w:val="0093204E"/>
    <w:rsid w:val="00964B19"/>
    <w:rsid w:val="0096657B"/>
    <w:rsid w:val="00982999"/>
    <w:rsid w:val="0098730C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B6F01"/>
    <w:rsid w:val="00BC37B5"/>
    <w:rsid w:val="00BD4240"/>
    <w:rsid w:val="00BD7D92"/>
    <w:rsid w:val="00BE7603"/>
    <w:rsid w:val="00C04649"/>
    <w:rsid w:val="00C05967"/>
    <w:rsid w:val="00C149DF"/>
    <w:rsid w:val="00C22993"/>
    <w:rsid w:val="00C2798F"/>
    <w:rsid w:val="00C403A8"/>
    <w:rsid w:val="00C4760D"/>
    <w:rsid w:val="00C60B98"/>
    <w:rsid w:val="00C738CB"/>
    <w:rsid w:val="00C81A1B"/>
    <w:rsid w:val="00CC6C39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60520"/>
    <w:rsid w:val="00D757EF"/>
    <w:rsid w:val="00D91EB5"/>
    <w:rsid w:val="00D944D4"/>
    <w:rsid w:val="00DA1281"/>
    <w:rsid w:val="00DA3860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392C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D2580"/>
    <w:rsid w:val="00FE4C4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  <w:style w:type="paragraph" w:customStyle="1" w:styleId="Standard">
    <w:name w:val="Standard"/>
    <w:rsid w:val="00C4760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FD258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D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A14B-F77D-4C37-AD3E-0A01625B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400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9</cp:revision>
  <cp:lastPrinted>2025-03-04T12:02:00Z</cp:lastPrinted>
  <dcterms:created xsi:type="dcterms:W3CDTF">2024-12-06T09:44:00Z</dcterms:created>
  <dcterms:modified xsi:type="dcterms:W3CDTF">2025-03-14T07:39:00Z</dcterms:modified>
</cp:coreProperties>
</file>