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2D873589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SML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22F20433" w:rsidR="00FB5329" w:rsidRPr="0041192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411924">
              <w:rPr>
                <w:color w:val="000000"/>
              </w:rPr>
              <w:t>Bankovní spojení</w:t>
            </w:r>
            <w:r w:rsidR="008F53B8" w:rsidRPr="00411924">
              <w:rPr>
                <w:color w:val="000000"/>
              </w:rPr>
              <w:t xml:space="preserve"> EUR</w:t>
            </w:r>
            <w:r w:rsidRPr="00411924">
              <w:rPr>
                <w:color w:val="000000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3EB9561E" w:rsidR="008F53B8" w:rsidRPr="00411924" w:rsidRDefault="00411924" w:rsidP="008F53B8">
            <w:pPr>
              <w:pStyle w:val="Zkladntext"/>
              <w:rPr>
                <w:lang w:val="cs-CZ" w:eastAsia="cs-CZ"/>
              </w:rPr>
            </w:pPr>
            <w:r w:rsidRPr="00411924">
              <w:rPr>
                <w:lang w:val="cs-CZ" w:eastAsia="cs-CZ"/>
              </w:rPr>
              <w:t>XXX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nanomateriály, pokročilé technologie a </w:t>
            </w:r>
            <w:commentRangeStart w:id="1"/>
            <w:r>
              <w:rPr>
                <w:color w:val="000000" w:themeColor="text1"/>
              </w:rPr>
              <w:t>inovace</w:t>
            </w:r>
            <w:commentRangeEnd w:id="1"/>
            <w:r w:rsidR="00971C9D">
              <w:rPr>
                <w:rStyle w:val="Odkaznakoment"/>
              </w:rPr>
              <w:commentReference w:id="1"/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37EBCC80" w:rsidR="00FB5329" w:rsidRPr="00DC542A" w:rsidRDefault="0041192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E6D8" w14:textId="7EF9B349" w:rsidR="00AE52AE" w:rsidRPr="00EB159A" w:rsidRDefault="00411924" w:rsidP="00AE52AE">
            <w:pPr>
              <w:pStyle w:val="Zkladntext"/>
              <w:rPr>
                <w:rFonts w:asciiTheme="minorHAnsi" w:hAnsiTheme="minorHAnsi"/>
                <w:highlight w:val="green"/>
                <w:lang w:val="cs-CZ" w:eastAsia="cs-CZ"/>
              </w:rPr>
            </w:pPr>
            <w:r>
              <w:rPr>
                <w:rFonts w:asciiTheme="minorHAnsi" w:hAnsiTheme="minorHAnsi"/>
                <w:color w:val="000000" w:themeColor="text1"/>
                <w:lang w:val="cs-CZ"/>
              </w:rPr>
              <w:t>XXX</w:t>
            </w:r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51F51792" w:rsidR="00FB5329" w:rsidRPr="00DC542A" w:rsidRDefault="0041192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70189066" w:rsidR="008136D3" w:rsidRPr="008136D3" w:rsidRDefault="00AE52AE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B159A">
              <w:rPr>
                <w:color w:val="000000" w:themeColor="text1"/>
              </w:rPr>
              <w:t>AXIS a.s.</w:t>
            </w:r>
          </w:p>
        </w:tc>
      </w:tr>
      <w:tr w:rsidR="00AE52AE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2A9932E1" w:rsidR="00AE52AE" w:rsidRPr="008136D3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B159A">
              <w:rPr>
                <w:color w:val="000000" w:themeColor="text1"/>
              </w:rPr>
              <w:t xml:space="preserve">Kydlinovská 29/77, Hradec </w:t>
            </w:r>
            <w:r w:rsidR="00282CDC" w:rsidRPr="00EB159A">
              <w:rPr>
                <w:color w:val="000000" w:themeColor="text1"/>
              </w:rPr>
              <w:t>Králové – Pražské</w:t>
            </w:r>
            <w:r w:rsidRPr="00EB159A">
              <w:rPr>
                <w:color w:val="000000" w:themeColor="text1"/>
              </w:rPr>
              <w:t xml:space="preserve"> Předměstí, 50002</w:t>
            </w:r>
          </w:p>
        </w:tc>
      </w:tr>
      <w:tr w:rsidR="00AE52AE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6CD32A2E" w:rsidR="00AE52AE" w:rsidRPr="008136D3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B159A">
              <w:rPr>
                <w:color w:val="000000" w:themeColor="text1"/>
              </w:rPr>
              <w:t>60108088</w:t>
            </w:r>
          </w:p>
        </w:tc>
      </w:tr>
      <w:tr w:rsidR="00AE52AE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6F76BF6A" w:rsidR="00AE52AE" w:rsidRPr="008136D3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B159A">
              <w:rPr>
                <w:color w:val="000000" w:themeColor="text1"/>
              </w:rPr>
              <w:t>CZ60108088</w:t>
            </w:r>
          </w:p>
        </w:tc>
      </w:tr>
      <w:tr w:rsidR="00AE52AE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5D037F8E" w:rsidR="00AE52AE" w:rsidRPr="008136D3" w:rsidRDefault="00411924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AE52AE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25EE2F77" w:rsidR="00AE52AE" w:rsidRPr="008136D3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Ivem Stráníkem, předsedou představenstva</w:t>
            </w:r>
          </w:p>
        </w:tc>
      </w:tr>
      <w:tr w:rsidR="00AE52AE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633C5079" w:rsidR="00AE52AE" w:rsidRPr="008136D3" w:rsidRDefault="00411924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AE52AE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12096EFE" w:rsidR="00AE52AE" w:rsidRPr="008136D3" w:rsidRDefault="00411924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AE52AE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AE52AE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AE52AE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471B80B3" w14:textId="77777777" w:rsidR="00AE52AE" w:rsidRPr="00E37BC4" w:rsidRDefault="00AE52AE" w:rsidP="00AE52AE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analýze dat, modelování, simulaci, ML a AI zpracování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analýze dat, modelování, simulaci, ML a AI zpracování</w:t>
      </w:r>
      <w:r>
        <w:rPr>
          <w:color w:val="000000" w:themeColor="text1"/>
        </w:rPr>
        <w:fldChar w:fldCharType="end"/>
      </w:r>
    </w:p>
    <w:p w14:paraId="05252AEC" w14:textId="284F9B9D" w:rsidR="00AE52AE" w:rsidRPr="00EB159A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411924">
        <w:t>XXX</w:t>
      </w:r>
      <w:r w:rsidRPr="00EB159A">
        <w:t>.</w:t>
      </w:r>
    </w:p>
    <w:p w14:paraId="7DEC55AE" w14:textId="655B6A3D" w:rsidR="00AE52AE" w:rsidRPr="00D3358C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B159A">
        <w:t xml:space="preserve">Výstup: </w:t>
      </w:r>
      <w:r w:rsidRPr="00EB159A">
        <w:tab/>
      </w:r>
      <w:r w:rsidRPr="00EB159A">
        <w:tab/>
      </w:r>
      <w:r w:rsidR="00411924">
        <w:t>XXX</w:t>
      </w:r>
      <w:r w:rsidRPr="00D3358C">
        <w:t xml:space="preserve">.   </w:t>
      </w:r>
    </w:p>
    <w:p w14:paraId="6E9FEC05" w14:textId="77777777" w:rsidR="00AE52AE" w:rsidRPr="00E37BC4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>
        <w:rPr>
          <w:color w:val="000000" w:themeColor="text1"/>
        </w:rPr>
        <w:t>160</w:t>
      </w:r>
      <w:r w:rsidRPr="00E37BC4">
        <w:t xml:space="preserve"> hod.</w:t>
      </w:r>
    </w:p>
    <w:p w14:paraId="082E66BE" w14:textId="77777777" w:rsidR="00AE52AE" w:rsidRPr="003017D0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7728424A" w14:textId="77777777" w:rsidR="00AE52AE" w:rsidRPr="00BB7E42" w:rsidRDefault="00AE52AE" w:rsidP="00AE52AE">
      <w:pPr>
        <w:pStyle w:val="Nadpis2"/>
        <w:numPr>
          <w:ilvl w:val="1"/>
          <w:numId w:val="10"/>
        </w:numPr>
        <w:ind w:left="709"/>
      </w:pPr>
      <w:r w:rsidRPr="00EB159A">
        <w:rPr>
          <w:color w:val="000000" w:themeColor="text1"/>
        </w:rPr>
        <w:t xml:space="preserve">Testy a </w:t>
      </w:r>
      <w:proofErr w:type="spellStart"/>
      <w:r w:rsidRPr="00EB159A">
        <w:rPr>
          <w:color w:val="000000" w:themeColor="text1"/>
        </w:rPr>
        <w:t>proof-of-concepty</w:t>
      </w:r>
      <w:proofErr w:type="spellEnd"/>
      <w:r w:rsidRPr="00EB159A">
        <w:rPr>
          <w:color w:val="000000" w:themeColor="text1"/>
        </w:rPr>
        <w:t xml:space="preserve"> zpracování dat</w:t>
      </w:r>
      <w:r w:rsidRPr="00EB159A">
        <w:t xml:space="preserve"> </w:t>
      </w:r>
    </w:p>
    <w:p w14:paraId="5E8404B8" w14:textId="600EBE54" w:rsidR="00AE52AE" w:rsidRPr="00EB159A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411924">
        <w:t>XXX</w:t>
      </w:r>
    </w:p>
    <w:p w14:paraId="09B60028" w14:textId="2325C22A" w:rsidR="00AE52AE" w:rsidRPr="00EB159A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B159A">
        <w:t xml:space="preserve">Výstup: </w:t>
      </w:r>
      <w:r w:rsidRPr="00EB159A">
        <w:tab/>
      </w:r>
      <w:r w:rsidRPr="00EB159A">
        <w:tab/>
      </w:r>
      <w:r w:rsidR="00411924">
        <w:t>XXX</w:t>
      </w:r>
    </w:p>
    <w:p w14:paraId="2630B4EE" w14:textId="77777777" w:rsidR="00AE52AE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>
        <w:rPr>
          <w:color w:val="000000" w:themeColor="text1"/>
        </w:rPr>
        <w:t>190 hod</w:t>
      </w:r>
      <w:r w:rsidRPr="00E37BC4">
        <w:t>.</w:t>
      </w:r>
    </w:p>
    <w:p w14:paraId="3599E35B" w14:textId="77777777" w:rsidR="00AE52AE" w:rsidRDefault="00AE52AE" w:rsidP="00AE52AE">
      <w:pPr>
        <w:pStyle w:val="Zkladntext"/>
        <w:rPr>
          <w:lang w:val="cs-CZ" w:eastAsia="cs-CZ"/>
        </w:rPr>
      </w:pPr>
    </w:p>
    <w:p w14:paraId="6BB3EC2D" w14:textId="77777777" w:rsidR="00AE52AE" w:rsidRPr="00E37BC4" w:rsidRDefault="00AE52AE" w:rsidP="00AE52AE">
      <w:pPr>
        <w:pStyle w:val="Nadpis2"/>
        <w:numPr>
          <w:ilvl w:val="1"/>
          <w:numId w:val="10"/>
        </w:numPr>
        <w:ind w:left="709"/>
      </w:pPr>
      <w:r w:rsidRPr="00EB159A">
        <w:rPr>
          <w:color w:val="000000" w:themeColor="text1"/>
        </w:rPr>
        <w:t xml:space="preserve">Poradenství v oblasti </w:t>
      </w:r>
      <w:proofErr w:type="spellStart"/>
      <w:r w:rsidRPr="00EB159A">
        <w:rPr>
          <w:color w:val="000000" w:themeColor="text1"/>
        </w:rPr>
        <w:t>půmyslové</w:t>
      </w:r>
      <w:proofErr w:type="spellEnd"/>
      <w:r w:rsidRPr="00EB159A">
        <w:rPr>
          <w:color w:val="000000" w:themeColor="text1"/>
        </w:rPr>
        <w:t xml:space="preserve"> aplikace AI </w:t>
      </w:r>
      <w:proofErr w:type="spellStart"/>
      <w:r w:rsidRPr="00EB159A">
        <w:rPr>
          <w:color w:val="000000" w:themeColor="text1"/>
        </w:rPr>
        <w:t>based</w:t>
      </w:r>
      <w:proofErr w:type="spellEnd"/>
      <w:r w:rsidRPr="00EB159A">
        <w:rPr>
          <w:color w:val="000000" w:themeColor="text1"/>
        </w:rPr>
        <w:t xml:space="preserve"> rozpoznání hlasu, obrazu</w:t>
      </w:r>
    </w:p>
    <w:p w14:paraId="70787D8B" w14:textId="5269EA68" w:rsidR="00AE52AE" w:rsidRPr="00EB159A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411924">
        <w:t>XXX</w:t>
      </w:r>
      <w:r w:rsidRPr="00EB159A">
        <w:t>.</w:t>
      </w:r>
    </w:p>
    <w:p w14:paraId="59753FCC" w14:textId="6B38BF2B" w:rsidR="00AE52AE" w:rsidRPr="00D3358C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B159A">
        <w:t xml:space="preserve">Výstup: </w:t>
      </w:r>
      <w:r w:rsidRPr="00EB159A">
        <w:tab/>
      </w:r>
      <w:r w:rsidR="00411924">
        <w:t>XXX</w:t>
      </w:r>
      <w:r w:rsidRPr="00EB159A">
        <w:t>.</w:t>
      </w:r>
      <w:r w:rsidRPr="00D3358C">
        <w:t xml:space="preserve">   </w:t>
      </w:r>
    </w:p>
    <w:p w14:paraId="021D4A28" w14:textId="77777777" w:rsidR="00AE52AE" w:rsidRPr="00E37BC4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>
        <w:rPr>
          <w:color w:val="000000" w:themeColor="text1"/>
        </w:rPr>
        <w:t>120</w:t>
      </w:r>
      <w:r w:rsidRPr="00E37BC4">
        <w:t xml:space="preserve"> hod.</w:t>
      </w:r>
    </w:p>
    <w:p w14:paraId="38B29A3A" w14:textId="77777777" w:rsidR="00AE52AE" w:rsidRDefault="00AE52AE" w:rsidP="00AE52AE">
      <w:pPr>
        <w:pStyle w:val="Zkladntext"/>
        <w:rPr>
          <w:lang w:val="cs-CZ" w:eastAsia="cs-CZ"/>
        </w:rPr>
      </w:pPr>
    </w:p>
    <w:p w14:paraId="36D377AB" w14:textId="77777777" w:rsidR="00AE52AE" w:rsidRPr="00E37BC4" w:rsidRDefault="00AE52AE" w:rsidP="00AE52AE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Testy a proof-of-concepty v oblasti půmyslové aplikace AI based rozpoznání hlasu, obrazu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Testy a proof-of-concepty v oblasti půmyslové aplikace AI based rozpoznání hlasu, obrazu</w:t>
      </w:r>
      <w:r>
        <w:rPr>
          <w:color w:val="000000" w:themeColor="text1"/>
        </w:rPr>
        <w:fldChar w:fldCharType="end"/>
      </w:r>
    </w:p>
    <w:p w14:paraId="69A2A85F" w14:textId="406DB2D4" w:rsidR="00AE52AE" w:rsidRPr="004817EC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411924">
        <w:t>XXX</w:t>
      </w:r>
    </w:p>
    <w:p w14:paraId="202228C5" w14:textId="47D99DED" w:rsidR="00AE52AE" w:rsidRPr="004817EC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4817EC">
        <w:t xml:space="preserve">Výstup: </w:t>
      </w:r>
      <w:r w:rsidRPr="004817EC">
        <w:tab/>
      </w:r>
      <w:r w:rsidRPr="004817EC">
        <w:tab/>
      </w:r>
      <w:r w:rsidR="00411924">
        <w:t>XXX</w:t>
      </w:r>
      <w:r w:rsidRPr="004817EC">
        <w:t xml:space="preserve">   </w:t>
      </w:r>
    </w:p>
    <w:p w14:paraId="0C739E3B" w14:textId="17FA3C78" w:rsidR="00AE4F93" w:rsidRPr="00AE52AE" w:rsidRDefault="00AE52AE" w:rsidP="00AE52AE">
      <w:pPr>
        <w:pStyle w:val="Zkladntext"/>
        <w:rPr>
          <w:rFonts w:ascii="Arial" w:hAnsi="Arial" w:cs="Arial"/>
          <w:sz w:val="22"/>
          <w:szCs w:val="22"/>
        </w:rPr>
      </w:pPr>
      <w:r w:rsidRPr="00AE52AE">
        <w:rPr>
          <w:rFonts w:ascii="Arial" w:hAnsi="Arial" w:cs="Arial"/>
          <w:sz w:val="22"/>
          <w:szCs w:val="22"/>
        </w:rPr>
        <w:t>Časová kapacita:</w:t>
      </w:r>
      <w:r w:rsidRPr="00AE52AE">
        <w:rPr>
          <w:rFonts w:ascii="Arial" w:hAnsi="Arial" w:cs="Arial"/>
          <w:sz w:val="22"/>
          <w:szCs w:val="22"/>
        </w:rPr>
        <w:tab/>
      </w:r>
      <w:r w:rsidRPr="00AE52AE">
        <w:rPr>
          <w:rFonts w:ascii="Arial" w:hAnsi="Arial" w:cs="Arial"/>
          <w:color w:val="000000" w:themeColor="text1"/>
          <w:sz w:val="22"/>
          <w:szCs w:val="22"/>
        </w:rPr>
        <w:t>110</w:t>
      </w:r>
      <w:r w:rsidRPr="00AE52AE">
        <w:rPr>
          <w:rFonts w:ascii="Arial" w:hAnsi="Arial" w:cs="Arial"/>
          <w:sz w:val="22"/>
          <w:szCs w:val="22"/>
        </w:rPr>
        <w:t xml:space="preserve"> hod.</w:t>
      </w:r>
    </w:p>
    <w:p w14:paraId="75EE7A51" w14:textId="77777777" w:rsidR="00AE52AE" w:rsidRDefault="00AE52AE" w:rsidP="00AE52AE">
      <w:pPr>
        <w:pStyle w:val="Zkladntext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lastRenderedPageBreak/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AE52AE" w:rsidRPr="00E37BC4" w14:paraId="2A1B55D2" w14:textId="77777777" w:rsidTr="00DD3B49">
        <w:tc>
          <w:tcPr>
            <w:tcW w:w="2188" w:type="dxa"/>
          </w:tcPr>
          <w:p w14:paraId="2C2167EF" w14:textId="1CC68F18" w:rsidR="00AE52AE" w:rsidRPr="00E37BC4" w:rsidRDefault="00AE52AE" w:rsidP="00AE52AE">
            <w:r w:rsidRPr="00E37BC4">
              <w:t xml:space="preserve">Ad. 2.1. </w:t>
            </w:r>
            <w:r w:rsidRPr="004817EC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189CFD3D" w14:textId="54CED5B2" w:rsidR="00AE52AE" w:rsidRPr="003017D0" w:rsidRDefault="00AE52AE" w:rsidP="00AE52AE">
            <w:pPr>
              <w:jc w:val="center"/>
            </w:pPr>
            <w:r>
              <w:rPr>
                <w:color w:val="000000" w:themeColor="text1"/>
              </w:rPr>
              <w:t>160</w:t>
            </w:r>
            <w:r w:rsidRPr="00E37BC4">
              <w:t xml:space="preserve"> hod.</w:t>
            </w:r>
          </w:p>
        </w:tc>
        <w:tc>
          <w:tcPr>
            <w:tcW w:w="2173" w:type="dxa"/>
          </w:tcPr>
          <w:p w14:paraId="59ABD697" w14:textId="0CE05C33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305438FF" w14:textId="5C193A93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 xml:space="preserve"> 14 545,60 EUR</w:t>
            </w:r>
          </w:p>
        </w:tc>
      </w:tr>
      <w:tr w:rsidR="00AE52AE" w:rsidRPr="00E37BC4" w14:paraId="0AEA3240" w14:textId="77777777" w:rsidTr="00DD3B49">
        <w:tc>
          <w:tcPr>
            <w:tcW w:w="2188" w:type="dxa"/>
          </w:tcPr>
          <w:p w14:paraId="75B82231" w14:textId="3CF4C500" w:rsidR="00AE52AE" w:rsidRPr="00BB7E42" w:rsidRDefault="00AE52AE" w:rsidP="00AE52AE">
            <w:r w:rsidRPr="00BB7E42">
              <w:t xml:space="preserve">Ad 2.2. </w:t>
            </w:r>
            <w:r w:rsidRPr="004817EC">
              <w:rPr>
                <w:color w:val="000000" w:themeColor="text1"/>
              </w:rPr>
              <w:t xml:space="preserve">Testy a </w:t>
            </w:r>
            <w:proofErr w:type="spellStart"/>
            <w:r w:rsidRPr="004817EC">
              <w:rPr>
                <w:color w:val="000000" w:themeColor="text1"/>
              </w:rPr>
              <w:t>proof-of-concepty</w:t>
            </w:r>
            <w:proofErr w:type="spellEnd"/>
            <w:r w:rsidRPr="004817EC">
              <w:rPr>
                <w:color w:val="000000" w:themeColor="text1"/>
              </w:rPr>
              <w:t xml:space="preserve"> zpracování dat</w:t>
            </w:r>
          </w:p>
        </w:tc>
        <w:tc>
          <w:tcPr>
            <w:tcW w:w="2172" w:type="dxa"/>
          </w:tcPr>
          <w:p w14:paraId="3404A7E4" w14:textId="5C9422FE" w:rsidR="00AE52AE" w:rsidRPr="00BB7E42" w:rsidRDefault="00AE52AE" w:rsidP="00AE52AE">
            <w:pPr>
              <w:jc w:val="center"/>
            </w:pPr>
            <w:r w:rsidRPr="00BB7E42"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7E42">
              <w:rPr>
                <w:color w:val="000000" w:themeColor="text1"/>
              </w:rPr>
              <w:instrText xml:space="preserve"> FORMTEXT </w:instrText>
            </w:r>
            <w:r w:rsidRPr="00BB7E42">
              <w:rPr>
                <w:color w:val="000000" w:themeColor="text1"/>
              </w:rPr>
            </w:r>
            <w:r w:rsidRPr="00BB7E42">
              <w:rPr>
                <w:color w:val="000000" w:themeColor="text1"/>
              </w:rPr>
              <w:fldChar w:fldCharType="separate"/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190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color w:val="000000" w:themeColor="text1"/>
              </w:rPr>
              <w:fldChar w:fldCharType="end"/>
            </w:r>
            <w:r w:rsidRPr="00BB7E42">
              <w:t xml:space="preserve"> hod.</w:t>
            </w:r>
          </w:p>
        </w:tc>
        <w:tc>
          <w:tcPr>
            <w:tcW w:w="2173" w:type="dxa"/>
          </w:tcPr>
          <w:p w14:paraId="31A9937F" w14:textId="78166E4C" w:rsidR="00AE52AE" w:rsidRPr="00BB7E42" w:rsidRDefault="00AE52AE" w:rsidP="00AE52AE">
            <w:pPr>
              <w:jc w:val="center"/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518C356B" w14:textId="7B41C11B" w:rsidR="00AE52AE" w:rsidRPr="00BB7E42" w:rsidRDefault="00AE52AE" w:rsidP="00AE52AE">
            <w:pPr>
              <w:jc w:val="center"/>
            </w:pPr>
            <w:r>
              <w:rPr>
                <w:color w:val="000000" w:themeColor="text1"/>
              </w:rPr>
              <w:t>17 272,90 EUR</w:t>
            </w:r>
          </w:p>
        </w:tc>
      </w:tr>
      <w:tr w:rsidR="00AE52AE" w:rsidRPr="00E37BC4" w14:paraId="3189F27C" w14:textId="77777777" w:rsidTr="00DD3B49">
        <w:tc>
          <w:tcPr>
            <w:tcW w:w="2188" w:type="dxa"/>
          </w:tcPr>
          <w:p w14:paraId="26D12A49" w14:textId="1536576F" w:rsidR="00AE52AE" w:rsidRPr="00BB7E42" w:rsidRDefault="00AE52AE" w:rsidP="00AE52AE">
            <w:r w:rsidRPr="00BB7E42">
              <w:t>Ad 2.</w:t>
            </w:r>
            <w:r>
              <w:t xml:space="preserve">3. </w:t>
            </w:r>
            <w:r w:rsidRPr="004817EC">
              <w:t xml:space="preserve">Poradenství v oblasti </w:t>
            </w:r>
            <w:proofErr w:type="spellStart"/>
            <w:r w:rsidRPr="004817EC">
              <w:t>půmyslové</w:t>
            </w:r>
            <w:proofErr w:type="spellEnd"/>
            <w:r w:rsidRPr="004817EC">
              <w:t xml:space="preserve"> aplikace AI </w:t>
            </w:r>
            <w:proofErr w:type="spellStart"/>
            <w:r w:rsidRPr="004817EC">
              <w:t>based</w:t>
            </w:r>
            <w:proofErr w:type="spellEnd"/>
            <w:r w:rsidRPr="004817EC">
              <w:t xml:space="preserve"> rozpoznání hlasu, obrazu</w:t>
            </w:r>
          </w:p>
        </w:tc>
        <w:tc>
          <w:tcPr>
            <w:tcW w:w="2172" w:type="dxa"/>
          </w:tcPr>
          <w:p w14:paraId="415003E4" w14:textId="249A0FC3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 hod</w:t>
            </w:r>
          </w:p>
        </w:tc>
        <w:tc>
          <w:tcPr>
            <w:tcW w:w="2173" w:type="dxa"/>
          </w:tcPr>
          <w:p w14:paraId="35B225B5" w14:textId="455B757F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0E5D6F77" w14:textId="60B751D1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10 909,20 EUR</w:t>
            </w:r>
          </w:p>
        </w:tc>
      </w:tr>
      <w:tr w:rsidR="00AE52AE" w:rsidRPr="00E37BC4" w14:paraId="5A0CBBF2" w14:textId="77777777" w:rsidTr="00DD3B49">
        <w:tc>
          <w:tcPr>
            <w:tcW w:w="2188" w:type="dxa"/>
          </w:tcPr>
          <w:p w14:paraId="3ACABB34" w14:textId="60C50D45" w:rsidR="00AE52AE" w:rsidRPr="00BB7E42" w:rsidRDefault="00AE52AE" w:rsidP="00AE52AE">
            <w:r w:rsidRPr="00BB7E42">
              <w:t>Ad 2.</w:t>
            </w:r>
            <w:r>
              <w:t xml:space="preserve">4. </w:t>
            </w:r>
            <w:r w:rsidRPr="004817EC">
              <w:t xml:space="preserve">Testy a </w:t>
            </w:r>
            <w:proofErr w:type="spellStart"/>
            <w:r w:rsidRPr="004817EC">
              <w:t>proof-of-concepty</w:t>
            </w:r>
            <w:proofErr w:type="spellEnd"/>
            <w:r w:rsidRPr="004817EC">
              <w:t xml:space="preserve"> v oblasti </w:t>
            </w:r>
            <w:proofErr w:type="spellStart"/>
            <w:r w:rsidRPr="004817EC">
              <w:t>půmyslové</w:t>
            </w:r>
            <w:proofErr w:type="spellEnd"/>
            <w:r w:rsidRPr="004817EC">
              <w:t xml:space="preserve"> aplikace AI </w:t>
            </w:r>
            <w:proofErr w:type="spellStart"/>
            <w:r w:rsidRPr="004817EC">
              <w:t>based</w:t>
            </w:r>
            <w:proofErr w:type="spellEnd"/>
            <w:r w:rsidRPr="004817EC">
              <w:t xml:space="preserve"> rozpoznání hlasu, obrazu</w:t>
            </w:r>
          </w:p>
        </w:tc>
        <w:tc>
          <w:tcPr>
            <w:tcW w:w="2172" w:type="dxa"/>
          </w:tcPr>
          <w:p w14:paraId="0E7C9BC0" w14:textId="73CAA01B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 hod</w:t>
            </w:r>
          </w:p>
        </w:tc>
        <w:tc>
          <w:tcPr>
            <w:tcW w:w="2173" w:type="dxa"/>
          </w:tcPr>
          <w:p w14:paraId="5D6FD0C4" w14:textId="3F6D1C34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25A8DC00" w14:textId="57DFBC0C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10 000,10 EUR</w:t>
            </w:r>
          </w:p>
        </w:tc>
      </w:tr>
      <w:tr w:rsidR="00AE52AE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AE52AE" w:rsidRPr="00E37BC4" w:rsidRDefault="00AE52AE" w:rsidP="00AE52AE">
            <w:pPr>
              <w:jc w:val="left"/>
            </w:pPr>
            <w:r w:rsidRPr="00E37BC4">
              <w:t>CELKOVÁ HODNOTA SLUŽBY</w:t>
            </w:r>
          </w:p>
        </w:tc>
        <w:tc>
          <w:tcPr>
            <w:tcW w:w="2167" w:type="dxa"/>
          </w:tcPr>
          <w:p w14:paraId="4FE52333" w14:textId="2878EF4A" w:rsidR="00AE52AE" w:rsidRPr="00BB7E42" w:rsidRDefault="00AE52AE" w:rsidP="00AE52AE">
            <w:pPr>
              <w:jc w:val="center"/>
            </w:pPr>
            <w:r>
              <w:rPr>
                <w:color w:val="000000" w:themeColor="text1"/>
              </w:rPr>
              <w:t>52 727,80 EUR</w:t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lastRenderedPageBreak/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00DD3B49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AE52AE" w:rsidRPr="00E37BC4" w14:paraId="34C7CF4B" w14:textId="77777777" w:rsidTr="00DD3B49">
        <w:tc>
          <w:tcPr>
            <w:tcW w:w="2187" w:type="dxa"/>
          </w:tcPr>
          <w:p w14:paraId="3975E8E5" w14:textId="0E7978A0" w:rsidR="00AE52AE" w:rsidRPr="00E37BC4" w:rsidRDefault="00AE52AE" w:rsidP="00AE52AE">
            <w:r w:rsidRPr="00E37BC4">
              <w:t xml:space="preserve">Ad. 2.1. </w:t>
            </w:r>
            <w:r w:rsidRPr="004817EC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7B7474C0" w14:textId="7ADA0519" w:rsidR="00AE52AE" w:rsidRPr="003017D0" w:rsidRDefault="00AE52AE" w:rsidP="00AE52AE">
            <w:pPr>
              <w:jc w:val="center"/>
            </w:pPr>
            <w:r>
              <w:rPr>
                <w:color w:val="000000" w:themeColor="text1"/>
              </w:rPr>
              <w:t>160</w:t>
            </w:r>
            <w:r w:rsidRPr="00E37BC4">
              <w:t xml:space="preserve"> hod.</w:t>
            </w:r>
          </w:p>
        </w:tc>
        <w:tc>
          <w:tcPr>
            <w:tcW w:w="2173" w:type="dxa"/>
          </w:tcPr>
          <w:p w14:paraId="3DAFE89B" w14:textId="1282D0FA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0,- EUR</w:t>
            </w:r>
          </w:p>
        </w:tc>
        <w:tc>
          <w:tcPr>
            <w:tcW w:w="2168" w:type="dxa"/>
          </w:tcPr>
          <w:p w14:paraId="207B49B8" w14:textId="3B5FA0F2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0,- EUR</w:t>
            </w:r>
          </w:p>
        </w:tc>
      </w:tr>
      <w:tr w:rsidR="00AE52AE" w:rsidRPr="00E37BC4" w14:paraId="748B41F5" w14:textId="77777777" w:rsidTr="00DD3B49">
        <w:tc>
          <w:tcPr>
            <w:tcW w:w="2187" w:type="dxa"/>
          </w:tcPr>
          <w:p w14:paraId="7068339B" w14:textId="5BEE9905" w:rsidR="00AE52AE" w:rsidRPr="00BB7E42" w:rsidRDefault="00AE52AE" w:rsidP="00AE52AE">
            <w:r w:rsidRPr="00BB7E42">
              <w:t xml:space="preserve">Ad 2.2. </w:t>
            </w:r>
            <w:r w:rsidRPr="004817EC">
              <w:rPr>
                <w:color w:val="000000" w:themeColor="text1"/>
              </w:rPr>
              <w:t xml:space="preserve">Testy a </w:t>
            </w:r>
            <w:proofErr w:type="spellStart"/>
            <w:r w:rsidRPr="004817EC">
              <w:rPr>
                <w:color w:val="000000" w:themeColor="text1"/>
              </w:rPr>
              <w:t>proof-of-concepty</w:t>
            </w:r>
            <w:proofErr w:type="spellEnd"/>
            <w:r w:rsidRPr="004817EC">
              <w:rPr>
                <w:color w:val="000000" w:themeColor="text1"/>
              </w:rPr>
              <w:t xml:space="preserve"> zpracování dat</w:t>
            </w:r>
          </w:p>
        </w:tc>
        <w:tc>
          <w:tcPr>
            <w:tcW w:w="2172" w:type="dxa"/>
          </w:tcPr>
          <w:p w14:paraId="6890A676" w14:textId="70DE0BC7" w:rsidR="00AE52AE" w:rsidRPr="00BB7E42" w:rsidRDefault="00AE52AE" w:rsidP="00AE52AE">
            <w:pPr>
              <w:jc w:val="center"/>
            </w:pPr>
            <w:r w:rsidRPr="00BB7E42"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7E42">
              <w:rPr>
                <w:color w:val="000000" w:themeColor="text1"/>
              </w:rPr>
              <w:instrText xml:space="preserve"> FORMTEXT </w:instrText>
            </w:r>
            <w:r w:rsidRPr="00BB7E42">
              <w:rPr>
                <w:color w:val="000000" w:themeColor="text1"/>
              </w:rPr>
            </w:r>
            <w:r w:rsidRPr="00BB7E42">
              <w:rPr>
                <w:color w:val="000000" w:themeColor="text1"/>
              </w:rPr>
              <w:fldChar w:fldCharType="separate"/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190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color w:val="000000" w:themeColor="text1"/>
              </w:rPr>
              <w:fldChar w:fldCharType="end"/>
            </w:r>
            <w:r w:rsidRPr="00BB7E42">
              <w:t>hod.</w:t>
            </w:r>
          </w:p>
        </w:tc>
        <w:tc>
          <w:tcPr>
            <w:tcW w:w="2173" w:type="dxa"/>
          </w:tcPr>
          <w:p w14:paraId="104EDEF4" w14:textId="13E2E2D2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15,- EUR</w:t>
            </w:r>
          </w:p>
        </w:tc>
        <w:tc>
          <w:tcPr>
            <w:tcW w:w="2168" w:type="dxa"/>
          </w:tcPr>
          <w:p w14:paraId="3CCBE133" w14:textId="46BA492C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2 850,- EUR</w:t>
            </w:r>
          </w:p>
        </w:tc>
      </w:tr>
      <w:tr w:rsidR="00AE52AE" w:rsidRPr="00E37BC4" w14:paraId="6F6C9B8E" w14:textId="77777777" w:rsidTr="00DD3B49">
        <w:tc>
          <w:tcPr>
            <w:tcW w:w="2187" w:type="dxa"/>
          </w:tcPr>
          <w:p w14:paraId="333D72FE" w14:textId="739608E1" w:rsidR="00AE52AE" w:rsidRPr="00BB7E42" w:rsidRDefault="00AE52AE" w:rsidP="00AE52AE">
            <w:r w:rsidRPr="00BB7E42">
              <w:t>Ad 2.</w:t>
            </w:r>
            <w:r>
              <w:t xml:space="preserve">3. </w:t>
            </w:r>
            <w:r w:rsidRPr="004817EC">
              <w:t xml:space="preserve">Poradenství v oblasti </w:t>
            </w:r>
            <w:proofErr w:type="spellStart"/>
            <w:r w:rsidRPr="004817EC">
              <w:t>půmyslové</w:t>
            </w:r>
            <w:proofErr w:type="spellEnd"/>
            <w:r w:rsidRPr="004817EC">
              <w:t xml:space="preserve"> aplikace AI </w:t>
            </w:r>
            <w:proofErr w:type="spellStart"/>
            <w:r w:rsidRPr="004817EC">
              <w:t>based</w:t>
            </w:r>
            <w:proofErr w:type="spellEnd"/>
            <w:r w:rsidRPr="004817EC">
              <w:t xml:space="preserve"> rozpoznání hlasu, obrazu</w:t>
            </w:r>
          </w:p>
        </w:tc>
        <w:tc>
          <w:tcPr>
            <w:tcW w:w="2172" w:type="dxa"/>
          </w:tcPr>
          <w:p w14:paraId="577143A1" w14:textId="5DDFA628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 hod.</w:t>
            </w:r>
          </w:p>
        </w:tc>
        <w:tc>
          <w:tcPr>
            <w:tcW w:w="2173" w:type="dxa"/>
          </w:tcPr>
          <w:p w14:paraId="2F3C4AA9" w14:textId="67F647A3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0,- EUR</w:t>
            </w:r>
          </w:p>
        </w:tc>
        <w:tc>
          <w:tcPr>
            <w:tcW w:w="2168" w:type="dxa"/>
          </w:tcPr>
          <w:p w14:paraId="370900B3" w14:textId="6E2722C3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0,- EUR</w:t>
            </w:r>
          </w:p>
        </w:tc>
      </w:tr>
      <w:tr w:rsidR="00AE52AE" w:rsidRPr="00E37BC4" w14:paraId="0E96B82E" w14:textId="77777777" w:rsidTr="00DD3B49">
        <w:tc>
          <w:tcPr>
            <w:tcW w:w="2187" w:type="dxa"/>
          </w:tcPr>
          <w:p w14:paraId="5FD4F757" w14:textId="6E6D77EA" w:rsidR="00AE52AE" w:rsidRPr="00BB7E42" w:rsidRDefault="00AE52AE" w:rsidP="00AE52AE">
            <w:r w:rsidRPr="00BB7E42">
              <w:t>Ad 2.</w:t>
            </w:r>
            <w:r>
              <w:t xml:space="preserve">4. </w:t>
            </w:r>
            <w:r w:rsidRPr="004817EC">
              <w:t xml:space="preserve">Testy a </w:t>
            </w:r>
            <w:proofErr w:type="spellStart"/>
            <w:r w:rsidRPr="004817EC">
              <w:t>proof-of-concepty</w:t>
            </w:r>
            <w:proofErr w:type="spellEnd"/>
            <w:r w:rsidRPr="004817EC">
              <w:t xml:space="preserve"> v oblasti </w:t>
            </w:r>
            <w:proofErr w:type="spellStart"/>
            <w:r w:rsidRPr="004817EC">
              <w:t>půmyslové</w:t>
            </w:r>
            <w:proofErr w:type="spellEnd"/>
            <w:r w:rsidRPr="004817EC">
              <w:t xml:space="preserve"> aplikace AI </w:t>
            </w:r>
            <w:proofErr w:type="spellStart"/>
            <w:r w:rsidRPr="004817EC">
              <w:t>based</w:t>
            </w:r>
            <w:proofErr w:type="spellEnd"/>
            <w:r w:rsidRPr="004817EC">
              <w:t xml:space="preserve"> rozpoznání hlasu, obrazu</w:t>
            </w:r>
          </w:p>
        </w:tc>
        <w:tc>
          <w:tcPr>
            <w:tcW w:w="2172" w:type="dxa"/>
          </w:tcPr>
          <w:p w14:paraId="0821BD9E" w14:textId="789E4D8E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110 hod. </w:t>
            </w:r>
          </w:p>
        </w:tc>
        <w:tc>
          <w:tcPr>
            <w:tcW w:w="2173" w:type="dxa"/>
          </w:tcPr>
          <w:p w14:paraId="1174174A" w14:textId="6C124309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18,- EUR</w:t>
            </w:r>
          </w:p>
        </w:tc>
        <w:tc>
          <w:tcPr>
            <w:tcW w:w="2168" w:type="dxa"/>
          </w:tcPr>
          <w:p w14:paraId="2DAE30E6" w14:textId="13A29341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1 980,- EUR</w:t>
            </w:r>
          </w:p>
        </w:tc>
      </w:tr>
      <w:tr w:rsidR="00AE52AE" w:rsidRPr="00E37BC4" w14:paraId="3A74612A" w14:textId="77777777" w:rsidTr="00DD3B49">
        <w:tc>
          <w:tcPr>
            <w:tcW w:w="6532" w:type="dxa"/>
            <w:gridSpan w:val="3"/>
          </w:tcPr>
          <w:p w14:paraId="0F18DFC0" w14:textId="64DEFF63" w:rsidR="00AE52AE" w:rsidRPr="00E37BC4" w:rsidRDefault="00AE52AE" w:rsidP="00AE52AE">
            <w:pPr>
              <w:jc w:val="left"/>
            </w:pPr>
            <w:r w:rsidRPr="00E37BC4">
              <w:t>CELKOVÁ CENA SLUŽBY HRAZENÁ PŘÍJEMCEM</w:t>
            </w:r>
          </w:p>
        </w:tc>
        <w:tc>
          <w:tcPr>
            <w:tcW w:w="2168" w:type="dxa"/>
          </w:tcPr>
          <w:p w14:paraId="484C8418" w14:textId="2B0B46C7" w:rsidR="00AE52AE" w:rsidRPr="00BB7E42" w:rsidRDefault="00AE52AE" w:rsidP="00AE52AE">
            <w:pPr>
              <w:jc w:val="center"/>
            </w:pPr>
            <w:r>
              <w:rPr>
                <w:color w:val="000000" w:themeColor="text1"/>
              </w:rPr>
              <w:t>4 830,- EUR</w:t>
            </w:r>
          </w:p>
        </w:tc>
      </w:tr>
    </w:tbl>
    <w:p w14:paraId="3C8A124D" w14:textId="77777777" w:rsidR="001B1E6B" w:rsidRPr="001B1E6B" w:rsidRDefault="001B1E6B" w:rsidP="001B1E6B"/>
    <w:p w14:paraId="5BA9B36A" w14:textId="123ED0D8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AE52AE">
        <w:rPr>
          <w:color w:val="000000" w:themeColor="text1"/>
        </w:rPr>
        <w:t>4 830,-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AE52AE">
        <w:rPr>
          <w:color w:val="000000" w:themeColor="text1"/>
        </w:rPr>
        <w:t>11 072,84</w:t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lastRenderedPageBreak/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AE52AE" w:rsidRPr="002A64EF" w14:paraId="4C8E50A0" w14:textId="77777777" w:rsidTr="00EB6CA2">
        <w:tc>
          <w:tcPr>
            <w:tcW w:w="2185" w:type="dxa"/>
            <w:vAlign w:val="center"/>
          </w:tcPr>
          <w:p w14:paraId="3B183345" w14:textId="1FCA77E9" w:rsidR="00AE52AE" w:rsidRPr="00E96F7D" w:rsidRDefault="00AE52AE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52 727,80 EUR</w:t>
            </w:r>
          </w:p>
        </w:tc>
        <w:tc>
          <w:tcPr>
            <w:tcW w:w="2172" w:type="dxa"/>
          </w:tcPr>
          <w:p w14:paraId="2A739F55" w14:textId="4ADFCFAB" w:rsidR="00AE52AE" w:rsidRPr="00E96F7D" w:rsidRDefault="00AE52AE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4 830,- EUR</w:t>
            </w:r>
          </w:p>
        </w:tc>
        <w:tc>
          <w:tcPr>
            <w:tcW w:w="2173" w:type="dxa"/>
          </w:tcPr>
          <w:p w14:paraId="30B43B60" w14:textId="2446AFB2" w:rsidR="00AE52AE" w:rsidRPr="00E96F7D" w:rsidRDefault="00AE52AE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47 897,80 EUR</w:t>
            </w:r>
          </w:p>
        </w:tc>
        <w:tc>
          <w:tcPr>
            <w:tcW w:w="2172" w:type="dxa"/>
          </w:tcPr>
          <w:p w14:paraId="0D568DE5" w14:textId="113D851C" w:rsidR="00AE52AE" w:rsidRPr="00E96F7D" w:rsidRDefault="00AE52AE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23 948,90 EUR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lastRenderedPageBreak/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66CB863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22401503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AE52AE">
        <w:rPr>
          <w:color w:val="000000" w:themeColor="text1"/>
        </w:rPr>
        <w:t>1.4.2025</w:t>
      </w:r>
      <w:r w:rsidRPr="00401139">
        <w:rPr>
          <w:color w:val="000000" w:themeColor="text1"/>
        </w:rPr>
        <w:t xml:space="preserve">     do  </w:t>
      </w:r>
      <w:r w:rsidR="00AE52AE">
        <w:rPr>
          <w:color w:val="000000" w:themeColor="text1"/>
        </w:rPr>
        <w:t>28.2.2026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6B987DCD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AE52AE" w:rsidRPr="00EB159A">
        <w:rPr>
          <w:color w:val="000000" w:themeColor="text1"/>
        </w:rPr>
        <w:t>Kydlinovská 29/77, Hradec Králové - Pražské Předměstí, 50002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5CF30C40" w14:textId="6884488F" w:rsidR="0074795E" w:rsidRPr="00C84C17" w:rsidRDefault="008B5C4F" w:rsidP="0074795E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lastRenderedPageBreak/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74795E">
        <w:rPr>
          <w:color w:val="000000" w:themeColor="text1"/>
        </w:rPr>
        <w:t>poskytnout potřebná data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lastRenderedPageBreak/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7F9804B7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commentRangeStart w:id="2"/>
    <w:p w14:paraId="0E5D22BA" w14:textId="3A9D63AD" w:rsidR="006B7781" w:rsidRDefault="006B7781" w:rsidP="00CB74F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74795E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795E">
        <w:rPr>
          <w:bCs/>
          <w:color w:val="000000"/>
        </w:rPr>
        <w:instrText xml:space="preserve"> FORMTEXT </w:instrText>
      </w:r>
      <w:r w:rsidRPr="0074795E">
        <w:rPr>
          <w:bCs/>
          <w:color w:val="000000"/>
        </w:rPr>
      </w:r>
      <w:r w:rsidRPr="0074795E">
        <w:rPr>
          <w:bCs/>
          <w:color w:val="000000"/>
        </w:rPr>
        <w:fldChar w:fldCharType="separate"/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74795E">
        <w:rPr>
          <w:bCs/>
          <w:color w:val="000000"/>
        </w:rPr>
        <w:fldChar w:fldCharType="end"/>
      </w:r>
      <w:r w:rsidRPr="006B7781">
        <w:t xml:space="preserve"> 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  <w:commentRangeEnd w:id="2"/>
      <w:r w:rsidR="00D23D42">
        <w:rPr>
          <w:rStyle w:val="Odkaznakoment"/>
        </w:rPr>
        <w:commentReference w:id="2"/>
      </w:r>
    </w:p>
    <w:p w14:paraId="718235DC" w14:textId="05F9E49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lastRenderedPageBreak/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42F1C085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4F7376C5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BBAE3EE" w14:textId="0BD256A8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5AC2405E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411924">
              <w:rPr>
                <w:sz w:val="24"/>
                <w:szCs w:val="24"/>
              </w:rPr>
              <w:t>11.3.2025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0E269CBA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74795E">
              <w:rPr>
                <w:sz w:val="24"/>
                <w:szCs w:val="24"/>
              </w:rPr>
              <w:t>Ivo Stráník</w:t>
            </w:r>
          </w:p>
          <w:p w14:paraId="487D8459" w14:textId="059A811E" w:rsidR="008B5C4F" w:rsidRPr="00503DFE" w:rsidRDefault="008B5C4F" w:rsidP="0074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241C2">
              <w:rPr>
                <w:sz w:val="24"/>
                <w:szCs w:val="24"/>
              </w:rPr>
              <w:t>Funkce předseda</w:t>
            </w:r>
            <w:r w:rsidR="0074795E">
              <w:rPr>
                <w:sz w:val="24"/>
                <w:szCs w:val="24"/>
              </w:rPr>
              <w:t xml:space="preserve"> představenstva</w:t>
            </w:r>
          </w:p>
          <w:p w14:paraId="124B1BA2" w14:textId="36C56B55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74795E">
              <w:rPr>
                <w:sz w:val="24"/>
                <w:szCs w:val="24"/>
              </w:rPr>
              <w:t> Hradci Králové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411924">
              <w:rPr>
                <w:sz w:val="24"/>
                <w:szCs w:val="24"/>
              </w:rPr>
              <w:t>5.3.2025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6EAF66C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5EFC698B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3F5B282F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4"/>
      <w:footerReference w:type="default" r:id="rId1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vana Vodolanová" w:date="2024-08-29T08:53:00Z" w:initials="IV">
    <w:p w14:paraId="0B45307B" w14:textId="77777777" w:rsidR="00971C9D" w:rsidRDefault="00971C9D" w:rsidP="00971C9D">
      <w:pPr>
        <w:pStyle w:val="Textkomente"/>
      </w:pPr>
      <w:r>
        <w:rPr>
          <w:rStyle w:val="Odkaznakoment"/>
        </w:rPr>
        <w:annotationRef/>
      </w:r>
      <w:r>
        <w:t>Případně doplnit ještě děkany součástí, které by se na této službě podílely.</w:t>
      </w:r>
    </w:p>
    <w:p w14:paraId="777A41DE" w14:textId="283DD02B" w:rsidR="00971C9D" w:rsidRDefault="00971C9D">
      <w:pPr>
        <w:pStyle w:val="Textkomente"/>
      </w:pPr>
    </w:p>
  </w:comment>
  <w:comment w:id="2" w:author="Ivana Vodolanová" w:date="2024-05-09T10:47:00Z" w:initials="IV">
    <w:p w14:paraId="47FD5AFD" w14:textId="3A829853" w:rsidR="00D23D42" w:rsidRDefault="00D23D42">
      <w:pPr>
        <w:pStyle w:val="Textkomente"/>
      </w:pPr>
      <w:r>
        <w:rPr>
          <w:rStyle w:val="Odkaznakoment"/>
        </w:rPr>
        <w:annotationRef/>
      </w:r>
      <w:r>
        <w:t>Vybrat příslušnou variantu a druhou vymazat. Ve vybrané variantě též vymazat text „Varianta ... – hodnota Smlouvy do/nad 50 000 Kč. Tzn. text bodu 11.8. Bude vždy začínat slovy „Smlouva nabývá platnosti ....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7A41DE" w15:done="0"/>
  <w15:commentEx w15:paraId="47FD5A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7A41DE" w16cid:durableId="2AAE6793"/>
  <w16cid:commentId w16cid:paraId="47FD5AFD" w16cid:durableId="2AAE67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3C53" w14:textId="77777777" w:rsidR="00030B76" w:rsidRDefault="00030B76" w:rsidP="00DC542A">
      <w:pPr>
        <w:spacing w:line="240" w:lineRule="auto"/>
      </w:pPr>
      <w:r>
        <w:separator/>
      </w:r>
    </w:p>
  </w:endnote>
  <w:endnote w:type="continuationSeparator" w:id="0">
    <w:p w14:paraId="5FC80AE4" w14:textId="77777777" w:rsidR="00030B76" w:rsidRDefault="00030B76" w:rsidP="00DC542A">
      <w:pPr>
        <w:spacing w:line="240" w:lineRule="auto"/>
      </w:pPr>
      <w:r>
        <w:continuationSeparator/>
      </w:r>
    </w:p>
  </w:endnote>
  <w:endnote w:type="continuationNotice" w:id="1">
    <w:p w14:paraId="526C7B74" w14:textId="77777777" w:rsidR="00030B76" w:rsidRDefault="00030B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A413" w14:textId="77777777" w:rsidR="00030B76" w:rsidRDefault="00030B76" w:rsidP="00DC542A">
      <w:pPr>
        <w:spacing w:line="240" w:lineRule="auto"/>
      </w:pPr>
      <w:r>
        <w:separator/>
      </w:r>
    </w:p>
  </w:footnote>
  <w:footnote w:type="continuationSeparator" w:id="0">
    <w:p w14:paraId="215C6E48" w14:textId="77777777" w:rsidR="00030B76" w:rsidRDefault="00030B76" w:rsidP="00DC542A">
      <w:pPr>
        <w:spacing w:line="240" w:lineRule="auto"/>
      </w:pPr>
      <w:r>
        <w:continuationSeparator/>
      </w:r>
    </w:p>
  </w:footnote>
  <w:footnote w:type="continuationNotice" w:id="1">
    <w:p w14:paraId="71B5EBFE" w14:textId="77777777" w:rsidR="00030B76" w:rsidRDefault="00030B76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3CF614CD" w:rsidR="00606ED4" w:rsidRDefault="00606ED4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6C519141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C9D">
          <w:rPr>
            <w:noProof/>
          </w:rPr>
          <w:t>5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ana Vodolanová">
    <w15:presenceInfo w15:providerId="None" w15:userId="Ivana Vodola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markup="0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30B76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3136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41C2"/>
    <w:rsid w:val="002252AE"/>
    <w:rsid w:val="00227AF8"/>
    <w:rsid w:val="002332A3"/>
    <w:rsid w:val="00235B26"/>
    <w:rsid w:val="00237DBE"/>
    <w:rsid w:val="00240B23"/>
    <w:rsid w:val="0024617F"/>
    <w:rsid w:val="00251D98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2CDC"/>
    <w:rsid w:val="002855D9"/>
    <w:rsid w:val="00286A37"/>
    <w:rsid w:val="00287347"/>
    <w:rsid w:val="00287F79"/>
    <w:rsid w:val="00291C8F"/>
    <w:rsid w:val="00292A44"/>
    <w:rsid w:val="00297C97"/>
    <w:rsid w:val="002A6381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1DAC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1924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22F3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6FC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C04BC"/>
    <w:rsid w:val="005C0C87"/>
    <w:rsid w:val="005C269B"/>
    <w:rsid w:val="005C74A0"/>
    <w:rsid w:val="005D0683"/>
    <w:rsid w:val="005D4ED1"/>
    <w:rsid w:val="005D4F0B"/>
    <w:rsid w:val="005F0214"/>
    <w:rsid w:val="005F1E12"/>
    <w:rsid w:val="00606A65"/>
    <w:rsid w:val="00606ED4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977EF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645D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4795E"/>
    <w:rsid w:val="00750918"/>
    <w:rsid w:val="00750F49"/>
    <w:rsid w:val="0075525B"/>
    <w:rsid w:val="00760B13"/>
    <w:rsid w:val="00762511"/>
    <w:rsid w:val="00763F8C"/>
    <w:rsid w:val="00764B3D"/>
    <w:rsid w:val="0076717E"/>
    <w:rsid w:val="00767DF0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3065B"/>
    <w:rsid w:val="00840A62"/>
    <w:rsid w:val="00845C16"/>
    <w:rsid w:val="0084666B"/>
    <w:rsid w:val="0085292C"/>
    <w:rsid w:val="00853C2E"/>
    <w:rsid w:val="00856F54"/>
    <w:rsid w:val="00861909"/>
    <w:rsid w:val="00870283"/>
    <w:rsid w:val="00871844"/>
    <w:rsid w:val="00874ADE"/>
    <w:rsid w:val="008768D7"/>
    <w:rsid w:val="008904F8"/>
    <w:rsid w:val="00890673"/>
    <w:rsid w:val="008914A8"/>
    <w:rsid w:val="008918E0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8F53B8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C3999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BF5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2214"/>
    <w:rsid w:val="00A97155"/>
    <w:rsid w:val="00AB2A77"/>
    <w:rsid w:val="00AB47BF"/>
    <w:rsid w:val="00AC301A"/>
    <w:rsid w:val="00AC4584"/>
    <w:rsid w:val="00AE320C"/>
    <w:rsid w:val="00AE43DB"/>
    <w:rsid w:val="00AE4F93"/>
    <w:rsid w:val="00AE52AE"/>
    <w:rsid w:val="00AF0C01"/>
    <w:rsid w:val="00AF120D"/>
    <w:rsid w:val="00AF1832"/>
    <w:rsid w:val="00AF533A"/>
    <w:rsid w:val="00AF7C87"/>
    <w:rsid w:val="00B00E85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2B9D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53A3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0DF6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CB"/>
    <w:rsid w:val="00E206DD"/>
    <w:rsid w:val="00E2088C"/>
    <w:rsid w:val="00E23E70"/>
    <w:rsid w:val="00E26684"/>
    <w:rsid w:val="00E26B18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72105"/>
    <w:rsid w:val="00E80015"/>
    <w:rsid w:val="00E811CC"/>
    <w:rsid w:val="00E877F7"/>
    <w:rsid w:val="00E94FAD"/>
    <w:rsid w:val="00E96F7D"/>
    <w:rsid w:val="00EA1592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63A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A306F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e0fb9b0-b993-473a-b020-0e26f7bcde7a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E4C864-E505-4AD2-8DFA-CF82A7AE9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B44D4-135C-4150-9E73-46003230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2588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3</cp:revision>
  <cp:lastPrinted>2025-03-13T10:14:00Z</cp:lastPrinted>
  <dcterms:created xsi:type="dcterms:W3CDTF">2025-03-13T09:52:00Z</dcterms:created>
  <dcterms:modified xsi:type="dcterms:W3CDTF">2025-03-13T10:22:00Z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