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  <w:bookmarkEnd w:id="2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  <w:bookmarkEnd w:id="3"/>
      <w:bookmarkEnd w:id="4"/>
      <w:bookmarkEnd w:id="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1035/2024</w:t>
        <w:br/>
        <w:t>č. smlouvy zhotovitele: VP05/2024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286" w:left="1394" w:right="1394" w:bottom="3004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„VD Křímov – rekonstrukce a zkapacitnění odpadního koryta a lmg profilu“ -</w:t>
        <w:br/>
        <w:t>projektová dokumentace (DSP/DPS)</w:t>
      </w:r>
    </w:p>
    <w:p>
      <w:pPr>
        <w:widowControl w:val="0"/>
        <w:spacing w:before="73" w:after="7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0" w:right="0" w:bottom="3004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  <w:bookmarkEnd w:id="6"/>
      <w:bookmarkEnd w:id="7"/>
      <w:bookmarkEnd w:id="8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 zástupce ve věcech technických: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1394" w:right="3050" w:bottom="3004" w:header="0" w:footer="3" w:gutter="0"/>
          <w:cols w:num="2" w:space="456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4" w:after="11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9" w:left="0" w:right="0" w:bottom="1649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13"/>
        <w:keepNext/>
        <w:keepLines/>
        <w:widowControl w:val="0"/>
        <w:shd w:val="clear" w:color="auto" w:fill="auto"/>
        <w:tabs>
          <w:tab w:pos="4195" w:val="left"/>
        </w:tabs>
        <w:bidi w:val="0"/>
        <w:spacing w:before="0" w:after="0" w:line="240" w:lineRule="auto"/>
        <w:ind w:left="0" w:right="0" w:firstLine="0"/>
        <w:jc w:val="both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“VP PROJEKTING” s.r.o.</w:t>
      </w:r>
      <w:bookmarkEnd w:id="10"/>
      <w:bookmarkEnd w:id="11"/>
      <w:bookmarkEnd w:id="9"/>
    </w:p>
    <w:p>
      <w:pPr>
        <w:pStyle w:val="Style9"/>
        <w:keepNext w:val="0"/>
        <w:keepLines w:val="0"/>
        <w:widowControl w:val="0"/>
        <w:shd w:val="clear" w:color="auto" w:fill="auto"/>
        <w:tabs>
          <w:tab w:pos="419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Přemyslova 84/3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40" w:line="269" w:lineRule="auto"/>
        <w:ind w:left="0" w:right="0" w:firstLine="42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Praha 2 – Vyšehrad doručovací adresa: oprávněn(i) k podpisu smlouvy: oprávněn(i) jednat o věcech smluvních: oprávněn(i) jednat o věcech technických: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642620" distL="114300" distR="2095500" simplePos="0" relativeHeight="125829378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12700</wp:posOffset>
                </wp:positionV>
                <wp:extent cx="841375" cy="38735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63676907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CZ63676907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82.10000000000002pt;margin-top:1.pt;width:66.25pt;height:30.5pt;z-index:-125829375;mso-wrap-distance-left:9.pt;mso-wrap-distance-right:165.pt;mso-wrap-distance-bottom:50.600000000000001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63676907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CZ63676907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643255" distB="0" distL="114300" distR="114300" simplePos="0" relativeHeight="125829380" behindDoc="0" locked="0" layoutInCell="1" allowOverlap="1">
                <wp:simplePos x="0" y="0"/>
                <wp:positionH relativeFrom="page">
                  <wp:posOffset>3582670</wp:posOffset>
                </wp:positionH>
                <wp:positionV relativeFrom="paragraph">
                  <wp:posOffset>655955</wp:posOffset>
                </wp:positionV>
                <wp:extent cx="2822575" cy="38735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2257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Městský soud v Praze, oddíl C, vložka 37180 m8ibaaq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2.10000000000002pt;margin-top:51.649999999999999pt;width:222.25pt;height:30.5pt;z-index:-125829373;mso-wrap-distance-left:9.pt;mso-wrap-distance-top:50.64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Městský soud v Praze, oddíl C, vložka 37180 m8ibaaq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ID datové schránky: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dále jen „smluvní strany“)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uzavírán z důvodu probíhajícího majetkoprávního vypořádání pozemku (MPV) p.č. 231/1 k.ú. Suchdol u Křímova, na kterém bude umístěna stavba. Nelze tedy projektovou dokumentaci projednat s dotčenými orgány státní správy.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dokončení (MPV) bude v rámci inženýrské činnosti mimo jiné také zajištěno: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3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posudku na vynětí pozemku z PUPFL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3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Jednotné environmentální stanovisko (JES)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62" w:lineRule="auto"/>
        <w:ind w:left="0" w:right="0" w:firstLine="3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Výjimka z prací v přírodní rezervaci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ČI. III. Termíny plnění a Čl. V. Platební podmínky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TERMÍNY PLNĚNÍ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– předání kompletní PD (2x tištěné + elektronicky) po projednání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758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ZVV:</w:t>
        <w:tab/>
        <w:t>nejpozději do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14.03.2025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(1 x tištěné + elektronicky):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28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– předání kompletní PD (2 x tištěné + elektronicky) po projednání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6379" w:val="left"/>
          <w:tab w:pos="866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ZVV: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</w:t>
        <w:tab/>
        <w:t>do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16.01.2026</w:t>
      </w:r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0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(1 x tištěné + elektronicky):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28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V. PLATEBNÍ PODMÍNKY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7" w:val="left"/>
        </w:tabs>
        <w:bidi w:val="0"/>
        <w:spacing w:before="0" w:line="240" w:lineRule="auto"/>
        <w:ind w:left="740" w:right="0" w:hanging="34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prvního dílčího plnění dnem protokolárního předání a převzetí kompletní PD ve výši 80 % z částky 369 000,- Kč, tj. 295 200,- Kč bez DPH.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97" w:val="left"/>
        </w:tabs>
        <w:bidi w:val="0"/>
        <w:spacing w:before="0" w:after="440" w:line="240" w:lineRule="auto"/>
        <w:ind w:left="740" w:right="0" w:hanging="34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celkového plnění dnem podpisu „Rozhodnutí“ o schválení PD stupně generálním ředitelem Povodí Ohře, s. p., po předchozím projednání v dokumentační komisi (DK) ve výši zbývajících 20 % z částky 369 000,- Kč, tj. 73 800,- Kč bez DPH.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20" w:name="bookmark20"/>
      <w:bookmarkStart w:id="21" w:name="bookmark21"/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  <w:bookmarkEnd w:id="20"/>
      <w:bookmarkEnd w:id="21"/>
      <w:bookmarkEnd w:id="2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bude provedena následovně: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a) V případě protokolárního předání a převzetí PD v elektronické podobě s odsouhlaseným technickým řešením v rozsahu dokumentace pro povolení stavby bez dokladové části ve výši 50 % z částky 369 000,- Kč,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tj. 184 500,-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4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b) V případě prvního dílčího plnění dnem protokolárního předání a převzetí kompletní PD ve výši 30 % z částky 369 000,- Kč,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110 700,-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2" w:val="left"/>
        </w:tabs>
        <w:bidi w:val="0"/>
        <w:spacing w:before="0" w:after="700" w:line="240" w:lineRule="auto"/>
        <w:ind w:left="740" w:right="0" w:hanging="34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 celkového plnění dnem podpisu „Rozhodnutí“ o schválení PD generálním ředitelem Povodí Ohře, s. p., po předchozím projednání v dokumentační komisi (DK) ve výši zbývajících 20 % z částky 369 000,- Kč, tj.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73 800,- Kč bez DPH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00" w:line="240" w:lineRule="auto"/>
        <w:ind w:left="2140" w:right="0" w:firstLine="0"/>
        <w:jc w:val="both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1</w:t>
      </w:r>
      <w:bookmarkEnd w:id="24"/>
      <w:bookmarkEnd w:id="25"/>
      <w:bookmarkEnd w:id="26"/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left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line="240" w:lineRule="auto"/>
        <w:ind w:left="380" w:right="0" w:hanging="38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700" w:line="240" w:lineRule="auto"/>
        <w:ind w:left="380" w:right="0" w:hanging="38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64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9" w:left="1393" w:right="1390" w:bottom="164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12700</wp:posOffset>
                </wp:positionV>
                <wp:extent cx="1207135" cy="22860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713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Chomutově,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650000000000006pt;margin-top:1.pt;width:95.049999999999997pt;height:18.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Chomutově, dne: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Varech, dne: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4" w:after="1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6" w:left="0" w:right="0" w:bottom="14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investiční ředitel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jednatel společnosti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6" w:left="1394" w:right="2364" w:bottom="1421" w:header="0" w:footer="3" w:gutter="0"/>
          <w:cols w:num="2" w:space="175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“VP PROJEKTING”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56" w:left="1394" w:right="2364" w:bottom="1421" w:header="0" w:footer="3" w:gutter="0"/>
      <w:cols w:num="2" w:space="1757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9791700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1.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4808220</wp:posOffset>
              </wp:positionH>
              <wp:positionV relativeFrom="page">
                <wp:posOffset>434975</wp:posOffset>
              </wp:positionV>
              <wp:extent cx="1852930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5293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1 k SOD č.1035/2024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8.60000000000002pt;margin-top:34.25pt;width:145.90000000000001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1 k SOD č.1035/2024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00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