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254/2025</w:t>
      </w:r>
      <w:bookmarkEnd w:id="6"/>
      <w:bookmarkEnd w:id="7"/>
      <w:bookmarkEnd w:id="8"/>
    </w:p>
    <w:p>
      <w:pPr>
        <w:pStyle w:val="Style2"/>
        <w:keepNext/>
        <w:keepLines/>
        <w:widowControl w:val="0"/>
        <w:shd w:val="clear" w:color="auto" w:fill="auto"/>
        <w:tabs>
          <w:tab w:pos="3595" w:val="left"/>
        </w:tabs>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/2025</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660" w:line="240" w:lineRule="auto"/>
        <w:ind w:left="0" w:right="0" w:firstLine="0"/>
        <w:jc w:val="center"/>
      </w:pPr>
      <w:r>
        <w:rPr>
          <w:b/>
          <w:bCs/>
          <w:color w:val="000000"/>
          <w:spacing w:val="0"/>
          <w:w w:val="100"/>
          <w:position w:val="0"/>
          <w:shd w:val="clear" w:color="auto" w:fill="auto"/>
          <w:lang w:val="cs-CZ" w:eastAsia="cs-CZ" w:bidi="cs-CZ"/>
        </w:rPr>
        <w:t>VT Rolava horní-křoviny v Nejdku</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1202"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20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technický dozor objednatele:</w:t>
      </w:r>
      <w:bookmarkEnd w:id="20"/>
      <w:bookmarkEnd w:id="21"/>
      <w:bookmarkEnd w:id="22"/>
    </w:p>
    <w:p>
      <w:pPr>
        <w:pStyle w:val="Style9"/>
        <w:keepNext w:val="0"/>
        <w:keepLines w:val="0"/>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IČO:</w:t>
      </w:r>
      <w:bookmarkEnd w:id="23"/>
      <w:bookmarkEnd w:id="24"/>
      <w:bookmarkEnd w:id="25"/>
      <w:bookmarkEnd w:id="26"/>
    </w:p>
    <w:p>
      <w:pPr>
        <w:pStyle w:val="Style9"/>
        <w:keepNext w:val="0"/>
        <w:keepLines w:val="0"/>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DIČ:</w:t>
      </w:r>
      <w:bookmarkEnd w:id="27"/>
      <w:bookmarkEnd w:id="28"/>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2"/>
      <w:bookmarkEnd w:id="33"/>
      <w:bookmarkEnd w:id="34"/>
      <w:bookmarkEnd w:id="35"/>
      <w:bookmarkEnd w:id="36"/>
    </w:p>
    <w:p>
      <w:pPr>
        <w:pStyle w:val="Style2"/>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7"/>
      <w:bookmarkEnd w:id="38"/>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Povodí Ohře, státní podnik</w:t>
      </w:r>
      <w:bookmarkEnd w:id="42"/>
      <w:bookmarkEnd w:id="43"/>
      <w:bookmarkEnd w:id="44"/>
    </w:p>
    <w:p>
      <w:pPr>
        <w:pStyle w:val="Style9"/>
        <w:keepNext w:val="0"/>
        <w:keepLines w:val="0"/>
        <w:widowControl w:val="0"/>
        <w:shd w:val="clear" w:color="auto" w:fill="auto"/>
        <w:bidi w:val="0"/>
        <w:spacing w:before="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Bezručova 4219, 430 03 Chomutov generální ředitel</w:t>
      </w:r>
      <w:bookmarkEnd w:id="45"/>
      <w:bookmarkEnd w:id="46"/>
    </w:p>
    <w:p>
      <w:pPr>
        <w:pStyle w:val="Style9"/>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ředitel závodu Karlovy Vary vedoucí provozu Karlovy Vary tel.:, e-mail:</w:t>
      </w:r>
      <w:bookmarkEnd w:id="4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 úseku střed Karlovy Vary tel.:, 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1202"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before="75" w:after="7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20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1389" w:bottom="1202" w:header="0" w:footer="3" w:gutter="0"/>
          <w:cols w:space="720"/>
          <w:noEndnote/>
          <w:rtlGutter w:val="0"/>
          <w:docGrid w:linePitch="360"/>
        </w:sectPr>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0" w:after="7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202" w:header="0" w:footer="3" w:gutter="0"/>
          <w:cols w:space="720"/>
          <w:noEndnote/>
          <w:rtlGutter w:val="0"/>
          <w:docGrid w:linePitch="360"/>
        </w:sectPr>
      </w:pPr>
    </w:p>
    <w:p>
      <w:pPr>
        <w:widowControl w:val="0"/>
        <w:spacing w:line="1" w:lineRule="exact"/>
      </w:pPr>
      <w:r>
        <mc:AlternateContent>
          <mc:Choice Requires="wps">
            <w:drawing>
              <wp:anchor distT="190500" distB="571500" distL="101600" distR="101600" simplePos="0" relativeHeight="125829378" behindDoc="0" locked="0" layoutInCell="1" allowOverlap="1">
                <wp:simplePos x="0" y="0"/>
                <wp:positionH relativeFrom="page">
                  <wp:posOffset>3628390</wp:posOffset>
                </wp:positionH>
                <wp:positionV relativeFrom="paragraph">
                  <wp:posOffset>1957070</wp:posOffset>
                </wp:positionV>
                <wp:extent cx="3051175" cy="387350"/>
                <wp:wrapTopAndBottom/>
                <wp:docPr id="3" name="Shape 3"/>
                <a:graphic xmlns:a="http://schemas.openxmlformats.org/drawingml/2006/main">
                  <a:graphicData uri="http://schemas.microsoft.com/office/word/2010/wordprocessingShape">
                    <wps:wsp>
                      <wps:cNvSpPr txBox="1"/>
                      <wps:spPr>
                        <a:xfrm>
                          <a:ext cx="305117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vydaný v Mar. Lázních, pod e. č. ZIV/21/387/JS</w:t>
                            </w:r>
                          </w:p>
                        </w:txbxContent>
                      </wps:txbx>
                      <wps:bodyPr lIns="0" tIns="0" rIns="0" bIns="0">
                        <a:noAutoFit/>
                      </wps:bodyPr>
                    </wps:wsp>
                  </a:graphicData>
                </a:graphic>
              </wp:anchor>
            </w:drawing>
          </mc:Choice>
          <mc:Fallback>
            <w:pict>
              <v:shape id="_x0000_s1029" type="#_x0000_t202" style="position:absolute;margin-left:285.69999999999999pt;margin-top:154.09999999999999pt;width:240.25pt;height:30.5pt;z-index:-125829375;mso-wrap-distance-left:8.pt;mso-wrap-distance-top:15.pt;mso-wrap-distance-right:8.pt;mso-wrap-distance-bottom:4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vydaný v Mar. Lázních, pod e. č. ZIV/21/387/JS</w:t>
                      </w:r>
                    </w:p>
                  </w:txbxContent>
                </v:textbox>
                <w10:wrap type="topAndBottom" anchorx="page"/>
              </v:shape>
            </w:pict>
          </mc:Fallback>
        </mc:AlternateContent>
      </w:r>
    </w:p>
    <w:p>
      <w:pPr>
        <w:pStyle w:val="Style9"/>
        <w:keepNext w:val="0"/>
        <w:keepLines w:val="0"/>
        <w:widowControl w:val="0"/>
        <w:shd w:val="clear" w:color="auto" w:fill="auto"/>
        <w:bidi w:val="0"/>
        <w:spacing w:before="0" w:after="0" w:line="276" w:lineRule="auto"/>
        <w:ind w:left="0" w:right="0" w:firstLine="0"/>
        <w:jc w:val="left"/>
      </w:pPr>
      <w:bookmarkStart w:id="51" w:name="bookmark51"/>
      <w:r>
        <w:rPr>
          <w:b/>
          <w:bCs/>
          <w:color w:val="000000"/>
          <w:spacing w:val="0"/>
          <w:w w:val="100"/>
          <w:position w:val="0"/>
          <w:shd w:val="clear" w:color="auto" w:fill="auto"/>
          <w:lang w:val="cs-CZ" w:eastAsia="cs-CZ" w:bidi="cs-CZ"/>
        </w:rPr>
        <w:t>Zhotovitel:</w:t>
      </w:r>
      <w:bookmarkEnd w:id="51"/>
    </w:p>
    <w:p>
      <w:pPr>
        <w:pStyle w:val="Style9"/>
        <w:keepNext w:val="0"/>
        <w:keepLines w:val="0"/>
        <w:widowControl w:val="0"/>
        <w:shd w:val="clear" w:color="auto" w:fill="auto"/>
        <w:bidi w:val="0"/>
        <w:spacing w:before="0" w:after="0" w:line="276" w:lineRule="auto"/>
        <w:ind w:left="0" w:right="0" w:firstLine="0"/>
        <w:jc w:val="left"/>
      </w:pPr>
      <w:bookmarkStart w:id="52" w:name="bookmark52"/>
      <w:r>
        <w:rPr>
          <w:color w:val="000000"/>
          <w:spacing w:val="0"/>
          <w:w w:val="100"/>
          <w:position w:val="0"/>
          <w:shd w:val="clear" w:color="auto" w:fill="auto"/>
          <w:lang w:val="cs-CZ" w:eastAsia="cs-CZ" w:bidi="cs-CZ"/>
        </w:rPr>
        <w:t>Sídlo:</w:t>
      </w:r>
      <w:bookmarkEnd w:id="52"/>
    </w:p>
    <w:p>
      <w:pPr>
        <w:pStyle w:val="Style9"/>
        <w:keepNext w:val="0"/>
        <w:keepLines w:val="0"/>
        <w:widowControl w:val="0"/>
        <w:shd w:val="clear" w:color="auto" w:fill="auto"/>
        <w:bidi w:val="0"/>
        <w:spacing w:before="0" w:after="260" w:line="276"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53"/>
      <w:bookmarkEnd w:id="54"/>
      <w:bookmarkEnd w:id="55"/>
    </w:p>
    <w:p>
      <w:pPr>
        <w:pStyle w:val="Style9"/>
        <w:keepNext w:val="0"/>
        <w:keepLines w:val="0"/>
        <w:widowControl w:val="0"/>
        <w:shd w:val="clear" w:color="auto" w:fill="auto"/>
        <w:bidi w:val="0"/>
        <w:spacing w:before="0" w:after="0" w:line="276"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IČO:</w:t>
      </w:r>
      <w:bookmarkEnd w:id="56"/>
      <w:bookmarkEnd w:id="57"/>
      <w:bookmarkEnd w:id="58"/>
    </w:p>
    <w:p>
      <w:pPr>
        <w:pStyle w:val="Style9"/>
        <w:keepNext w:val="0"/>
        <w:keepLines w:val="0"/>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DIČ:</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bookmarkStart w:id="65" w:name="bookmark65"/>
      <w:bookmarkStart w:id="66" w:name="bookmark66"/>
      <w:r>
        <w:rPr>
          <w:color w:val="000000"/>
          <w:spacing w:val="0"/>
          <w:w w:val="100"/>
          <w:position w:val="0"/>
          <w:shd w:val="clear" w:color="auto" w:fill="auto"/>
          <w:lang w:val="cs-CZ" w:eastAsia="cs-CZ" w:bidi="cs-CZ"/>
        </w:rPr>
        <w:t>bankovní spojení:</w:t>
      </w:r>
      <w:bookmarkEnd w:id="62"/>
      <w:bookmarkEnd w:id="63"/>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bookmarkStart w:id="70" w:name="bookmark70"/>
      <w:bookmarkStart w:id="71" w:name="bookmark71"/>
      <w:r>
        <w:rPr>
          <w:color w:val="000000"/>
          <w:spacing w:val="0"/>
          <w:w w:val="100"/>
          <w:position w:val="0"/>
          <w:shd w:val="clear" w:color="auto" w:fill="auto"/>
          <w:lang w:val="cs-CZ" w:eastAsia="cs-CZ" w:bidi="cs-CZ"/>
        </w:rPr>
        <w:t>číslo účtu:</w:t>
      </w:r>
      <w:bookmarkEnd w:id="67"/>
      <w:bookmarkEnd w:id="68"/>
      <w:bookmarkEnd w:id="69"/>
      <w:bookmarkEnd w:id="70"/>
      <w:bookmarkEnd w:id="71"/>
    </w:p>
    <w:p>
      <w:pPr>
        <w:pStyle w:val="Style9"/>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zápis v živnostenském rejstříku:</w:t>
      </w:r>
    </w:p>
    <w:p>
      <w:pPr>
        <w:pStyle w:val="Style2"/>
        <w:keepNext/>
        <w:keepLines/>
        <w:widowControl w:val="0"/>
        <w:shd w:val="clear" w:color="auto" w:fill="auto"/>
        <w:bidi w:val="0"/>
        <w:spacing w:before="0" w:after="360" w:line="276"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(dále jen „zhotovitel“)</w:t>
      </w:r>
      <w:bookmarkEnd w:id="72"/>
      <w:bookmarkEnd w:id="73"/>
      <w:bookmarkEnd w:id="74"/>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2"/>
        <w:keepNext/>
        <w:keepLines/>
        <w:widowControl w:val="0"/>
        <w:shd w:val="clear" w:color="auto" w:fill="auto"/>
        <w:bidi w:val="0"/>
        <w:spacing w:before="0" w:after="114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Tř. Osvoboditelů 895, 357 31 Horní Slavkov</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e-mail:</w:t>
      </w:r>
      <w:bookmarkEnd w:id="78"/>
      <w:bookmarkEnd w:id="79"/>
      <w:bookmarkEnd w:id="8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64191613</w:t>
      </w:r>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108" w:bottom="1202" w:header="0" w:footer="3" w:gutter="0"/>
          <w:cols w:num="2" w:space="100"/>
          <w:noEndnote/>
          <w:rtlGutter w:val="0"/>
          <w:docGrid w:linePitch="360"/>
        </w:sectPr>
      </w:pPr>
      <w:bookmarkStart w:id="81" w:name="bookmark81"/>
      <w:bookmarkStart w:id="82" w:name="bookmark82"/>
      <w:bookmarkStart w:id="83" w:name="bookmark83"/>
      <w:r>
        <w:rPr>
          <w:color w:val="000000"/>
          <w:spacing w:val="0"/>
          <w:w w:val="100"/>
          <w:position w:val="0"/>
          <w:shd w:val="clear" w:color="auto" w:fill="auto"/>
          <w:lang w:val="cs-CZ" w:eastAsia="cs-CZ" w:bidi="cs-CZ"/>
        </w:rPr>
        <w:t>Nejsem plátce DPH</w:t>
      </w:r>
      <w:bookmarkEnd w:id="81"/>
      <w:bookmarkEnd w:id="82"/>
      <w:bookmarkEnd w:id="83"/>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val="0"/>
        <w:keepLines w:val="0"/>
        <w:widowControl w:val="0"/>
        <w:numPr>
          <w:ilvl w:val="0"/>
          <w:numId w:val="1"/>
        </w:numPr>
        <w:shd w:val="clear" w:color="auto" w:fill="auto"/>
        <w:tabs>
          <w:tab w:pos="360"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 xml:space="preserve">VT Rolava horní-křoviny v Nejdku </w:t>
      </w:r>
      <w:r>
        <w:rPr>
          <w:color w:val="000000"/>
          <w:spacing w:val="0"/>
          <w:w w:val="100"/>
          <w:position w:val="0"/>
          <w:shd w:val="clear" w:color="auto" w:fill="auto"/>
          <w:lang w:val="cs-CZ" w:eastAsia="cs-CZ" w:bidi="cs-CZ"/>
        </w:rPr>
        <w:t>ve kterém byla nabídka zhotovitele vyhodnocena jako ekonomicky nejvýhodnější.</w:t>
      </w:r>
    </w:p>
    <w:p>
      <w:pPr>
        <w:pStyle w:val="Style9"/>
        <w:keepNext w:val="0"/>
        <w:keepLines w:val="0"/>
        <w:widowControl w:val="0"/>
        <w:numPr>
          <w:ilvl w:val="0"/>
          <w:numId w:val="1"/>
        </w:numPr>
        <w:shd w:val="clear" w:color="auto" w:fill="auto"/>
        <w:tabs>
          <w:tab w:pos="360" w:val="left"/>
        </w:tabs>
        <w:bidi w:val="0"/>
        <w:spacing w:before="0" w:after="0" w:line="240" w:lineRule="auto"/>
        <w:ind w:left="0" w:right="0" w:firstLine="0"/>
        <w:jc w:val="both"/>
      </w:pPr>
      <w:bookmarkStart w:id="85" w:name="bookmark85"/>
      <w:bookmarkEnd w:id="85"/>
      <w:r>
        <w:rPr>
          <w:color w:val="000000"/>
          <w:spacing w:val="0"/>
          <w:w w:val="100"/>
          <w:position w:val="0"/>
          <w:shd w:val="clear" w:color="auto" w:fill="auto"/>
          <w:lang w:val="cs-CZ" w:eastAsia="cs-CZ" w:bidi="cs-CZ"/>
        </w:rPr>
        <w:t>Předmětem veřejné zakázky je:</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Provedení údržby vodního toku (odstranění křovin) Rolava v ř. km. 16,120-18,860 (mimo PB zdi v ř. km 17,590 - 17,610, PB zeď není v majetku POh).</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Místo provádění díla: VT Rolava ř. km 16,120-18,860 (mimo PB zdi v ř. km 17,590 - 17,610, PB zeď není v majetku POh) na pozemcích p. č. 3254, 3249/9, 3398/2, 3249/11, 3249/1, 2654 a 3249/25 v k. ú. Nejdek.</w:t>
      </w:r>
    </w:p>
    <w:p>
      <w:pPr>
        <w:pStyle w:val="Style2"/>
        <w:keepNext/>
        <w:keepLines/>
        <w:widowControl w:val="0"/>
        <w:numPr>
          <w:ilvl w:val="0"/>
          <w:numId w:val="1"/>
        </w:numPr>
        <w:shd w:val="clear" w:color="auto" w:fill="auto"/>
        <w:tabs>
          <w:tab w:pos="360" w:val="left"/>
        </w:tabs>
        <w:bidi w:val="0"/>
        <w:spacing w:before="0" w:after="200" w:line="240" w:lineRule="auto"/>
        <w:ind w:right="0" w:hanging="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86"/>
      <w:bookmarkEnd w:id="87"/>
      <w:bookmarkEnd w:id="89"/>
    </w:p>
    <w:p>
      <w:pPr>
        <w:pStyle w:val="Style9"/>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Rozsah prací: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Provedení odstranění křovin z průtočného profilu VT Rolavy v intravilánu města Nejdek v ř.km 16,120-18,860 (mimo PB zdi v ř. km 17,590 - 17,610, PB zeď není v majetku POh). Celkem se jedná o 5000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křovin (obvod kmenů nepřesahuje 31 cm měřeno ve výšce 130 cm nad zemí).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Zbytková dřevní hmota (větve a křoví) bude likvidována na místě štěpkováním nebo průběžným odvozem. Po seštěpkování musí zhotovitel štěpky odvézt a zlikvidovat. Při odstraňování křovin a následných manipulacích nesmí dojít k poškození okolních stromů a v případě, že k tomuto dojde, bude provedeno jejich ošetření.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Pálení není povoleno.</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Odstranění křovin je možné provádět pouze v době vegetačního klidu</w:t>
      </w:r>
      <w:r>
        <w:rPr>
          <w:b/>
          <w:bCs/>
          <w:color w:val="000000"/>
          <w:spacing w:val="0"/>
          <w:w w:val="100"/>
          <w:position w:val="0"/>
          <w:shd w:val="clear" w:color="auto" w:fill="auto"/>
          <w:lang w:val="cs-CZ" w:eastAsia="cs-CZ" w:bidi="cs-CZ"/>
        </w:rPr>
        <w:t>. Období vegetačního klidu je od 1.10. do 31.3.</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Při odstranění křovin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musí okamžitě zajistit převoz zvláště chráněných druhů živočichů do nejbližší záchranné stanice a tuto skutečnost nahlásit objednateli.</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Při realizaci odstranění křovin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w:t>
      </w:r>
      <w:r>
        <w:rPr>
          <w:color w:val="000000"/>
          <w:spacing w:val="0"/>
          <w:w w:val="100"/>
          <w:position w:val="0"/>
          <w:shd w:val="clear" w:color="auto" w:fill="auto"/>
          <w:lang w:val="cs-CZ" w:eastAsia="cs-CZ" w:bidi="cs-CZ"/>
        </w:rPr>
        <w:t>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Odstranění křovin bude realizováno na pozemcích s právem hospodaření pro Povodí Ohře, státní podnik.</w:t>
      </w:r>
    </w:p>
    <w:p>
      <w:pPr>
        <w:pStyle w:val="Style2"/>
        <w:keepNext/>
        <w:keepLines/>
        <w:widowControl w:val="0"/>
        <w:numPr>
          <w:ilvl w:val="0"/>
          <w:numId w:val="1"/>
        </w:numPr>
        <w:shd w:val="clear" w:color="auto" w:fill="auto"/>
        <w:tabs>
          <w:tab w:pos="360" w:val="left"/>
        </w:tabs>
        <w:bidi w:val="0"/>
        <w:spacing w:before="0" w:after="200" w:line="240" w:lineRule="auto"/>
        <w:ind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0"/>
      <w:bookmarkEnd w:id="91"/>
      <w:bookmarkEnd w:id="93"/>
    </w:p>
    <w:p>
      <w:pPr>
        <w:pStyle w:val="Style9"/>
        <w:keepNext w:val="0"/>
        <w:keepLines w:val="0"/>
        <w:widowControl w:val="0"/>
        <w:numPr>
          <w:ilvl w:val="0"/>
          <w:numId w:val="1"/>
        </w:numPr>
        <w:shd w:val="clear" w:color="auto" w:fill="auto"/>
        <w:tabs>
          <w:tab w:pos="360" w:val="left"/>
        </w:tabs>
        <w:bidi w:val="0"/>
        <w:spacing w:before="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Za předmět díla se dále považuje:</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95" w:name="bookmark95"/>
      <w:bookmarkEnd w:id="95"/>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96" w:name="bookmark96"/>
      <w:bookmarkEnd w:id="96"/>
      <w:r>
        <w:rPr>
          <w:color w:val="000000"/>
          <w:spacing w:val="0"/>
          <w:w w:val="100"/>
          <w:position w:val="0"/>
          <w:shd w:val="clear" w:color="auto" w:fill="auto"/>
          <w:lang w:val="cs-CZ" w:eastAsia="cs-CZ" w:bidi="cs-CZ"/>
        </w:rPr>
        <w:t>průběžné čištění komunikace od nečistot, které vozidla na komunikaci z prostoru pracoviště vynesou</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97" w:name="bookmark97"/>
      <w:bookmarkEnd w:id="9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98" w:name="bookmark98"/>
      <w:bookmarkEnd w:id="98"/>
      <w:r>
        <w:rPr>
          <w:color w:val="000000"/>
          <w:spacing w:val="0"/>
          <w:w w:val="100"/>
          <w:position w:val="0"/>
          <w:shd w:val="clear" w:color="auto" w:fill="auto"/>
          <w:lang w:val="cs-CZ" w:eastAsia="cs-CZ" w:bidi="cs-CZ"/>
        </w:rPr>
        <w:t>vybudování pracoviště tak, aby byly splněny požadavky a podmínky všech dotčených vlastníků pozemků,</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99" w:name="bookmark99"/>
      <w:bookmarkEnd w:id="99"/>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100" w:name="bookmark100"/>
      <w:bookmarkEnd w:id="10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p>
    <w:p>
      <w:pPr>
        <w:pStyle w:val="Style9"/>
        <w:keepNext w:val="0"/>
        <w:keepLines w:val="0"/>
        <w:widowControl w:val="0"/>
        <w:numPr>
          <w:ilvl w:val="0"/>
          <w:numId w:val="3"/>
        </w:numPr>
        <w:shd w:val="clear" w:color="auto" w:fill="auto"/>
        <w:tabs>
          <w:tab w:pos="780" w:val="left"/>
        </w:tabs>
        <w:bidi w:val="0"/>
        <w:spacing w:before="0" w:after="0" w:line="240" w:lineRule="auto"/>
        <w:ind w:left="800" w:right="0" w:hanging="380"/>
        <w:jc w:val="both"/>
      </w:pPr>
      <w:bookmarkStart w:id="101" w:name="bookmark101"/>
      <w:bookmarkEnd w:id="10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p>
    <w:p>
      <w:pPr>
        <w:pStyle w:val="Style9"/>
        <w:keepNext w:val="0"/>
        <w:keepLines w:val="0"/>
        <w:widowControl w:val="0"/>
        <w:numPr>
          <w:ilvl w:val="0"/>
          <w:numId w:val="3"/>
        </w:numPr>
        <w:shd w:val="clear" w:color="auto" w:fill="auto"/>
        <w:tabs>
          <w:tab w:pos="780" w:val="left"/>
        </w:tabs>
        <w:bidi w:val="0"/>
        <w:spacing w:before="0" w:line="240" w:lineRule="auto"/>
        <w:ind w:left="800" w:right="0" w:hanging="380"/>
        <w:jc w:val="both"/>
      </w:pPr>
      <w:bookmarkStart w:id="102" w:name="bookmark102"/>
      <w:bookmarkEnd w:id="10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p>
    <w:p>
      <w:pPr>
        <w:pStyle w:val="Style9"/>
        <w:keepNext w:val="0"/>
        <w:keepLines w:val="0"/>
        <w:widowControl w:val="0"/>
        <w:numPr>
          <w:ilvl w:val="0"/>
          <w:numId w:val="1"/>
        </w:numPr>
        <w:shd w:val="clear" w:color="auto" w:fill="auto"/>
        <w:tabs>
          <w:tab w:pos="360" w:val="left"/>
        </w:tabs>
        <w:bidi w:val="0"/>
        <w:spacing w:before="0" w:after="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pPr>
        <w:pStyle w:val="Style9"/>
        <w:keepNext w:val="0"/>
        <w:keepLines w:val="0"/>
        <w:widowControl w:val="0"/>
        <w:numPr>
          <w:ilvl w:val="0"/>
          <w:numId w:val="1"/>
        </w:numPr>
        <w:shd w:val="clear" w:color="auto" w:fill="auto"/>
        <w:tabs>
          <w:tab w:pos="360" w:val="left"/>
        </w:tabs>
        <w:bidi w:val="0"/>
        <w:spacing w:before="0" w:after="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p>
    <w:p>
      <w:pPr>
        <w:pStyle w:val="Style9"/>
        <w:keepNext w:val="0"/>
        <w:keepLines w:val="0"/>
        <w:widowControl w:val="0"/>
        <w:numPr>
          <w:ilvl w:val="0"/>
          <w:numId w:val="1"/>
        </w:numPr>
        <w:shd w:val="clear" w:color="auto" w:fill="auto"/>
        <w:tabs>
          <w:tab w:pos="360" w:val="left"/>
        </w:tabs>
        <w:bidi w:val="0"/>
        <w:spacing w:before="0" w:after="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Objednatel předá zhotoviteli pracoviště (nebo jeho ucelenou část) prosté práv třetích osob.</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91" w:val="left"/>
        </w:tabs>
        <w:bidi w:val="0"/>
        <w:spacing w:before="0" w:line="240" w:lineRule="auto"/>
        <w:ind w:left="380" w:right="0" w:hanging="380"/>
        <w:jc w:val="left"/>
      </w:pPr>
      <w:bookmarkStart w:id="106" w:name="bookmark106"/>
      <w:bookmarkEnd w:id="106"/>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07" w:name="bookmark107"/>
      <w:bookmarkEnd w:id="107"/>
      <w:r>
        <w:rPr>
          <w:b/>
          <w:bCs/>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5 dnů od nabytí účinnosti smlouvy o dílo.</w:t>
      </w:r>
    </w:p>
    <w:p>
      <w:pPr>
        <w:pStyle w:val="Style9"/>
        <w:keepNext w:val="0"/>
        <w:keepLines w:val="0"/>
        <w:widowControl w:val="0"/>
        <w:numPr>
          <w:ilvl w:val="0"/>
          <w:numId w:val="7"/>
        </w:numPr>
        <w:shd w:val="clear" w:color="auto" w:fill="auto"/>
        <w:tabs>
          <w:tab w:pos="786" w:val="left"/>
        </w:tabs>
        <w:bidi w:val="0"/>
        <w:spacing w:before="0" w:line="240"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24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09" w:name="bookmark109"/>
      <w:bookmarkEnd w:id="109"/>
      <w:r>
        <w:rPr>
          <w:b/>
          <w:bCs/>
          <w:color w:val="000000"/>
          <w:spacing w:val="0"/>
          <w:w w:val="100"/>
          <w:position w:val="0"/>
          <w:shd w:val="clear" w:color="auto" w:fill="auto"/>
          <w:lang w:val="cs-CZ" w:eastAsia="cs-CZ" w:bidi="cs-CZ"/>
        </w:rPr>
        <w:t>Předání a převzetí dokončeného díla (odstranění křovin):</w:t>
      </w:r>
    </w:p>
    <w:p>
      <w:pPr>
        <w:pStyle w:val="Style9"/>
        <w:keepNext w:val="0"/>
        <w:keepLines w:val="0"/>
        <w:widowControl w:val="0"/>
        <w:shd w:val="clear" w:color="auto" w:fill="auto"/>
        <w:bidi w:val="0"/>
        <w:spacing w:before="0" w:after="440" w:line="240" w:lineRule="auto"/>
        <w:ind w:left="0" w:right="0" w:firstLine="720"/>
        <w:jc w:val="both"/>
      </w:pPr>
      <w:r>
        <w:rPr>
          <w:color w:val="000000"/>
          <w:spacing w:val="0"/>
          <w:w w:val="100"/>
          <w:position w:val="0"/>
          <w:shd w:val="clear" w:color="auto" w:fill="auto"/>
          <w:lang w:val="cs-CZ" w:eastAsia="cs-CZ" w:bidi="cs-CZ"/>
        </w:rPr>
        <w:t>Nejpozději do 31.03.2025.</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10" w:name="bookmark110"/>
      <w:bookmarkEnd w:id="110"/>
      <w:r>
        <w:rPr>
          <w:b/>
          <w:bCs/>
          <w:color w:val="000000"/>
          <w:spacing w:val="0"/>
          <w:w w:val="100"/>
          <w:position w:val="0"/>
          <w:shd w:val="clear" w:color="auto" w:fill="auto"/>
          <w:lang w:val="cs-CZ" w:eastAsia="cs-CZ" w:bidi="cs-CZ"/>
        </w:rPr>
        <w:t>Vyklizení pracoviště nejpozději do 15.4.2025</w:t>
      </w:r>
    </w:p>
    <w:p>
      <w:pPr>
        <w:pStyle w:val="Style9"/>
        <w:keepNext w:val="0"/>
        <w:keepLines w:val="0"/>
        <w:widowControl w:val="0"/>
        <w:shd w:val="clear" w:color="auto" w:fill="auto"/>
        <w:bidi w:val="0"/>
        <w:spacing w:before="0" w:after="44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 zhotovitele rovněž vyrozumí telefonicky na tel. čísle: Zhotovitel je povinen ke dni vyklizení pracoviště vyklidit pracoviště a upravit ho do původního stavu.</w:t>
      </w:r>
    </w:p>
    <w:p>
      <w:pPr>
        <w:pStyle w:val="Style9"/>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11" w:name="bookmark111"/>
      <w:bookmarkEnd w:id="111"/>
      <w:r>
        <w:rPr>
          <w:b/>
          <w:bCs/>
          <w:color w:val="000000"/>
          <w:spacing w:val="0"/>
          <w:w w:val="100"/>
          <w:position w:val="0"/>
          <w:shd w:val="clear" w:color="auto" w:fill="auto"/>
          <w:lang w:val="cs-CZ" w:eastAsia="cs-CZ" w:bidi="cs-CZ"/>
        </w:rPr>
        <w:t>Vegetační klid</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Smluvní strany berou na vědomí, že v období od 1.10. do 31.3. je možné provádění díla z důvodu vegetačního klidu.</w:t>
      </w:r>
    </w:p>
    <w:p>
      <w:pPr>
        <w:pStyle w:val="Style9"/>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391" w:val="left"/>
        </w:tabs>
        <w:bidi w:val="0"/>
        <w:spacing w:before="0" w:after="44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91" w:val="left"/>
        </w:tabs>
        <w:bidi w:val="0"/>
        <w:spacing w:before="0" w:after="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91" w:val="left"/>
        </w:tabs>
        <w:bidi w:val="0"/>
        <w:spacing w:before="0" w:after="96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Pr>
          <w:color w:val="000000"/>
          <w:spacing w:val="0"/>
          <w:w w:val="100"/>
          <w:position w:val="0"/>
          <w:shd w:val="clear" w:color="auto" w:fill="auto"/>
          <w:lang w:val="cs-CZ" w:eastAsia="cs-CZ" w:bidi="cs-CZ"/>
        </w:rPr>
        <w:t>kontrolním dnu stavby předloženy zhotovitelem formou návrhu dodatku ke smlouvě o dílo.</w:t>
      </w:r>
    </w:p>
    <w:p>
      <w:pPr>
        <w:pStyle w:val="Style9"/>
        <w:keepNext w:val="0"/>
        <w:keepLines w:val="0"/>
        <w:widowControl w:val="0"/>
        <w:numPr>
          <w:ilvl w:val="0"/>
          <w:numId w:val="9"/>
        </w:numPr>
        <w:shd w:val="clear" w:color="auto" w:fill="auto"/>
        <w:tabs>
          <w:tab w:pos="397" w:val="left"/>
        </w:tabs>
        <w:bidi w:val="0"/>
        <w:spacing w:before="0" w:after="18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7148" w:val="left"/>
        </w:tabs>
        <w:bidi w:val="0"/>
        <w:spacing w:before="0" w:after="180" w:line="240" w:lineRule="auto"/>
        <w:ind w:left="0" w:right="0" w:firstLine="380"/>
        <w:jc w:val="both"/>
      </w:pPr>
      <w:r>
        <w:rPr>
          <w:b/>
          <w:bCs/>
          <w:color w:val="000000"/>
          <w:spacing w:val="0"/>
          <w:w w:val="100"/>
          <w:position w:val="0"/>
          <w:shd w:val="clear" w:color="auto" w:fill="auto"/>
          <w:lang w:val="cs-CZ" w:eastAsia="cs-CZ" w:bidi="cs-CZ"/>
        </w:rPr>
        <w:t>Celková smluvní cena</w:t>
        <w:tab/>
        <w:t>155 000 Kč</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stopadesátpěttisíckorunčeských</w:t>
      </w:r>
    </w:p>
    <w:p>
      <w:pPr>
        <w:pStyle w:val="Style9"/>
        <w:keepNext w:val="0"/>
        <w:keepLines w:val="0"/>
        <w:widowControl w:val="0"/>
        <w:shd w:val="clear" w:color="auto" w:fill="auto"/>
        <w:bidi w:val="0"/>
        <w:spacing w:before="0" w:after="44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9"/>
        </w:numPr>
        <w:shd w:val="clear" w:color="auto" w:fill="auto"/>
        <w:tabs>
          <w:tab w:pos="397" w:val="left"/>
        </w:tabs>
        <w:bidi w:val="0"/>
        <w:spacing w:before="0" w:after="7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97" w:val="left"/>
        </w:tabs>
        <w:bidi w:val="0"/>
        <w:spacing w:before="0" w:after="18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97" w:val="left"/>
        </w:tabs>
        <w:bidi w:val="0"/>
        <w:spacing w:before="0" w:after="0" w:line="240" w:lineRule="auto"/>
        <w:ind w:left="0" w:right="0" w:firstLine="0"/>
        <w:jc w:val="both"/>
      </w:pPr>
      <w:bookmarkStart w:id="120" w:name="bookmark120"/>
      <w:bookmarkEnd w:id="120"/>
      <w:r>
        <w:rPr>
          <w:color w:val="000000"/>
          <w:spacing w:val="0"/>
          <w:w w:val="100"/>
          <w:position w:val="0"/>
          <w:shd w:val="clear" w:color="auto" w:fill="auto"/>
          <w:lang w:val="cs-CZ" w:eastAsia="cs-CZ" w:bidi="cs-CZ"/>
        </w:rPr>
        <w:t>Cena díla bude hrazena po dokončení, předání a převzetí díla bez vad a nedodělků.</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9"/>
        <w:keepNext w:val="0"/>
        <w:keepLines w:val="0"/>
        <w:widowControl w:val="0"/>
        <w:numPr>
          <w:ilvl w:val="0"/>
          <w:numId w:val="11"/>
        </w:numPr>
        <w:shd w:val="clear" w:color="auto" w:fill="auto"/>
        <w:tabs>
          <w:tab w:pos="397" w:val="left"/>
        </w:tabs>
        <w:bidi w:val="0"/>
        <w:spacing w:before="0" w:after="180" w:line="240" w:lineRule="auto"/>
        <w:ind w:left="0" w:right="0" w:firstLine="0"/>
        <w:jc w:val="both"/>
      </w:pPr>
      <w:bookmarkStart w:id="121" w:name="bookmark121"/>
      <w:bookmarkEnd w:id="121"/>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97" w:val="left"/>
        </w:tabs>
        <w:bidi w:val="0"/>
        <w:spacing w:before="0" w:after="18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9"/>
        <w:keepNext w:val="0"/>
        <w:keepLines w:val="0"/>
        <w:widowControl w:val="0"/>
        <w:numPr>
          <w:ilvl w:val="0"/>
          <w:numId w:val="11"/>
        </w:numPr>
        <w:shd w:val="clear" w:color="auto" w:fill="auto"/>
        <w:tabs>
          <w:tab w:pos="397" w:val="left"/>
        </w:tabs>
        <w:bidi w:val="0"/>
        <w:spacing w:before="0" w:after="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397" w:val="left"/>
        </w:tabs>
        <w:bidi w:val="0"/>
        <w:spacing w:before="0" w:after="18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97" w:val="left"/>
        </w:tabs>
        <w:bidi w:val="0"/>
        <w:spacing w:before="0" w:after="18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367" w:val="left"/>
        </w:tabs>
        <w:bidi w:val="0"/>
        <w:spacing w:before="0" w:after="18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87" w:val="left"/>
        </w:tabs>
        <w:bidi w:val="0"/>
        <w:spacing w:before="0" w:after="18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487" w:val="left"/>
        </w:tabs>
        <w:bidi w:val="0"/>
        <w:spacing w:before="0" w:after="7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9"/>
        <w:keepNext w:val="0"/>
        <w:keepLines w:val="0"/>
        <w:widowControl w:val="0"/>
        <w:numPr>
          <w:ilvl w:val="0"/>
          <w:numId w:val="15"/>
        </w:numPr>
        <w:shd w:val="clear" w:color="auto" w:fill="auto"/>
        <w:tabs>
          <w:tab w:pos="367" w:val="left"/>
        </w:tabs>
        <w:bidi w:val="0"/>
        <w:spacing w:before="0" w:after="18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86" w:val="left"/>
        </w:tabs>
        <w:bidi w:val="0"/>
        <w:spacing w:before="0" w:after="0" w:line="240" w:lineRule="auto"/>
        <w:ind w:left="0" w:right="0" w:firstLine="380"/>
        <w:jc w:val="both"/>
      </w:pPr>
      <w:bookmarkStart w:id="138" w:name="bookmark138"/>
      <w:bookmarkEnd w:id="138"/>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39" w:name="bookmark139"/>
      <w:bookmarkEnd w:id="13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40" w:name="bookmark140"/>
      <w:bookmarkEnd w:id="14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44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91"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91" w:val="left"/>
        </w:tabs>
        <w:bidi w:val="0"/>
        <w:spacing w:before="0" w:after="320" w:line="240" w:lineRule="auto"/>
        <w:ind w:right="0" w:hanging="380"/>
        <w:jc w:val="both"/>
        <w:sectPr>
          <w:footnotePr>
            <w:pos w:val="pageBottom"/>
            <w:numFmt w:val="decimal"/>
            <w:numRestart w:val="continuous"/>
          </w:footnotePr>
          <w:pgSz w:w="11909" w:h="16838"/>
          <w:pgMar w:top="1187" w:left="1393" w:right="1385" w:bottom="1339" w:header="759" w:footer="3" w:gutter="0"/>
          <w:cols w:space="720"/>
          <w:noEndnote/>
          <w:rtlGutter w:val="0"/>
          <w:docGrid w:linePitch="360"/>
        </w:sectPr>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2"/>
      <w:bookmarkEnd w:id="143"/>
      <w:bookmarkEnd w:id="145"/>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8" w:val="left"/>
        </w:tabs>
        <w:bidi w:val="0"/>
        <w:spacing w:before="0" w:after="440" w:line="240" w:lineRule="auto"/>
        <w:ind w:right="0" w:hanging="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9"/>
      <w:bookmarkEnd w:id="150"/>
      <w:bookmarkEnd w:id="152"/>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79" w:val="left"/>
        </w:tabs>
        <w:bidi w:val="0"/>
        <w:spacing w:before="0" w:after="0" w:line="240" w:lineRule="auto"/>
        <w:ind w:left="1160"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6"/>
      <w:bookmarkEnd w:id="157"/>
      <w:bookmarkEnd w:id="159"/>
    </w:p>
    <w:p>
      <w:pPr>
        <w:pStyle w:val="Style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bezdůvodném přerušení prací zhotovitele, které trvá více než 14 dnů,</w:t>
      </w:r>
      <w:bookmarkEnd w:id="160"/>
      <w:bookmarkEnd w:id="161"/>
      <w:bookmarkEnd w:id="163"/>
    </w:p>
    <w:p>
      <w:pPr>
        <w:pStyle w:val="Style2"/>
        <w:keepNext/>
        <w:keepLines/>
        <w:widowControl w:val="0"/>
        <w:numPr>
          <w:ilvl w:val="0"/>
          <w:numId w:val="25"/>
        </w:numPr>
        <w:shd w:val="clear" w:color="auto" w:fill="auto"/>
        <w:tabs>
          <w:tab w:pos="1410" w:val="left"/>
        </w:tabs>
        <w:bidi w:val="0"/>
        <w:spacing w:before="0" w:after="0" w:line="240" w:lineRule="auto"/>
        <w:ind w:left="1160"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64"/>
      <w:bookmarkEnd w:id="165"/>
      <w:bookmarkEnd w:id="167"/>
    </w:p>
    <w:p>
      <w:pPr>
        <w:pStyle w:val="Style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neplněním povinností zhotovitele vést řádně zápisy do stavebního deníku.</w:t>
      </w:r>
      <w:bookmarkEnd w:id="168"/>
      <w:bookmarkEnd w:id="169"/>
      <w:bookmarkEnd w:id="171"/>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br w:type="page"/>
      </w:r>
    </w:p>
    <w:p>
      <w:pPr>
        <w:pStyle w:val="Style9"/>
        <w:keepNext w:val="0"/>
        <w:keepLines w:val="0"/>
        <w:widowControl w:val="0"/>
        <w:numPr>
          <w:ilvl w:val="0"/>
          <w:numId w:val="23"/>
        </w:numPr>
        <w:shd w:val="clear" w:color="auto" w:fill="auto"/>
        <w:tabs>
          <w:tab w:pos="502" w:val="left"/>
        </w:tabs>
        <w:bidi w:val="0"/>
        <w:spacing w:before="0" w:line="240" w:lineRule="auto"/>
        <w:ind w:left="380" w:right="0" w:hanging="380"/>
        <w:jc w:val="left"/>
      </w:pPr>
      <w:bookmarkStart w:id="183" w:name="bookmark183"/>
      <w:bookmarkEnd w:id="18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Taxace ř. km 16,120-18,860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k finančním sankcím</w:t>
      </w:r>
    </w:p>
    <w:p>
      <w:pPr>
        <w:pStyle w:val="Style9"/>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Fotodokumentace s mapou VT Rolava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6: Situace, pozemky VT Rolava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7: Oznámení POH/49818/2024/101000</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56" w:left="1392" w:right="1386" w:bottom="1307" w:header="628" w:footer="3" w:gutter="0"/>
          <w:cols w:space="720"/>
          <w:noEndnote/>
          <w:rtlGutter w:val="0"/>
          <w:docGrid w:linePitch="360"/>
        </w:sectPr>
      </w:pPr>
      <w:r>
        <w:rPr>
          <w:color w:val="000000"/>
          <w:spacing w:val="0"/>
          <w:w w:val="100"/>
          <w:position w:val="0"/>
          <w:shd w:val="clear" w:color="auto" w:fill="auto"/>
          <w:lang w:val="cs-CZ" w:eastAsia="cs-CZ" w:bidi="cs-CZ"/>
        </w:rPr>
        <w:t>Priorita 4) Příloha č. 8: Protokol z místního šetření z 24.10.2024</w:t>
      </w: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7859"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12.3.2025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2335" w:bottom="7859" w:header="0" w:footer="3" w:gutter="0"/>
          <w:cols w:num="2" w:space="720" w:equalWidth="0">
            <w:col w:w="3624" w:space="1416"/>
            <w:col w:w="3139"/>
          </w:cols>
          <w:noEndnote/>
          <w:rtlGutter w:val="0"/>
          <w:docGrid w:linePitch="360"/>
        </w:sectPr>
      </w:pPr>
      <w:r>
        <w:rPr>
          <w:color w:val="000000"/>
          <w:spacing w:val="0"/>
          <w:w w:val="100"/>
          <w:position w:val="0"/>
          <w:shd w:val="clear" w:color="auto" w:fill="auto"/>
          <w:lang w:val="cs-CZ" w:eastAsia="cs-CZ" w:bidi="cs-CZ"/>
        </w:rPr>
        <w:t>V K. Varech dne 12.3.2025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8" w:after="10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4086225</wp:posOffset>
                </wp:positionH>
                <wp:positionV relativeFrom="paragraph">
                  <wp:posOffset>12700</wp:posOffset>
                </wp:positionV>
                <wp:extent cx="1027430" cy="387350"/>
                <wp:wrapSquare wrapText="bothSides"/>
                <wp:docPr id="5" name="Shape 5"/>
                <a:graphic xmlns:a="http://schemas.openxmlformats.org/drawingml/2006/main">
                  <a:graphicData uri="http://schemas.microsoft.com/office/word/2010/wordprocessingShape">
                    <wps:wsp>
                      <wps:cNvSpPr txBox="1"/>
                      <wps:spPr>
                        <a:xfrm>
                          <a:ext cx="102743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Chvojková zhotovitel</w:t>
                            </w:r>
                          </w:p>
                        </w:txbxContent>
                      </wps:txbx>
                      <wps:bodyPr lIns="0" tIns="0" rIns="0" bIns="0">
                        <a:noAutoFit/>
                      </wps:bodyPr>
                    </wps:wsp>
                  </a:graphicData>
                </a:graphic>
              </wp:anchor>
            </w:drawing>
          </mc:Choice>
          <mc:Fallback>
            <w:pict>
              <v:shape id="_x0000_s1031" type="#_x0000_t202" style="position:absolute;margin-left:321.75pt;margin-top:1.pt;width:80.900000000000006pt;height:30.5pt;z-index:-12582937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Chvojková 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5686425</wp:posOffset>
              </wp:positionH>
              <wp:positionV relativeFrom="page">
                <wp:posOffset>9982835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75pt;margin-top:786.05000000000007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ind w:left="38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