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7 -->
  <w:body>
    <w:p w:rsidR="006E2093" w14:paraId="00000001" w14:textId="77777777">
      <w:pPr>
        <w:jc w:val="center"/>
        <w:rPr>
          <w:rFonts w:ascii="Tahoma" w:eastAsia="Tahoma" w:hAnsi="Tahoma" w:cs="Tahoma"/>
          <w:b/>
        </w:rPr>
      </w:pPr>
      <w:r>
        <w:rPr>
          <w:rFonts w:ascii="Tahoma" w:eastAsia="Tahoma" w:hAnsi="Tahoma" w:cs="Tahoma"/>
          <w:b/>
        </w:rPr>
        <w:t>SMLOUVA O POSKYTOVÁNÍ SLUŽEB</w:t>
      </w:r>
    </w:p>
    <w:p w:rsidR="006E2093" w14:paraId="00000002" w14:textId="77777777">
      <w:pPr>
        <w:rPr>
          <w:rFonts w:ascii="Tahoma" w:eastAsia="Tahoma" w:hAnsi="Tahoma" w:cs="Tahoma"/>
        </w:rPr>
      </w:pPr>
    </w:p>
    <w:p w:rsidR="006E2093" w14:paraId="00000003" w14:textId="77777777">
      <w:pPr>
        <w:rPr>
          <w:rFonts w:ascii="Tahoma" w:eastAsia="Tahoma" w:hAnsi="Tahoma" w:cs="Tahoma"/>
        </w:rPr>
      </w:pPr>
    </w:p>
    <w:p w:rsidR="006E2093" w14:paraId="00000004" w14:textId="77777777">
      <w:pPr>
        <w:rPr>
          <w:rFonts w:ascii="Tahoma" w:eastAsia="Tahoma" w:hAnsi="Tahoma" w:cs="Tahoma"/>
        </w:rPr>
      </w:pPr>
      <w:r>
        <w:rPr>
          <w:rFonts w:ascii="Tahoma" w:eastAsia="Tahoma" w:hAnsi="Tahoma" w:cs="Tahoma"/>
        </w:rPr>
        <w:t>Tato smlouva o poskytování služeb (dále jen “Smlouva”) byla uzavřena níže uvedeného dne, měsíce a roku mezi těmito smluvními stranami:</w:t>
      </w:r>
    </w:p>
    <w:p w:rsidR="006E2093" w14:paraId="00000005" w14:textId="77777777">
      <w:pPr>
        <w:rPr>
          <w:rFonts w:ascii="Tahoma" w:eastAsia="Tahoma" w:hAnsi="Tahoma" w:cs="Tahoma"/>
        </w:rPr>
      </w:pPr>
    </w:p>
    <w:p w:rsidR="006E2093" w14:paraId="00000006" w14:textId="77777777">
      <w:pPr>
        <w:rPr>
          <w:rFonts w:ascii="Tahoma" w:eastAsia="Tahoma" w:hAnsi="Tahoma" w:cs="Tahoma"/>
          <w:b/>
        </w:rPr>
      </w:pPr>
      <w:r>
        <w:rPr>
          <w:rFonts w:ascii="Tahoma" w:eastAsia="Tahoma" w:hAnsi="Tahoma" w:cs="Tahoma"/>
          <w:b/>
        </w:rPr>
        <w:t>Státní fond podpory investic</w:t>
      </w:r>
    </w:p>
    <w:p w:rsidR="006E2093" w14:paraId="00000007" w14:textId="77777777">
      <w:pPr>
        <w:rPr>
          <w:rFonts w:ascii="Tahoma" w:eastAsia="Tahoma" w:hAnsi="Tahoma" w:cs="Tahoma"/>
        </w:rPr>
      </w:pPr>
      <w:r>
        <w:rPr>
          <w:rFonts w:ascii="Tahoma" w:eastAsia="Tahoma" w:hAnsi="Tahoma" w:cs="Tahoma"/>
        </w:rPr>
        <w:t>se sídlem: Vinohradská 1896/46,</w:t>
      </w:r>
      <w:r>
        <w:rPr>
          <w:rFonts w:ascii="Tahoma" w:eastAsia="Tahoma" w:hAnsi="Tahoma" w:cs="Tahoma"/>
          <w:highlight w:val="white"/>
        </w:rPr>
        <w:t>120 00 Praha</w:t>
      </w:r>
      <w:r>
        <w:rPr>
          <w:rFonts w:ascii="Tahoma" w:eastAsia="Tahoma" w:hAnsi="Tahoma" w:cs="Tahoma"/>
        </w:rPr>
        <w:t xml:space="preserve"> 2</w:t>
      </w:r>
    </w:p>
    <w:p w:rsidR="006E2093" w14:paraId="00000008" w14:textId="77777777">
      <w:pPr>
        <w:rPr>
          <w:rFonts w:ascii="Tahoma" w:eastAsia="Tahoma" w:hAnsi="Tahoma" w:cs="Tahoma"/>
        </w:rPr>
      </w:pPr>
      <w:r>
        <w:rPr>
          <w:rFonts w:ascii="Tahoma" w:eastAsia="Tahoma" w:hAnsi="Tahoma" w:cs="Tahoma"/>
        </w:rPr>
        <w:t xml:space="preserve">IČ: 70856788, </w:t>
      </w:r>
    </w:p>
    <w:p w:rsidR="006E2093" w:rsidP="00A75123" w14:paraId="00000009" w14:textId="58CF6523">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zastoupený: </w:t>
      </w:r>
      <w:r w:rsidR="00A75123">
        <w:rPr>
          <w:rFonts w:ascii="Tahoma" w:eastAsia="Tahoma" w:hAnsi="Tahoma" w:cs="Tahoma"/>
        </w:rPr>
        <w:t>XXXXX</w:t>
      </w:r>
      <w:r>
        <w:rPr>
          <w:rFonts w:ascii="Tahoma" w:eastAsia="Tahoma" w:hAnsi="Tahoma" w:cs="Tahoma"/>
        </w:rPr>
        <w:t xml:space="preserve">, ředitelem Státního fondu podpory investic </w:t>
      </w:r>
    </w:p>
    <w:p w:rsidR="006E2093" w14:paraId="0000000A" w14:textId="77777777">
      <w:pPr>
        <w:rPr>
          <w:rFonts w:ascii="Tahoma" w:eastAsia="Tahoma" w:hAnsi="Tahoma" w:cs="Tahoma"/>
        </w:rPr>
      </w:pPr>
      <w:r>
        <w:rPr>
          <w:rFonts w:ascii="Tahoma" w:eastAsia="Tahoma" w:hAnsi="Tahoma" w:cs="Tahoma"/>
        </w:rPr>
        <w:t>(dále jen “SFPI”)</w:t>
      </w:r>
    </w:p>
    <w:p w:rsidR="006E2093" w14:paraId="0000000B" w14:textId="77777777">
      <w:pPr>
        <w:rPr>
          <w:rFonts w:ascii="Tahoma" w:eastAsia="Tahoma" w:hAnsi="Tahoma" w:cs="Tahoma"/>
        </w:rPr>
      </w:pPr>
    </w:p>
    <w:p w:rsidR="006E2093" w14:paraId="0000000C" w14:textId="77777777">
      <w:pPr>
        <w:rPr>
          <w:rFonts w:ascii="Tahoma" w:eastAsia="Tahoma" w:hAnsi="Tahoma" w:cs="Tahoma"/>
        </w:rPr>
      </w:pPr>
      <w:r>
        <w:rPr>
          <w:rFonts w:ascii="Tahoma" w:eastAsia="Tahoma" w:hAnsi="Tahoma" w:cs="Tahoma"/>
        </w:rPr>
        <w:t>a</w:t>
      </w:r>
    </w:p>
    <w:p w:rsidR="006E2093" w14:paraId="0000000D" w14:textId="77777777">
      <w:pPr>
        <w:rPr>
          <w:rFonts w:ascii="Tahoma" w:eastAsia="Tahoma" w:hAnsi="Tahoma" w:cs="Tahoma"/>
        </w:rPr>
      </w:pPr>
    </w:p>
    <w:p w:rsidR="006E2093" w14:paraId="0000000E" w14:textId="77777777">
      <w:pPr>
        <w:rPr>
          <w:rFonts w:ascii="Tahoma" w:eastAsia="Tahoma" w:hAnsi="Tahoma" w:cs="Tahoma"/>
          <w:b/>
        </w:rPr>
      </w:pPr>
      <w:r>
        <w:rPr>
          <w:rFonts w:ascii="Tahoma" w:eastAsia="Tahoma" w:hAnsi="Tahoma" w:cs="Tahoma"/>
          <w:b/>
        </w:rPr>
        <w:t>NEMO Report s.r.o.</w:t>
      </w:r>
    </w:p>
    <w:p w:rsidR="006E2093" w14:paraId="0000000F" w14:textId="77777777">
      <w:pPr>
        <w:rPr>
          <w:rFonts w:ascii="Tahoma" w:eastAsia="Tahoma" w:hAnsi="Tahoma" w:cs="Tahoma"/>
        </w:rPr>
      </w:pPr>
      <w:r>
        <w:rPr>
          <w:rFonts w:ascii="Tahoma" w:eastAsia="Tahoma" w:hAnsi="Tahoma" w:cs="Tahoma"/>
        </w:rPr>
        <w:t>se sídlem: Náměstí Přemyslovců 14/11, 288 02 Nymburk</w:t>
      </w:r>
    </w:p>
    <w:p w:rsidR="006E2093" w14:paraId="00000010" w14:textId="77777777">
      <w:pPr>
        <w:rPr>
          <w:rFonts w:ascii="Tahoma" w:eastAsia="Tahoma" w:hAnsi="Tahoma" w:cs="Tahoma"/>
        </w:rPr>
      </w:pPr>
      <w:r>
        <w:rPr>
          <w:rFonts w:ascii="Tahoma" w:eastAsia="Tahoma" w:hAnsi="Tahoma" w:cs="Tahoma"/>
        </w:rPr>
        <w:t>IČ: 08976031, DIČ: CZ08976031</w:t>
      </w:r>
    </w:p>
    <w:p w:rsidR="006E2093" w14:paraId="00000011" w14:textId="0289DFE0">
      <w:pPr>
        <w:rPr>
          <w:rFonts w:ascii="Tahoma" w:eastAsia="Tahoma" w:hAnsi="Tahoma" w:cs="Tahoma"/>
        </w:rPr>
      </w:pPr>
      <w:r>
        <w:rPr>
          <w:rFonts w:ascii="Tahoma" w:eastAsia="Tahoma" w:hAnsi="Tahoma" w:cs="Tahoma"/>
        </w:rPr>
        <w:t xml:space="preserve">zastoupená: </w:t>
      </w:r>
      <w:r w:rsidR="00A75123">
        <w:rPr>
          <w:rFonts w:ascii="Tahoma" w:eastAsia="Tahoma" w:hAnsi="Tahoma" w:cs="Tahoma"/>
        </w:rPr>
        <w:t>XXXXX</w:t>
      </w:r>
      <w:r>
        <w:rPr>
          <w:rFonts w:ascii="Tahoma" w:eastAsia="Tahoma" w:hAnsi="Tahoma" w:cs="Tahoma"/>
        </w:rPr>
        <w:t xml:space="preserve">, jednatel, a </w:t>
      </w:r>
      <w:r w:rsidR="00A75123">
        <w:rPr>
          <w:rFonts w:ascii="Tahoma" w:eastAsia="Tahoma" w:hAnsi="Tahoma" w:cs="Tahoma"/>
        </w:rPr>
        <w:t>XXXXX</w:t>
      </w:r>
      <w:r>
        <w:rPr>
          <w:rFonts w:ascii="Tahoma" w:eastAsia="Tahoma" w:hAnsi="Tahoma" w:cs="Tahoma"/>
        </w:rPr>
        <w:t>, jednatel</w:t>
      </w:r>
    </w:p>
    <w:p w:rsidR="006E2093" w14:paraId="00000012" w14:textId="77777777">
      <w:pPr>
        <w:rPr>
          <w:rFonts w:ascii="Tahoma" w:eastAsia="Tahoma" w:hAnsi="Tahoma" w:cs="Tahoma"/>
        </w:rPr>
      </w:pPr>
      <w:r>
        <w:rPr>
          <w:rFonts w:ascii="Tahoma" w:eastAsia="Tahoma" w:hAnsi="Tahoma" w:cs="Tahoma"/>
        </w:rPr>
        <w:t>zapsaná v obchodním rejstříku vedeném u Městského soudu v Praze, oddíl C, vložka 328566</w:t>
      </w:r>
    </w:p>
    <w:p w:rsidR="006E2093" w14:paraId="00000013" w14:textId="77777777">
      <w:pPr>
        <w:rPr>
          <w:rFonts w:ascii="Tahoma" w:eastAsia="Tahoma" w:hAnsi="Tahoma" w:cs="Tahoma"/>
        </w:rPr>
      </w:pPr>
      <w:r>
        <w:rPr>
          <w:rFonts w:ascii="Tahoma" w:eastAsia="Tahoma" w:hAnsi="Tahoma" w:cs="Tahoma"/>
        </w:rPr>
        <w:t>(dále jen "NR")</w:t>
      </w:r>
    </w:p>
    <w:p w:rsidR="006E2093" w14:paraId="00000014" w14:textId="77777777">
      <w:pPr>
        <w:rPr>
          <w:rFonts w:ascii="Tahoma" w:eastAsia="Tahoma" w:hAnsi="Tahoma" w:cs="Tahoma"/>
        </w:rPr>
      </w:pPr>
    </w:p>
    <w:p w:rsidR="006E2093" w14:paraId="00000015" w14:textId="77777777">
      <w:pPr>
        <w:rPr>
          <w:rFonts w:ascii="Tahoma" w:eastAsia="Tahoma" w:hAnsi="Tahoma" w:cs="Tahoma"/>
        </w:rPr>
      </w:pPr>
      <w:r>
        <w:rPr>
          <w:rFonts w:ascii="Tahoma" w:eastAsia="Tahoma" w:hAnsi="Tahoma" w:cs="Tahoma"/>
        </w:rPr>
        <w:t>(SFPI a NR dále též společně jako “Smluvní strany” a každý jednotlivě jako “Smluvní strana”.)</w:t>
      </w:r>
    </w:p>
    <w:p w:rsidR="006E2093" w14:paraId="00000016" w14:textId="77777777">
      <w:pPr>
        <w:rPr>
          <w:rFonts w:ascii="Tahoma" w:eastAsia="Tahoma" w:hAnsi="Tahoma" w:cs="Tahoma"/>
        </w:rPr>
      </w:pPr>
    </w:p>
    <w:p w:rsidR="006E2093" w14:paraId="00000017" w14:textId="77777777">
      <w:pPr>
        <w:rPr>
          <w:rFonts w:ascii="Tahoma" w:eastAsia="Tahoma" w:hAnsi="Tahoma" w:cs="Tahoma"/>
        </w:rPr>
      </w:pPr>
      <w:r>
        <w:rPr>
          <w:rFonts w:ascii="Tahoma" w:eastAsia="Tahoma" w:hAnsi="Tahoma" w:cs="Tahoma"/>
        </w:rPr>
        <w:t>Smluvní strany ujednávají následující:</w:t>
      </w:r>
    </w:p>
    <w:p w:rsidR="006E2093" w14:paraId="00000018" w14:textId="77777777">
      <w:pPr>
        <w:rPr>
          <w:rFonts w:ascii="Tahoma" w:eastAsia="Tahoma" w:hAnsi="Tahoma" w:cs="Tahoma"/>
        </w:rPr>
      </w:pPr>
    </w:p>
    <w:p w:rsidR="006E2093" w14:paraId="00000019" w14:textId="77777777">
      <w:pPr>
        <w:jc w:val="center"/>
        <w:rPr>
          <w:rFonts w:ascii="Tahoma" w:eastAsia="Tahoma" w:hAnsi="Tahoma" w:cs="Tahoma"/>
          <w:b/>
        </w:rPr>
      </w:pPr>
      <w:r>
        <w:rPr>
          <w:rFonts w:ascii="Tahoma" w:eastAsia="Tahoma" w:hAnsi="Tahoma" w:cs="Tahoma"/>
          <w:b/>
        </w:rPr>
        <w:t>Preambule</w:t>
      </w:r>
    </w:p>
    <w:p w:rsidR="006E2093" w14:paraId="0000001A" w14:textId="77777777">
      <w:pPr>
        <w:rPr>
          <w:rFonts w:ascii="Tahoma" w:eastAsia="Tahoma" w:hAnsi="Tahoma" w:cs="Tahoma"/>
        </w:rPr>
      </w:pPr>
    </w:p>
    <w:p w:rsidR="006E2093" w14:paraId="0000001B" w14:textId="77777777">
      <w:pPr>
        <w:numPr>
          <w:ilvl w:val="0"/>
          <w:numId w:val="13"/>
        </w:numPr>
        <w:ind w:left="425"/>
        <w:rPr>
          <w:rFonts w:ascii="Tahoma" w:eastAsia="Tahoma" w:hAnsi="Tahoma" w:cs="Tahoma"/>
        </w:rPr>
      </w:pPr>
      <w:r>
        <w:rPr>
          <w:rFonts w:ascii="Tahoma" w:eastAsia="Tahoma" w:hAnsi="Tahoma" w:cs="Tahoma"/>
          <w:highlight w:val="white"/>
        </w:rPr>
        <w:t>SFPI, je státní fond v působnosti Ministerstva pro místní rozvoj ČR, který vznikl přejmenováním Státního fondu rozvoje bydlení k 1. červnu 2020 na základě novely č. 113/2020 Sb. SFPI poskytuje úvěry a dotace na bydlení, regeneraci veřejných prostor a na výstavbu nájemního bydlení.</w:t>
      </w:r>
    </w:p>
    <w:p w:rsidR="006E2093" w14:paraId="0000001C" w14:textId="77777777">
      <w:pPr>
        <w:numPr>
          <w:ilvl w:val="0"/>
          <w:numId w:val="13"/>
        </w:numPr>
        <w:ind w:left="425"/>
        <w:rPr>
          <w:rFonts w:ascii="Tahoma" w:eastAsia="Tahoma" w:hAnsi="Tahoma" w:cs="Tahoma"/>
        </w:rPr>
      </w:pPr>
      <w:r>
        <w:rPr>
          <w:rFonts w:ascii="Tahoma" w:eastAsia="Tahoma" w:hAnsi="Tahoma" w:cs="Tahoma"/>
        </w:rPr>
        <w:t>NR je tvůrcem systému NEMO Report a poskytovatelem služeb, dat a informací o nemovitostech, fyzických nebo právnických osobách.</w:t>
      </w:r>
    </w:p>
    <w:p w:rsidR="006E2093" w14:paraId="0000001D" w14:textId="015EEEBA">
      <w:pPr>
        <w:numPr>
          <w:ilvl w:val="0"/>
          <w:numId w:val="13"/>
        </w:numPr>
        <w:ind w:left="425"/>
        <w:rPr>
          <w:rFonts w:ascii="Tahoma" w:eastAsia="Tahoma" w:hAnsi="Tahoma" w:cs="Tahoma"/>
        </w:rPr>
      </w:pPr>
      <w:r>
        <w:rPr>
          <w:rFonts w:ascii="Tahoma" w:eastAsia="Tahoma" w:hAnsi="Tahoma" w:cs="Tahoma"/>
        </w:rPr>
        <w:t xml:space="preserve">SFPI a NR mají zájem o vzájemnou spolupráci s cílem využívat služeb NR poskytovaných na webovém portálu </w:t>
      </w:r>
      <w:r>
        <w:rPr>
          <w:rFonts w:ascii="Tahoma" w:eastAsia="Tahoma" w:hAnsi="Tahoma" w:cs="Tahoma"/>
          <w:color w:val="1155CC"/>
          <w:u w:val="single"/>
        </w:rPr>
        <w:t>www.nemoreport.cz</w:t>
      </w:r>
      <w:r>
        <w:rPr>
          <w:rFonts w:ascii="Tahoma" w:eastAsia="Tahoma" w:hAnsi="Tahoma" w:cs="Tahoma"/>
        </w:rPr>
        <w:t xml:space="preserve"> nebo za pomoci napojení na systém NEMO Report a využívat vybraná data a služby související s konkrétními nemovitostmi nebo osobami.</w:t>
      </w:r>
    </w:p>
    <w:p w:rsidR="006E2093" w14:paraId="0000001E" w14:textId="77777777">
      <w:pPr>
        <w:rPr>
          <w:rFonts w:ascii="Tahoma" w:eastAsia="Tahoma" w:hAnsi="Tahoma" w:cs="Tahoma"/>
        </w:rPr>
      </w:pPr>
    </w:p>
    <w:p w:rsidR="006E2093" w14:paraId="0000001F" w14:textId="77777777">
      <w:pPr>
        <w:jc w:val="center"/>
        <w:rPr>
          <w:rFonts w:ascii="Tahoma" w:eastAsia="Tahoma" w:hAnsi="Tahoma" w:cs="Tahoma"/>
          <w:b/>
        </w:rPr>
      </w:pPr>
      <w:r>
        <w:rPr>
          <w:rFonts w:ascii="Tahoma" w:eastAsia="Tahoma" w:hAnsi="Tahoma" w:cs="Tahoma"/>
          <w:b/>
        </w:rPr>
        <w:t>I. Předmět Smlouvy</w:t>
      </w:r>
    </w:p>
    <w:p w:rsidR="006E2093" w14:paraId="00000020" w14:textId="77777777">
      <w:pPr>
        <w:rPr>
          <w:rFonts w:ascii="Tahoma" w:eastAsia="Tahoma" w:hAnsi="Tahoma" w:cs="Tahoma"/>
        </w:rPr>
      </w:pPr>
    </w:p>
    <w:p w:rsidR="006E2093" w14:paraId="00000021" w14:textId="77777777">
      <w:pPr>
        <w:numPr>
          <w:ilvl w:val="0"/>
          <w:numId w:val="16"/>
        </w:numPr>
        <w:ind w:left="425"/>
        <w:rPr>
          <w:rFonts w:ascii="Tahoma" w:eastAsia="Tahoma" w:hAnsi="Tahoma" w:cs="Tahoma"/>
        </w:rPr>
      </w:pPr>
      <w:r>
        <w:rPr>
          <w:rFonts w:ascii="Tahoma" w:eastAsia="Tahoma" w:hAnsi="Tahoma" w:cs="Tahoma"/>
        </w:rPr>
        <w:t>Smluvní strany touto Smlouvou upravují svá vzájemná práva a povinnosti při spolupráci Smluvních stran a zavazují se postupovat při spolupráci v souladu s touto Smlouvou a s řádnou péčí a dodržovat všechna práva a povinnosti stanovené touto Smlouvou.</w:t>
      </w:r>
    </w:p>
    <w:p w:rsidR="006E2093" w14:paraId="00000022" w14:textId="77777777">
      <w:pPr>
        <w:ind w:left="425"/>
        <w:rPr>
          <w:rFonts w:ascii="Tahoma" w:eastAsia="Tahoma" w:hAnsi="Tahoma" w:cs="Tahoma"/>
        </w:rPr>
      </w:pPr>
    </w:p>
    <w:p w:rsidR="006E2093" w14:paraId="00000023" w14:textId="77777777">
      <w:pPr>
        <w:rPr>
          <w:rFonts w:ascii="Tahoma" w:eastAsia="Tahoma" w:hAnsi="Tahoma" w:cs="Tahoma"/>
        </w:rPr>
      </w:pPr>
    </w:p>
    <w:p w:rsidR="006E2093" w14:paraId="00000024" w14:textId="77777777">
      <w:pPr>
        <w:jc w:val="center"/>
        <w:rPr>
          <w:rFonts w:ascii="Tahoma" w:eastAsia="Tahoma" w:hAnsi="Tahoma" w:cs="Tahoma"/>
          <w:b/>
        </w:rPr>
      </w:pPr>
      <w:r>
        <w:rPr>
          <w:rFonts w:ascii="Tahoma" w:eastAsia="Tahoma" w:hAnsi="Tahoma" w:cs="Tahoma"/>
          <w:b/>
        </w:rPr>
        <w:t>II. Práva a povinnosti SFPI</w:t>
      </w:r>
    </w:p>
    <w:p w:rsidR="006E2093" w14:paraId="00000025" w14:textId="77777777">
      <w:pPr>
        <w:rPr>
          <w:rFonts w:ascii="Tahoma" w:eastAsia="Tahoma" w:hAnsi="Tahoma" w:cs="Tahoma"/>
        </w:rPr>
      </w:pPr>
    </w:p>
    <w:p w:rsidR="006E2093" w14:paraId="00000026" w14:textId="77777777">
      <w:pPr>
        <w:numPr>
          <w:ilvl w:val="0"/>
          <w:numId w:val="4"/>
        </w:numPr>
        <w:ind w:left="425"/>
        <w:rPr>
          <w:rFonts w:ascii="Tahoma" w:eastAsia="Tahoma" w:hAnsi="Tahoma" w:cs="Tahoma"/>
        </w:rPr>
      </w:pPr>
      <w:r>
        <w:rPr>
          <w:rFonts w:ascii="Tahoma" w:eastAsia="Tahoma" w:hAnsi="Tahoma" w:cs="Tahoma"/>
        </w:rPr>
        <w:t>SFPI má právo využívat služby blíže specifikované v Příloze 2 této Smlouvy (dále jen „Služby“).</w:t>
      </w:r>
    </w:p>
    <w:p w:rsidR="006E2093" w14:paraId="00000027" w14:textId="77777777">
      <w:pPr>
        <w:numPr>
          <w:ilvl w:val="0"/>
          <w:numId w:val="4"/>
        </w:numPr>
        <w:ind w:left="425"/>
        <w:rPr>
          <w:rFonts w:ascii="Tahoma" w:eastAsia="Tahoma" w:hAnsi="Tahoma" w:cs="Tahoma"/>
        </w:rPr>
      </w:pPr>
      <w:r>
        <w:rPr>
          <w:rFonts w:ascii="Tahoma" w:eastAsia="Tahoma" w:hAnsi="Tahoma" w:cs="Tahoma"/>
        </w:rPr>
        <w:t>SFPI se zavazuje implementovat do svého softwarového řešení (dále jen „SW“) takové napojení na systém NEMO Report, které umožní uživatelům SW SFPI získávat potřebné informace o konkrétních nemovitostech či osobách, resp. informace s nimi související. Toto napojení bude v souladu s technickou dokumentací, která je Přílohou 3 této Smlouvy.</w:t>
      </w:r>
    </w:p>
    <w:p w:rsidR="006E2093" w14:paraId="00000028" w14:textId="77777777">
      <w:pPr>
        <w:numPr>
          <w:ilvl w:val="0"/>
          <w:numId w:val="4"/>
        </w:numPr>
        <w:ind w:left="425"/>
        <w:rPr>
          <w:rFonts w:ascii="Tahoma" w:eastAsia="Tahoma" w:hAnsi="Tahoma" w:cs="Tahoma"/>
        </w:rPr>
      </w:pPr>
      <w:r>
        <w:rPr>
          <w:rFonts w:ascii="Tahoma" w:eastAsia="Tahoma" w:hAnsi="Tahoma" w:cs="Tahoma"/>
        </w:rPr>
        <w:t>SFPI se zavazuje dodržovat podmínky uvedené v Disclaimer Intermap Technologies, specifikované v Příloze 1 této Smlouvy.</w:t>
      </w:r>
    </w:p>
    <w:p w:rsidR="006E2093" w14:paraId="00000029" w14:textId="77777777">
      <w:pPr>
        <w:numPr>
          <w:ilvl w:val="0"/>
          <w:numId w:val="4"/>
        </w:numPr>
        <w:ind w:left="425"/>
        <w:rPr>
          <w:rFonts w:ascii="Tahoma" w:eastAsia="Tahoma" w:hAnsi="Tahoma" w:cs="Tahoma"/>
        </w:rPr>
      </w:pPr>
      <w:r>
        <w:rPr>
          <w:rFonts w:ascii="Tahoma" w:eastAsia="Tahoma" w:hAnsi="Tahoma" w:cs="Tahoma"/>
        </w:rPr>
        <w:t>SFPI se zavazuje informovat NR o všech skutečnostech, které by mohly mít vliv na:</w:t>
      </w:r>
    </w:p>
    <w:p w:rsidR="006E2093" w14:paraId="0000002A" w14:textId="77777777">
      <w:pPr>
        <w:numPr>
          <w:ilvl w:val="1"/>
          <w:numId w:val="4"/>
        </w:numPr>
        <w:rPr>
          <w:rFonts w:ascii="Tahoma" w:eastAsia="Tahoma" w:hAnsi="Tahoma" w:cs="Tahoma"/>
        </w:rPr>
      </w:pPr>
      <w:r>
        <w:rPr>
          <w:rFonts w:ascii="Tahoma" w:eastAsia="Tahoma" w:hAnsi="Tahoma" w:cs="Tahoma"/>
        </w:rPr>
        <w:t>neoprávněné užití či zneužití systému NEMO Report nebo dat ze systému NEMO Report;</w:t>
      </w:r>
    </w:p>
    <w:p w:rsidR="006E2093" w14:paraId="0000002B" w14:textId="77777777">
      <w:pPr>
        <w:numPr>
          <w:ilvl w:val="1"/>
          <w:numId w:val="4"/>
        </w:numPr>
        <w:rPr>
          <w:rFonts w:ascii="Tahoma" w:eastAsia="Tahoma" w:hAnsi="Tahoma" w:cs="Tahoma"/>
        </w:rPr>
      </w:pPr>
      <w:r>
        <w:rPr>
          <w:rFonts w:ascii="Tahoma" w:eastAsia="Tahoma" w:hAnsi="Tahoma" w:cs="Tahoma"/>
        </w:rPr>
        <w:t>potenciální bezpečnostní riziko rozhraní API či jiných částí propojených informačních systémů SFPI a NR;</w:t>
      </w:r>
    </w:p>
    <w:p w:rsidR="006E2093" w14:paraId="0000002C" w14:textId="77777777">
      <w:pPr>
        <w:numPr>
          <w:ilvl w:val="1"/>
          <w:numId w:val="4"/>
        </w:numPr>
        <w:rPr>
          <w:rFonts w:ascii="Tahoma" w:eastAsia="Tahoma" w:hAnsi="Tahoma" w:cs="Tahoma"/>
        </w:rPr>
      </w:pPr>
      <w:r>
        <w:rPr>
          <w:rFonts w:ascii="Tahoma" w:eastAsia="Tahoma" w:hAnsi="Tahoma" w:cs="Tahoma"/>
        </w:rPr>
        <w:t>vzájemnou technickou, obchodní a marketingovou spolupráci.</w:t>
      </w:r>
    </w:p>
    <w:p w:rsidR="006E2093" w14:paraId="0000002D" w14:textId="77777777">
      <w:pPr>
        <w:rPr>
          <w:rFonts w:ascii="Tahoma" w:eastAsia="Tahoma" w:hAnsi="Tahoma" w:cs="Tahoma"/>
        </w:rPr>
      </w:pPr>
    </w:p>
    <w:p w:rsidR="006E2093" w14:paraId="0000002E" w14:textId="77777777">
      <w:pPr>
        <w:jc w:val="center"/>
        <w:rPr>
          <w:rFonts w:ascii="Tahoma" w:eastAsia="Tahoma" w:hAnsi="Tahoma" w:cs="Tahoma"/>
          <w:b/>
        </w:rPr>
      </w:pPr>
      <w:r>
        <w:rPr>
          <w:rFonts w:ascii="Tahoma" w:eastAsia="Tahoma" w:hAnsi="Tahoma" w:cs="Tahoma"/>
          <w:b/>
        </w:rPr>
        <w:t>III. Práva a povinnosti NR</w:t>
      </w:r>
    </w:p>
    <w:p w:rsidR="006E2093" w14:paraId="0000002F" w14:textId="77777777">
      <w:pPr>
        <w:rPr>
          <w:rFonts w:ascii="Tahoma" w:eastAsia="Tahoma" w:hAnsi="Tahoma" w:cs="Tahoma"/>
        </w:rPr>
      </w:pPr>
    </w:p>
    <w:p w:rsidR="006E2093" w14:paraId="00000030" w14:textId="77777777">
      <w:pPr>
        <w:numPr>
          <w:ilvl w:val="0"/>
          <w:numId w:val="2"/>
        </w:numPr>
        <w:ind w:left="425"/>
        <w:rPr>
          <w:rFonts w:ascii="Tahoma" w:eastAsia="Tahoma" w:hAnsi="Tahoma" w:cs="Tahoma"/>
        </w:rPr>
      </w:pPr>
      <w:r>
        <w:rPr>
          <w:rFonts w:ascii="Tahoma" w:eastAsia="Tahoma" w:hAnsi="Tahoma" w:cs="Tahoma"/>
        </w:rPr>
        <w:t>NR se zavazuje umožnit SFPI využívat Služby dohodnuté v Příloze 2.</w:t>
      </w:r>
    </w:p>
    <w:p w:rsidR="006E2093" w14:paraId="00000031" w14:textId="77777777">
      <w:pPr>
        <w:numPr>
          <w:ilvl w:val="0"/>
          <w:numId w:val="2"/>
        </w:numPr>
        <w:ind w:left="425"/>
        <w:rPr>
          <w:rFonts w:ascii="Tahoma" w:eastAsia="Tahoma" w:hAnsi="Tahoma" w:cs="Tahoma"/>
        </w:rPr>
      </w:pPr>
      <w:r>
        <w:rPr>
          <w:rFonts w:ascii="Tahoma" w:eastAsia="Tahoma" w:hAnsi="Tahoma" w:cs="Tahoma"/>
        </w:rPr>
        <w:t>NR se zavazuje implementovat v systému NEMO Report rozhraní API, které umožní napojení SW SFPI na systém NEMO Report.</w:t>
      </w:r>
    </w:p>
    <w:p w:rsidR="006E2093" w14:paraId="00000032" w14:textId="77777777">
      <w:pPr>
        <w:numPr>
          <w:ilvl w:val="0"/>
          <w:numId w:val="2"/>
        </w:numPr>
        <w:ind w:left="425"/>
        <w:rPr>
          <w:rFonts w:ascii="Tahoma" w:eastAsia="Tahoma" w:hAnsi="Tahoma" w:cs="Tahoma"/>
        </w:rPr>
      </w:pPr>
      <w:r>
        <w:rPr>
          <w:rFonts w:ascii="Tahoma" w:eastAsia="Tahoma" w:hAnsi="Tahoma" w:cs="Tahoma"/>
        </w:rPr>
        <w:t>NR se zavazuje poskytnout SFPI technickou dokumentaci pro rozhraní API. Tato technická dokumentace je Přílohou 3 této Smlouvy.</w:t>
      </w:r>
    </w:p>
    <w:p w:rsidR="006E2093" w14:paraId="00000033" w14:textId="77777777">
      <w:pPr>
        <w:numPr>
          <w:ilvl w:val="0"/>
          <w:numId w:val="2"/>
        </w:numPr>
        <w:ind w:left="425"/>
        <w:rPr>
          <w:rFonts w:ascii="Tahoma" w:eastAsia="Tahoma" w:hAnsi="Tahoma" w:cs="Tahoma"/>
        </w:rPr>
      </w:pPr>
      <w:r>
        <w:rPr>
          <w:rFonts w:ascii="Tahoma" w:eastAsia="Tahoma" w:hAnsi="Tahoma" w:cs="Tahoma"/>
        </w:rPr>
        <w:t xml:space="preserve">NR se zavazuje informovat SFPI v souvislosti s plánovanými změnami rozhraní API nebo plánovanou odstávkou systému NEMO Report, a to nejdéle 24 hodin před plánovanými změnami nebo plánovaným výpadkem služeb. </w:t>
      </w:r>
    </w:p>
    <w:p w:rsidR="006E2093" w14:paraId="00000034" w14:textId="77777777">
      <w:pPr>
        <w:numPr>
          <w:ilvl w:val="0"/>
          <w:numId w:val="2"/>
        </w:numPr>
        <w:ind w:left="425"/>
        <w:rPr>
          <w:rFonts w:ascii="Tahoma" w:eastAsia="Tahoma" w:hAnsi="Tahoma" w:cs="Tahoma"/>
        </w:rPr>
      </w:pPr>
      <w:r>
        <w:rPr>
          <w:rFonts w:ascii="Tahoma" w:eastAsia="Tahoma" w:hAnsi="Tahoma" w:cs="Tahoma"/>
        </w:rPr>
        <w:t>NR se zavazuje poskytovat Služby v profesionální kvalitě a s prozákaznickým přístupem.</w:t>
      </w:r>
    </w:p>
    <w:p w:rsidR="006E2093" w14:paraId="00000035" w14:textId="77777777">
      <w:pPr>
        <w:numPr>
          <w:ilvl w:val="0"/>
          <w:numId w:val="2"/>
        </w:numPr>
        <w:ind w:left="425"/>
        <w:rPr>
          <w:rFonts w:ascii="Tahoma" w:eastAsia="Tahoma" w:hAnsi="Tahoma" w:cs="Tahoma"/>
        </w:rPr>
      </w:pPr>
      <w:r>
        <w:rPr>
          <w:rFonts w:ascii="Tahoma" w:eastAsia="Tahoma" w:hAnsi="Tahoma" w:cs="Tahoma"/>
        </w:rPr>
        <w:t>NR se zavazuje informovat SFPI o všech skutečnostech, které by mohly mít vliv na:</w:t>
      </w:r>
    </w:p>
    <w:p w:rsidR="006E2093" w14:paraId="00000036" w14:textId="77777777">
      <w:pPr>
        <w:numPr>
          <w:ilvl w:val="1"/>
          <w:numId w:val="2"/>
        </w:numPr>
        <w:rPr>
          <w:rFonts w:ascii="Tahoma" w:eastAsia="Tahoma" w:hAnsi="Tahoma" w:cs="Tahoma"/>
        </w:rPr>
      </w:pPr>
      <w:r>
        <w:rPr>
          <w:rFonts w:ascii="Tahoma" w:eastAsia="Tahoma" w:hAnsi="Tahoma" w:cs="Tahoma"/>
        </w:rPr>
        <w:t>neoprávněné užití či zneužití dat z této platformy;</w:t>
      </w:r>
    </w:p>
    <w:p w:rsidR="006E2093" w14:paraId="00000037" w14:textId="77777777">
      <w:pPr>
        <w:numPr>
          <w:ilvl w:val="1"/>
          <w:numId w:val="2"/>
        </w:numPr>
        <w:rPr>
          <w:rFonts w:ascii="Tahoma" w:eastAsia="Tahoma" w:hAnsi="Tahoma" w:cs="Tahoma"/>
        </w:rPr>
      </w:pPr>
      <w:r>
        <w:rPr>
          <w:rFonts w:ascii="Tahoma" w:eastAsia="Tahoma" w:hAnsi="Tahoma" w:cs="Tahoma"/>
        </w:rPr>
        <w:t>potenciální bezpečnostní riziko rozhraní API či jiných částí propojených systémů SFPI a NR;</w:t>
      </w:r>
    </w:p>
    <w:p w:rsidR="006E2093" w14:paraId="00000038" w14:textId="77777777">
      <w:pPr>
        <w:numPr>
          <w:ilvl w:val="1"/>
          <w:numId w:val="2"/>
        </w:numPr>
        <w:rPr>
          <w:rFonts w:ascii="Tahoma" w:eastAsia="Tahoma" w:hAnsi="Tahoma" w:cs="Tahoma"/>
        </w:rPr>
      </w:pPr>
      <w:r>
        <w:rPr>
          <w:rFonts w:ascii="Tahoma" w:eastAsia="Tahoma" w:hAnsi="Tahoma" w:cs="Tahoma"/>
        </w:rPr>
        <w:t>vzájemnou technickou, obchodní a marketingovou spolupráci.</w:t>
      </w:r>
    </w:p>
    <w:p w:rsidR="006E2093" w14:paraId="00000039" w14:textId="77777777">
      <w:pPr>
        <w:rPr>
          <w:rFonts w:ascii="Tahoma" w:eastAsia="Tahoma" w:hAnsi="Tahoma" w:cs="Tahoma"/>
        </w:rPr>
      </w:pPr>
    </w:p>
    <w:p w:rsidR="006E2093" w14:paraId="0000003A" w14:textId="77777777">
      <w:pPr>
        <w:jc w:val="center"/>
        <w:rPr>
          <w:rFonts w:ascii="Tahoma" w:eastAsia="Tahoma" w:hAnsi="Tahoma" w:cs="Tahoma"/>
        </w:rPr>
      </w:pPr>
      <w:r>
        <w:rPr>
          <w:rFonts w:ascii="Tahoma" w:eastAsia="Tahoma" w:hAnsi="Tahoma" w:cs="Tahoma"/>
          <w:b/>
        </w:rPr>
        <w:t>IV. Peněžitá plnění</w:t>
      </w:r>
    </w:p>
    <w:p w:rsidR="006E2093" w14:paraId="0000003B" w14:textId="77777777">
      <w:pPr>
        <w:rPr>
          <w:rFonts w:ascii="Tahoma" w:eastAsia="Tahoma" w:hAnsi="Tahoma" w:cs="Tahoma"/>
        </w:rPr>
      </w:pPr>
    </w:p>
    <w:p w:rsidR="006E2093" w14:paraId="0000003C" w14:textId="77777777">
      <w:pPr>
        <w:numPr>
          <w:ilvl w:val="0"/>
          <w:numId w:val="3"/>
        </w:numPr>
        <w:ind w:left="425"/>
        <w:rPr>
          <w:rFonts w:ascii="Tahoma" w:eastAsia="Tahoma" w:hAnsi="Tahoma" w:cs="Tahoma"/>
        </w:rPr>
      </w:pPr>
      <w:r>
        <w:rPr>
          <w:rFonts w:ascii="Tahoma" w:eastAsia="Tahoma" w:hAnsi="Tahoma" w:cs="Tahoma"/>
        </w:rPr>
        <w:t>SFPI se zavazuje zaplatit NR za informace získané ze systému NEMO Report předem dohodnutou odměnu, specifikovanou v Příloze 2 této Smlouvy.</w:t>
      </w:r>
    </w:p>
    <w:p w:rsidR="006E2093" w14:paraId="0000003D" w14:textId="77777777">
      <w:pPr>
        <w:numPr>
          <w:ilvl w:val="0"/>
          <w:numId w:val="3"/>
        </w:numPr>
        <w:ind w:left="425"/>
        <w:rPr>
          <w:rFonts w:ascii="Tahoma" w:eastAsia="Tahoma" w:hAnsi="Tahoma" w:cs="Tahoma"/>
        </w:rPr>
      </w:pPr>
      <w:r>
        <w:rPr>
          <w:rFonts w:ascii="Tahoma" w:eastAsia="Tahoma" w:hAnsi="Tahoma" w:cs="Tahoma"/>
        </w:rPr>
        <w:t>Pokud je NR plátce DPH, bude k odměně připočteno DPH ve výši odpovídající aktuálně platným a účinným právním předpisům ke dni zdanitelného plnění.</w:t>
      </w:r>
    </w:p>
    <w:p w:rsidR="006E2093" w14:paraId="0000003E" w14:textId="77777777">
      <w:pPr>
        <w:widowControl w:val="0"/>
        <w:numPr>
          <w:ilvl w:val="0"/>
          <w:numId w:val="3"/>
        </w:numPr>
        <w:pBdr>
          <w:top w:val="nil"/>
          <w:left w:val="nil"/>
          <w:bottom w:val="nil"/>
          <w:right w:val="nil"/>
          <w:between w:val="nil"/>
        </w:pBdr>
        <w:spacing w:after="60" w:line="240" w:lineRule="auto"/>
        <w:ind w:left="426" w:hanging="426"/>
        <w:jc w:val="both"/>
        <w:rPr>
          <w:rFonts w:ascii="Tahoma" w:eastAsia="Tahoma" w:hAnsi="Tahoma" w:cs="Tahoma"/>
          <w:color w:val="00000A"/>
        </w:rPr>
      </w:pPr>
      <w:r>
        <w:rPr>
          <w:rFonts w:ascii="Tahoma" w:eastAsia="Tahoma" w:hAnsi="Tahoma" w:cs="Tahoma"/>
          <w:color w:val="000000"/>
        </w:rPr>
        <w:t>Smluvní strany na sebe přebírají nebezpečí změny okolností podle § 1765 odst. (2) občanského zákoníku, § 1765 odst. (1) a § 1766 občanského zákoníku se tedy nepoužije.</w:t>
      </w:r>
    </w:p>
    <w:p w:rsidR="006E2093" w14:paraId="0000003F" w14:textId="77777777">
      <w:pPr>
        <w:widowControl w:val="0"/>
        <w:numPr>
          <w:ilvl w:val="0"/>
          <w:numId w:val="3"/>
        </w:numPr>
        <w:pBdr>
          <w:top w:val="nil"/>
          <w:left w:val="nil"/>
          <w:bottom w:val="nil"/>
          <w:right w:val="nil"/>
          <w:between w:val="nil"/>
        </w:pBdr>
        <w:spacing w:after="60" w:line="240" w:lineRule="auto"/>
        <w:ind w:left="426" w:hanging="426"/>
        <w:jc w:val="both"/>
        <w:rPr>
          <w:rFonts w:ascii="Tahoma" w:eastAsia="Tahoma" w:hAnsi="Tahoma" w:cs="Tahoma"/>
          <w:color w:val="00000A"/>
        </w:rPr>
      </w:pPr>
      <w:r>
        <w:rPr>
          <w:rFonts w:ascii="Tahoma" w:eastAsia="Tahoma" w:hAnsi="Tahoma" w:cs="Tahoma"/>
          <w:color w:val="00000A"/>
        </w:rPr>
        <w:t>SFPI se zavazuje uhradit odměnu bankovním převodem na účet NR, a to na základě daňových dokladů (dále jen „Faktura“) vystavených NR.</w:t>
      </w:r>
    </w:p>
    <w:p w:rsidR="006E2093" w14:paraId="00000040" w14:textId="063DCEAD">
      <w:pPr>
        <w:widowControl w:val="0"/>
        <w:numPr>
          <w:ilvl w:val="0"/>
          <w:numId w:val="3"/>
        </w:numPr>
        <w:pBdr>
          <w:top w:val="nil"/>
          <w:left w:val="nil"/>
          <w:bottom w:val="nil"/>
          <w:right w:val="nil"/>
          <w:between w:val="nil"/>
        </w:pBdr>
        <w:spacing w:after="60" w:line="240" w:lineRule="auto"/>
        <w:ind w:left="426" w:hanging="426"/>
        <w:jc w:val="both"/>
        <w:rPr>
          <w:rFonts w:ascii="Tahoma" w:eastAsia="Tahoma" w:hAnsi="Tahoma" w:cs="Tahoma"/>
          <w:color w:val="00000A"/>
        </w:rPr>
      </w:pPr>
      <w:r>
        <w:rPr>
          <w:rFonts w:ascii="Tahoma" w:eastAsia="Tahoma" w:hAnsi="Tahoma" w:cs="Tahoma"/>
          <w:color w:val="00000A"/>
        </w:rPr>
        <w:t xml:space="preserve">Faktury budou vystaveny se splatností minimálně 21 kalendářních dnů ode dne jejich prokazatelného doručení SFPI v listinné formě poštou na adresu sídla SFPI, v elektronické podobě nebo na e-mailovou adresu SFPI </w:t>
      </w:r>
      <w:r w:rsidR="004C095F">
        <w:rPr>
          <w:rFonts w:ascii="Tahoma" w:eastAsia="Tahoma" w:hAnsi="Tahoma" w:cs="Tahoma"/>
          <w:color w:val="00000A"/>
        </w:rPr>
        <w:t>XXXXX</w:t>
      </w:r>
      <w:r>
        <w:rPr>
          <w:rFonts w:ascii="Tahoma" w:eastAsia="Tahoma" w:hAnsi="Tahoma" w:cs="Tahoma"/>
          <w:color w:val="00000A"/>
        </w:rPr>
        <w:t xml:space="preserve">.cz nebo do datové schránky SFPI. Faktura musí splňovat všechny náležitosti daňového dokladu. </w:t>
      </w:r>
    </w:p>
    <w:p w:rsidR="006E2093" w14:paraId="00000041" w14:textId="77777777">
      <w:pPr>
        <w:widowControl w:val="0"/>
        <w:numPr>
          <w:ilvl w:val="0"/>
          <w:numId w:val="3"/>
        </w:numPr>
        <w:pBdr>
          <w:top w:val="nil"/>
          <w:left w:val="nil"/>
          <w:bottom w:val="nil"/>
          <w:right w:val="nil"/>
          <w:between w:val="nil"/>
        </w:pBdr>
        <w:spacing w:after="60" w:line="240" w:lineRule="auto"/>
        <w:ind w:left="426" w:hanging="426"/>
        <w:jc w:val="both"/>
        <w:rPr>
          <w:rFonts w:ascii="Tahoma" w:eastAsia="Tahoma" w:hAnsi="Tahoma" w:cs="Tahoma"/>
          <w:color w:val="00000A"/>
        </w:rPr>
      </w:pPr>
      <w:r>
        <w:rPr>
          <w:rFonts w:ascii="Tahoma" w:eastAsia="Tahoma" w:hAnsi="Tahoma" w:cs="Tahoma"/>
          <w:color w:val="00000A"/>
        </w:rPr>
        <w:t>Závazek SFPI zaplatit cenu za řádně a včas poskytnuté Služby je splněn již dnem odepsání příslušné částky z bankovního účtu SFPI ve prospěch (v záhlaví této Smlouvy uvedeného) bankovního účtu NR ve lhůtě splatnosti.</w:t>
      </w:r>
    </w:p>
    <w:p w:rsidR="006E2093" w14:paraId="00000042" w14:textId="77777777">
      <w:pPr>
        <w:widowControl w:val="0"/>
        <w:numPr>
          <w:ilvl w:val="0"/>
          <w:numId w:val="3"/>
        </w:numPr>
        <w:pBdr>
          <w:top w:val="nil"/>
          <w:left w:val="nil"/>
          <w:bottom w:val="nil"/>
          <w:right w:val="nil"/>
          <w:between w:val="nil"/>
        </w:pBdr>
        <w:spacing w:after="60" w:line="240" w:lineRule="auto"/>
        <w:ind w:left="426" w:hanging="426"/>
        <w:jc w:val="both"/>
        <w:rPr>
          <w:rFonts w:ascii="Tahoma" w:eastAsia="Tahoma" w:hAnsi="Tahoma" w:cs="Tahoma"/>
          <w:color w:val="00000A"/>
        </w:rPr>
      </w:pPr>
      <w:r>
        <w:rPr>
          <w:rFonts w:ascii="Tahoma" w:eastAsia="Tahoma" w:hAnsi="Tahoma" w:cs="Tahoma"/>
          <w:color w:val="00000A"/>
        </w:rPr>
        <w:t>Pokud splatnost uvedená na Faktuře nebude odpovídat sjednané splatnosti, NR souhlasí s úhradou Faktury v řádném termínu dle této Smlouvy a data doručení faktury. V tomto případě není SFPI v prodlení s úhradou Faktury.</w:t>
      </w:r>
    </w:p>
    <w:p w:rsidR="006E2093" w14:paraId="00000043" w14:textId="77777777">
      <w:pPr>
        <w:widowControl w:val="0"/>
        <w:numPr>
          <w:ilvl w:val="0"/>
          <w:numId w:val="3"/>
        </w:numPr>
        <w:pBdr>
          <w:top w:val="nil"/>
          <w:left w:val="nil"/>
          <w:bottom w:val="nil"/>
          <w:right w:val="nil"/>
          <w:between w:val="nil"/>
        </w:pBdr>
        <w:spacing w:after="60" w:line="240" w:lineRule="auto"/>
        <w:ind w:left="426" w:hanging="426"/>
        <w:jc w:val="both"/>
        <w:rPr>
          <w:rFonts w:ascii="Tahoma" w:eastAsia="Tahoma" w:hAnsi="Tahoma" w:cs="Tahoma"/>
          <w:color w:val="00000A"/>
        </w:rPr>
      </w:pPr>
      <w:r>
        <w:rPr>
          <w:rFonts w:ascii="Tahoma" w:eastAsia="Tahoma" w:hAnsi="Tahoma" w:cs="Tahoma"/>
          <w:color w:val="00000A"/>
        </w:rPr>
        <w:t xml:space="preserve">Pokud není Faktura doručena SFPI nejpozději do 15. prosince daného kalendářního roku nebo je doručena později po tomto datu, pak platí, že splatnost veškerých faktur podle této Smlouvy doručených SFPI po tomto datu začne běžet 1. února následujícího kalendářního roku. </w:t>
      </w:r>
    </w:p>
    <w:sdt>
      <w:sdtPr>
        <w:tag w:val="goog_rdk_1"/>
        <w:id w:val="-1140270398"/>
        <w:richText/>
      </w:sdtPr>
      <w:sdtContent>
        <w:p w:rsidR="006E2093" w14:paraId="00000044" w14:textId="77777777">
          <w:pPr>
            <w:widowControl w:val="0"/>
            <w:numPr>
              <w:ilvl w:val="0"/>
              <w:numId w:val="3"/>
            </w:numPr>
            <w:pBdr>
              <w:top w:val="nil"/>
              <w:left w:val="nil"/>
              <w:bottom w:val="nil"/>
              <w:right w:val="nil"/>
              <w:between w:val="nil"/>
            </w:pBdr>
            <w:spacing w:after="60" w:line="240" w:lineRule="auto"/>
            <w:ind w:left="425" w:hanging="426"/>
            <w:jc w:val="both"/>
            <w:rPr>
              <w:rFonts w:ascii="Tahoma" w:eastAsia="Tahoma" w:hAnsi="Tahoma" w:cs="Tahoma"/>
              <w:color w:val="00000A"/>
            </w:rPr>
          </w:pPr>
          <w:r>
            <w:rPr>
              <w:rFonts w:ascii="Tahoma" w:eastAsia="Tahoma" w:hAnsi="Tahoma" w:cs="Tahoma"/>
              <w:color w:val="00000A"/>
            </w:rPr>
            <w:t xml:space="preserve">NR prohlašuje, že správce daně před uzavřením Smlouvy nerozhodl, že je nespolehlivým plátcem ve smyslu zákona č. 235/2004 Sb., zákon o dani z přidané hodnoty, ve znění pozdějších předpisů (dále jen „zákon o DPH“). V případě, že správce daně rozhodne po uzavření Smlouvy, že NR je nespolehlivým plátcem ve smyslu zákona o DPH, zavazuje se NR informovat o tom prokazatelně písemně SFPI do 24 hodin poté, kdy mu bylo doručeno příslušné rozhodnutí správce daně, a to bez ohledu na vykonatelnost takového rozhodnutí a způsob jeho doručení. </w:t>
          </w:r>
          <w:sdt>
            <w:sdtPr>
              <w:tag w:val="goog_rdk_0"/>
              <w:id w:val="1663121315"/>
              <w:richText/>
            </w:sdtPr>
            <w:sdtContent/>
          </w:sdt>
        </w:p>
      </w:sdtContent>
    </w:sdt>
    <w:p w:rsidR="006E2093" w14:paraId="00000045" w14:textId="77777777">
      <w:pPr>
        <w:rPr>
          <w:rFonts w:ascii="Tahoma" w:eastAsia="Tahoma" w:hAnsi="Tahoma" w:cs="Tahoma"/>
        </w:rPr>
      </w:pPr>
    </w:p>
    <w:p w:rsidR="006E2093" w14:paraId="00000046" w14:textId="77777777">
      <w:pPr>
        <w:jc w:val="center"/>
        <w:rPr>
          <w:rFonts w:ascii="Tahoma" w:eastAsia="Tahoma" w:hAnsi="Tahoma" w:cs="Tahoma"/>
        </w:rPr>
      </w:pPr>
      <w:r>
        <w:rPr>
          <w:rFonts w:ascii="Tahoma" w:eastAsia="Tahoma" w:hAnsi="Tahoma" w:cs="Tahoma"/>
          <w:b/>
        </w:rPr>
        <w:t>V. Trvání a ukončení Smlouvy</w:t>
      </w:r>
    </w:p>
    <w:p w:rsidR="006E2093" w14:paraId="00000047" w14:textId="77777777">
      <w:pPr>
        <w:rPr>
          <w:rFonts w:ascii="Tahoma" w:eastAsia="Tahoma" w:hAnsi="Tahoma" w:cs="Tahoma"/>
        </w:rPr>
      </w:pPr>
    </w:p>
    <w:p w:rsidR="006E2093" w14:paraId="00000048" w14:textId="77777777">
      <w:pPr>
        <w:numPr>
          <w:ilvl w:val="0"/>
          <w:numId w:val="14"/>
        </w:numPr>
        <w:ind w:left="425"/>
        <w:rPr>
          <w:rFonts w:ascii="Tahoma" w:eastAsia="Tahoma" w:hAnsi="Tahoma" w:cs="Tahoma"/>
        </w:rPr>
      </w:pPr>
      <w:r>
        <w:rPr>
          <w:rFonts w:ascii="Tahoma" w:eastAsia="Tahoma" w:hAnsi="Tahoma" w:cs="Tahoma"/>
        </w:rPr>
        <w:t>Tato Smlouva je uzavřena na dobu určitou, a to na dobu 24 měsíců od podpisu Smlouvy, kdy se prvním měsícem platnosti počítá první měsíc následující po podpisu Smlouvy, nebo vyčerpáním finančního limitu 500.000 Kč bez DPH podle toho, která z okolností nastane dříve. Po ukončení platné lhůty a/nebo limitu dojde k automatickému prodloužení o dalších 12 měsíců, neoznámí-li jedna strana druhé alespoň 30 dní předem, že o prodloužení Smlouvy nemá zájem.</w:t>
      </w:r>
    </w:p>
    <w:p w:rsidR="006E2093" w14:paraId="00000049" w14:textId="77777777">
      <w:pPr>
        <w:numPr>
          <w:ilvl w:val="0"/>
          <w:numId w:val="14"/>
        </w:numPr>
        <w:ind w:left="425"/>
        <w:rPr>
          <w:rFonts w:ascii="Tahoma" w:eastAsia="Tahoma" w:hAnsi="Tahoma" w:cs="Tahoma"/>
        </w:rPr>
      </w:pPr>
      <w:r>
        <w:t>Kterákoliv Smluvní strana má právo tuto Smlouvu vypovědět písemnou výpovědí, minimálně 3 měsíce před ukončením platnosti smlouvy.</w:t>
      </w:r>
      <w:sdt>
        <w:sdtPr>
          <w:tag w:val="goog_rdk_2"/>
          <w:id w:val="-1349789192"/>
          <w:richText/>
        </w:sdtPr>
        <w:sdtContent>
          <w:r>
            <w:t xml:space="preserve"> </w:t>
          </w:r>
        </w:sdtContent>
      </w:sdt>
    </w:p>
    <w:sdt>
      <w:sdtPr>
        <w:tag w:val="goog_rdk_4"/>
        <w:id w:val="-1247339239"/>
        <w:richText/>
      </w:sdtPr>
      <w:sdtContent>
        <w:p w:rsidR="006E2093" w14:paraId="0000004A" w14:textId="77777777">
          <w:pPr>
            <w:numPr>
              <w:ilvl w:val="0"/>
              <w:numId w:val="14"/>
            </w:numPr>
            <w:ind w:left="425"/>
            <w:rPr>
              <w:rFonts w:ascii="Tahoma" w:eastAsia="Tahoma" w:hAnsi="Tahoma" w:cs="Tahoma"/>
            </w:rPr>
          </w:pPr>
          <w:r>
            <w:rPr>
              <w:rFonts w:ascii="Tahoma" w:eastAsia="Tahoma" w:hAnsi="Tahoma" w:cs="Tahoma"/>
            </w:rPr>
            <w:t xml:space="preserve">Smlouva může být ukončena také dohodou Smluvních stran. </w:t>
          </w:r>
          <w:r>
            <w:t xml:space="preserve">     </w:t>
          </w:r>
          <w:sdt>
            <w:sdtPr>
              <w:tag w:val="goog_rdk_3"/>
              <w:id w:val="2012017635"/>
              <w:richText/>
            </w:sdtPr>
            <w:sdtContent/>
          </w:sdt>
        </w:p>
      </w:sdtContent>
    </w:sdt>
    <w:p w:rsidR="006E2093" w14:paraId="0000004C" w14:textId="5DC570A7">
      <w:pPr>
        <w:ind w:left="425"/>
        <w:rPr>
          <w:rFonts w:ascii="Tahoma" w:eastAsia="Tahoma" w:hAnsi="Tahoma" w:cs="Tahoma"/>
        </w:rPr>
      </w:pPr>
      <w:sdt>
        <w:sdtPr>
          <w:tag w:val="goog_rdk_16"/>
          <w:id w:val="716253750"/>
          <w:richText/>
        </w:sdtPr>
        <w:sdtContent>
          <w:sdt>
            <w:sdtPr>
              <w:tag w:val="goog_rdk_6"/>
              <w:id w:val="-1508908427"/>
              <w:richText/>
            </w:sdtPr>
            <w:sdtContent>
              <w:sdt>
                <w:sdtPr>
                  <w:tag w:val="goog_rdk_7"/>
                  <w:id w:val="-1762294984"/>
                  <w:richText/>
                </w:sdtPr>
                <w:sdtContent/>
              </w:sdt>
              <w:sdt>
                <w:sdtPr>
                  <w:tag w:val="goog_rdk_8"/>
                  <w:id w:val="1555813994"/>
                  <w:richText/>
                </w:sdtPr>
                <w:sdtContent/>
              </w:sdt>
            </w:sdtContent>
          </w:sdt>
          <w:sdt>
            <w:sdtPr>
              <w:tag w:val="goog_rdk_10"/>
              <w:id w:val="218647035"/>
              <w:richText/>
            </w:sdtPr>
            <w:sdtContent/>
          </w:sdt>
          <w:sdt>
            <w:sdtPr>
              <w:tag w:val="goog_rdk_11"/>
              <w:id w:val="-680204949"/>
              <w:richText/>
            </w:sdtPr>
            <w:sdtContent>
              <w:sdt>
                <w:sdtPr>
                  <w:tag w:val="goog_rdk_12"/>
                  <w:id w:val="1703053691"/>
                  <w:richText/>
                </w:sdtPr>
                <w:sdtContent/>
              </w:sdt>
              <w:sdt>
                <w:sdtPr>
                  <w:tag w:val="goog_rdk_13"/>
                  <w:id w:val="-2056836706"/>
                  <w:showingPlcHdr/>
                  <w:richText/>
                </w:sdtPr>
                <w:sdtContent>
                  <w:r w:rsidR="003D5777">
                    <w:t xml:space="preserve">     </w:t>
                  </w:r>
                </w:sdtContent>
              </w:sdt>
            </w:sdtContent>
          </w:sdt>
          <w:sdt>
            <w:sdtPr>
              <w:tag w:val="goog_rdk_14"/>
              <w:id w:val="1813746081"/>
              <w:richText/>
            </w:sdtPr>
            <w:sdtContent>
              <w:sdt>
                <w:sdtPr>
                  <w:tag w:val="goog_rdk_15"/>
                  <w:id w:val="-1381473262"/>
                  <w:richText/>
                </w:sdtPr>
                <w:sdtContent/>
              </w:sdt>
            </w:sdtContent>
          </w:sdt>
        </w:sdtContent>
      </w:sdt>
      <w:sdt>
        <w:sdtPr>
          <w:tag w:val="goog_rdk_17"/>
          <w:id w:val="-1374310076"/>
          <w:showingPlcHdr/>
          <w:richText/>
        </w:sdtPr>
        <w:sdtContent>
          <w:r w:rsidR="003D5777">
            <w:t xml:space="preserve">     </w:t>
          </w:r>
        </w:sdtContent>
      </w:sdt>
    </w:p>
    <w:p w:rsidR="006E2093" w14:paraId="0000004D" w14:textId="77777777">
      <w:pPr>
        <w:jc w:val="center"/>
        <w:rPr>
          <w:rFonts w:ascii="Tahoma" w:eastAsia="Tahoma" w:hAnsi="Tahoma" w:cs="Tahoma"/>
          <w:b/>
        </w:rPr>
      </w:pPr>
    </w:p>
    <w:p w:rsidR="006E2093" w14:paraId="0000004E" w14:textId="77777777">
      <w:pPr>
        <w:jc w:val="center"/>
        <w:rPr>
          <w:rFonts w:ascii="Tahoma" w:eastAsia="Tahoma" w:hAnsi="Tahoma" w:cs="Tahoma"/>
        </w:rPr>
      </w:pPr>
      <w:r>
        <w:rPr>
          <w:rFonts w:ascii="Tahoma" w:eastAsia="Tahoma" w:hAnsi="Tahoma" w:cs="Tahoma"/>
          <w:b/>
        </w:rPr>
        <w:t>VI. Odpovědnost za škodu</w:t>
      </w:r>
    </w:p>
    <w:p w:rsidR="006E2093" w14:paraId="0000004F" w14:textId="77777777">
      <w:pPr>
        <w:rPr>
          <w:rFonts w:ascii="Tahoma" w:eastAsia="Tahoma" w:hAnsi="Tahoma" w:cs="Tahoma"/>
        </w:rPr>
      </w:pPr>
    </w:p>
    <w:p w:rsidR="006E2093" w14:paraId="00000050" w14:textId="77777777">
      <w:pPr>
        <w:numPr>
          <w:ilvl w:val="0"/>
          <w:numId w:val="9"/>
        </w:numPr>
        <w:ind w:left="425"/>
        <w:rPr>
          <w:rFonts w:ascii="Tahoma" w:eastAsia="Tahoma" w:hAnsi="Tahoma" w:cs="Tahoma"/>
        </w:rPr>
      </w:pPr>
      <w:r>
        <w:rPr>
          <w:rFonts w:ascii="Tahoma" w:eastAsia="Tahoma" w:hAnsi="Tahoma" w:cs="Tahoma"/>
        </w:rPr>
        <w:t>Každá smluvní strana plně odpovídá druhé Smluvní straně za jakoukoliv škodu způsobenou touto Smluvní stranou druhé Smluvní straně jakýmkoliv porušením povinnosti této Smluvní strany, uvedené v této Smlouvě.</w:t>
      </w:r>
    </w:p>
    <w:p w:rsidR="006E2093" w14:paraId="00000051" w14:textId="77777777">
      <w:pPr>
        <w:numPr>
          <w:ilvl w:val="0"/>
          <w:numId w:val="9"/>
        </w:numPr>
        <w:ind w:left="425"/>
        <w:rPr>
          <w:rFonts w:ascii="Tahoma" w:eastAsia="Tahoma" w:hAnsi="Tahoma" w:cs="Tahoma"/>
        </w:rPr>
      </w:pPr>
      <w:r>
        <w:rPr>
          <w:rFonts w:ascii="Tahoma" w:eastAsia="Tahoma" w:hAnsi="Tahoma" w:cs="Tahoma"/>
        </w:rPr>
        <w:t xml:space="preserve">Odpovědnost za škodu Smluvních stran je limitována tak, že Smluvní strany jsou povinny k náhradě škody až do výše odpovídající peněžitému plnění uhrazenému </w:t>
      </w:r>
      <w:r>
        <w:t xml:space="preserve">     </w:t>
      </w:r>
      <w:r>
        <w:rPr>
          <w:rFonts w:ascii="Tahoma" w:eastAsia="Tahoma" w:hAnsi="Tahoma" w:cs="Tahoma"/>
        </w:rPr>
        <w:t>druhé Smluvní straně dle této Smlouvy v posledních 6 měsících předcházejících vzniku škody; to neplatí pro škodu způsobenou úmyslně.</w:t>
      </w:r>
    </w:p>
    <w:p w:rsidR="006E2093" w14:paraId="00000052" w14:textId="77777777">
      <w:pPr>
        <w:rPr>
          <w:rFonts w:ascii="Tahoma" w:eastAsia="Tahoma" w:hAnsi="Tahoma" w:cs="Tahoma"/>
        </w:rPr>
      </w:pPr>
    </w:p>
    <w:p w:rsidR="006E2093" w14:paraId="00000053" w14:textId="77777777">
      <w:pPr>
        <w:jc w:val="center"/>
        <w:rPr>
          <w:rFonts w:ascii="Tahoma" w:eastAsia="Tahoma" w:hAnsi="Tahoma" w:cs="Tahoma"/>
          <w:b/>
        </w:rPr>
      </w:pPr>
    </w:p>
    <w:p w:rsidR="006E2093" w14:paraId="00000054" w14:textId="77777777">
      <w:pPr>
        <w:jc w:val="center"/>
        <w:rPr>
          <w:rFonts w:ascii="Tahoma" w:eastAsia="Tahoma" w:hAnsi="Tahoma" w:cs="Tahoma"/>
          <w:b/>
        </w:rPr>
      </w:pPr>
    </w:p>
    <w:p w:rsidR="006E2093" w14:paraId="00000055" w14:textId="77777777">
      <w:pPr>
        <w:jc w:val="center"/>
        <w:rPr>
          <w:rFonts w:ascii="Tahoma" w:eastAsia="Tahoma" w:hAnsi="Tahoma" w:cs="Tahoma"/>
        </w:rPr>
      </w:pPr>
      <w:r>
        <w:rPr>
          <w:rFonts w:ascii="Tahoma" w:eastAsia="Tahoma" w:hAnsi="Tahoma" w:cs="Tahoma"/>
          <w:b/>
        </w:rPr>
        <w:t>VII. Odstoupení od Smlouvy</w:t>
      </w:r>
    </w:p>
    <w:p w:rsidR="006E2093" w14:paraId="00000056" w14:textId="77777777">
      <w:pPr>
        <w:rPr>
          <w:rFonts w:ascii="Tahoma" w:eastAsia="Tahoma" w:hAnsi="Tahoma" w:cs="Tahoma"/>
        </w:rPr>
      </w:pPr>
    </w:p>
    <w:p w:rsidR="006E2093" w14:paraId="00000057" w14:textId="77777777">
      <w:pPr>
        <w:numPr>
          <w:ilvl w:val="0"/>
          <w:numId w:val="6"/>
        </w:numPr>
        <w:ind w:left="425"/>
        <w:rPr>
          <w:rFonts w:ascii="Tahoma" w:eastAsia="Tahoma" w:hAnsi="Tahoma" w:cs="Tahoma"/>
        </w:rPr>
      </w:pPr>
      <w:r>
        <w:rPr>
          <w:rFonts w:ascii="Tahoma" w:eastAsia="Tahoma" w:hAnsi="Tahoma" w:cs="Tahoma"/>
        </w:rPr>
        <w:t>Smluvní strana má právo od této Smlouvy odstoupit v případě, že:</w:t>
      </w:r>
    </w:p>
    <w:p w:rsidR="006E2093" w14:paraId="00000058" w14:textId="77777777">
      <w:pPr>
        <w:numPr>
          <w:ilvl w:val="1"/>
          <w:numId w:val="6"/>
        </w:numPr>
        <w:rPr>
          <w:rFonts w:ascii="Tahoma" w:eastAsia="Tahoma" w:hAnsi="Tahoma" w:cs="Tahoma"/>
        </w:rPr>
      </w:pPr>
      <w:r>
        <w:rPr>
          <w:rFonts w:ascii="Tahoma" w:eastAsia="Tahoma" w:hAnsi="Tahoma" w:cs="Tahoma"/>
        </w:rPr>
        <w:t>druhá Smluvní strana je v prodlení se splněním jakékoliv své povinnosti uvedené v této Smlouvě déle než 30 dní;</w:t>
      </w:r>
    </w:p>
    <w:p w:rsidR="006E2093" w14:paraId="00000059" w14:textId="77777777">
      <w:pPr>
        <w:numPr>
          <w:ilvl w:val="1"/>
          <w:numId w:val="6"/>
        </w:numPr>
        <w:rPr>
          <w:rFonts w:ascii="Tahoma" w:eastAsia="Tahoma" w:hAnsi="Tahoma" w:cs="Tahoma"/>
        </w:rPr>
      </w:pPr>
      <w:r>
        <w:rPr>
          <w:rFonts w:ascii="Tahoma" w:eastAsia="Tahoma" w:hAnsi="Tahoma" w:cs="Tahoma"/>
        </w:rPr>
        <w:t>druhá Smluvní strana byla zrušena s likvidací;</w:t>
      </w:r>
    </w:p>
    <w:p w:rsidR="006E2093" w14:paraId="0000005A" w14:textId="77777777">
      <w:pPr>
        <w:numPr>
          <w:ilvl w:val="1"/>
          <w:numId w:val="6"/>
        </w:numPr>
        <w:rPr>
          <w:rFonts w:ascii="Tahoma" w:eastAsia="Tahoma" w:hAnsi="Tahoma" w:cs="Tahoma"/>
        </w:rPr>
      </w:pPr>
      <w:r>
        <w:rPr>
          <w:rFonts w:ascii="Tahoma" w:eastAsia="Tahoma" w:hAnsi="Tahoma" w:cs="Tahoma"/>
        </w:rPr>
        <w:t>na majetek druhé Smluvní strany byl prohlášen konkurz;</w:t>
      </w:r>
    </w:p>
    <w:p w:rsidR="006E2093" w14:paraId="0000005B" w14:textId="77777777">
      <w:pPr>
        <w:numPr>
          <w:ilvl w:val="1"/>
          <w:numId w:val="6"/>
        </w:numPr>
        <w:rPr>
          <w:rFonts w:ascii="Tahoma" w:eastAsia="Tahoma" w:hAnsi="Tahoma" w:cs="Tahoma"/>
        </w:rPr>
      </w:pPr>
      <w:r>
        <w:rPr>
          <w:rFonts w:ascii="Tahoma" w:eastAsia="Tahoma" w:hAnsi="Tahoma" w:cs="Tahoma"/>
        </w:rPr>
        <w:t>insolvenční návrh na majetek druhé Smluvní strany byl zamítnut pro nedostatek majetku;</w:t>
      </w:r>
    </w:p>
    <w:p w:rsidR="006E2093" w14:paraId="0000005C" w14:textId="77777777">
      <w:pPr>
        <w:numPr>
          <w:ilvl w:val="1"/>
          <w:numId w:val="6"/>
        </w:numPr>
        <w:rPr>
          <w:rFonts w:ascii="Tahoma" w:eastAsia="Tahoma" w:hAnsi="Tahoma" w:cs="Tahoma"/>
        </w:rPr>
      </w:pPr>
      <w:r>
        <w:rPr>
          <w:rFonts w:ascii="Tahoma" w:eastAsia="Tahoma" w:hAnsi="Tahoma" w:cs="Tahoma"/>
        </w:rPr>
        <w:t>insolvenční soud vydal rozhodnutí o úpadku druhé Smluvní strany;</w:t>
      </w:r>
    </w:p>
    <w:p w:rsidR="006E2093" w14:paraId="0000005D" w14:textId="77777777">
      <w:pPr>
        <w:numPr>
          <w:ilvl w:val="1"/>
          <w:numId w:val="6"/>
        </w:numPr>
        <w:rPr>
          <w:rFonts w:ascii="Tahoma" w:eastAsia="Tahoma" w:hAnsi="Tahoma" w:cs="Tahoma"/>
        </w:rPr>
      </w:pPr>
      <w:r>
        <w:rPr>
          <w:rFonts w:ascii="Tahoma" w:eastAsia="Tahoma" w:hAnsi="Tahoma" w:cs="Tahoma"/>
        </w:rPr>
        <w:t>ohledně druhé Smluvní strany bylo zahájeno insolvenční řízení a zároveň insolvenční návrh nebyl v zákonné lhůtě odmítnut pro zjevnou bezdůvodnost;</w:t>
      </w:r>
    </w:p>
    <w:p w:rsidR="006E2093" w14:paraId="0000005E" w14:textId="77777777">
      <w:pPr>
        <w:numPr>
          <w:ilvl w:val="1"/>
          <w:numId w:val="6"/>
        </w:numPr>
        <w:rPr>
          <w:rFonts w:ascii="Tahoma" w:eastAsia="Tahoma" w:hAnsi="Tahoma" w:cs="Tahoma"/>
        </w:rPr>
      </w:pPr>
      <w:r>
        <w:rPr>
          <w:rFonts w:ascii="Tahoma" w:eastAsia="Tahoma" w:hAnsi="Tahoma" w:cs="Tahoma"/>
        </w:rPr>
        <w:t>druhou Smluvní stranou oznámené okolnosti vyšší moci trvají déle než 30 dní a Smluvní strany se nedohodnou jinak.</w:t>
      </w:r>
    </w:p>
    <w:p w:rsidR="006E2093" w14:paraId="0000005F" w14:textId="77777777">
      <w:pPr>
        <w:numPr>
          <w:ilvl w:val="0"/>
          <w:numId w:val="6"/>
        </w:numPr>
        <w:ind w:left="425"/>
        <w:rPr>
          <w:rFonts w:ascii="Tahoma" w:eastAsia="Tahoma" w:hAnsi="Tahoma" w:cs="Tahoma"/>
        </w:rPr>
      </w:pPr>
      <w:r>
        <w:rPr>
          <w:rFonts w:ascii="Tahoma" w:eastAsia="Tahoma" w:hAnsi="Tahoma" w:cs="Tahoma"/>
        </w:rPr>
        <w:t>Odstoupení je účinné doručením písemného oznámení o odstoupení druhé Smluvní straně.</w:t>
      </w:r>
    </w:p>
    <w:p w:rsidR="006E2093" w14:paraId="00000060" w14:textId="77777777">
      <w:pPr>
        <w:numPr>
          <w:ilvl w:val="0"/>
          <w:numId w:val="6"/>
        </w:numPr>
        <w:ind w:left="425"/>
        <w:rPr>
          <w:rFonts w:ascii="Tahoma" w:eastAsia="Tahoma" w:hAnsi="Tahoma" w:cs="Tahoma"/>
        </w:rPr>
      </w:pPr>
      <w:r>
        <w:rPr>
          <w:rFonts w:ascii="Tahoma" w:eastAsia="Tahoma" w:hAnsi="Tahoma" w:cs="Tahoma"/>
        </w:rPr>
        <w:t>V případě odstoupení jsou Smluvní strany povinny vyrovnat závazky ze vzájemně poskytnutých plnění.</w:t>
      </w:r>
    </w:p>
    <w:p w:rsidR="006E2093" w14:paraId="00000061" w14:textId="77777777">
      <w:pPr>
        <w:numPr>
          <w:ilvl w:val="0"/>
          <w:numId w:val="6"/>
        </w:numPr>
        <w:ind w:left="425"/>
        <w:rPr>
          <w:rFonts w:ascii="Tahoma" w:eastAsia="Tahoma" w:hAnsi="Tahoma" w:cs="Tahoma"/>
        </w:rPr>
      </w:pPr>
      <w:r>
        <w:rPr>
          <w:rFonts w:ascii="Tahoma" w:eastAsia="Tahoma" w:hAnsi="Tahoma" w:cs="Tahoma"/>
        </w:rPr>
        <w:t>Ukončením Smlouvy nejsou dotčena ustanovení týkající se smluvních pokut, náhrady škody, a ustanovení týkající se takových práv a povinností, z jejichž povahy vyplývá, že mají trvat i po ukončení Smlouvy.</w:t>
      </w:r>
    </w:p>
    <w:p w:rsidR="006E2093" w14:paraId="00000062" w14:textId="77777777">
      <w:pPr>
        <w:rPr>
          <w:rFonts w:ascii="Tahoma" w:eastAsia="Tahoma" w:hAnsi="Tahoma" w:cs="Tahoma"/>
        </w:rPr>
      </w:pPr>
    </w:p>
    <w:p w:rsidR="006E2093" w14:paraId="00000063" w14:textId="77777777">
      <w:pPr>
        <w:rPr>
          <w:rFonts w:ascii="Tahoma" w:eastAsia="Tahoma" w:hAnsi="Tahoma" w:cs="Tahoma"/>
        </w:rPr>
      </w:pPr>
    </w:p>
    <w:p w:rsidR="006E2093" w14:paraId="00000064" w14:textId="77777777">
      <w:pPr>
        <w:jc w:val="center"/>
        <w:rPr>
          <w:rFonts w:ascii="Tahoma" w:eastAsia="Tahoma" w:hAnsi="Tahoma" w:cs="Tahoma"/>
        </w:rPr>
      </w:pPr>
      <w:r>
        <w:rPr>
          <w:rFonts w:ascii="Tahoma" w:eastAsia="Tahoma" w:hAnsi="Tahoma" w:cs="Tahoma"/>
          <w:b/>
        </w:rPr>
        <w:t>VIII. Důvěrnost</w:t>
      </w:r>
    </w:p>
    <w:p w:rsidR="006E2093" w14:paraId="00000065" w14:textId="77777777">
      <w:pPr>
        <w:rPr>
          <w:rFonts w:ascii="Tahoma" w:eastAsia="Tahoma" w:hAnsi="Tahoma" w:cs="Tahoma"/>
        </w:rPr>
      </w:pPr>
    </w:p>
    <w:p w:rsidR="006E2093" w14:paraId="00000066" w14:textId="77777777">
      <w:pPr>
        <w:numPr>
          <w:ilvl w:val="0"/>
          <w:numId w:val="5"/>
        </w:numPr>
        <w:ind w:left="425"/>
        <w:rPr>
          <w:rFonts w:ascii="Tahoma" w:eastAsia="Tahoma" w:hAnsi="Tahoma" w:cs="Tahoma"/>
        </w:rPr>
      </w:pPr>
      <w:r>
        <w:rPr>
          <w:rFonts w:ascii="Tahoma" w:eastAsia="Tahoma" w:hAnsi="Tahoma" w:cs="Tahoma"/>
        </w:rPr>
        <w:t>Každá Smluvní strana se zavazuje, že nezpřístupní, ani nepoužije žádnou informaci obchodní a/nebo technické povahy, se kterou se seznámí v souvislosti s plněním této Smlouvy, zejména nezpřístupní, ani nepoužije:</w:t>
      </w:r>
    </w:p>
    <w:p w:rsidR="006E2093" w14:paraId="00000067" w14:textId="77777777">
      <w:pPr>
        <w:numPr>
          <w:ilvl w:val="1"/>
          <w:numId w:val="5"/>
        </w:numPr>
        <w:rPr>
          <w:rFonts w:ascii="Tahoma" w:eastAsia="Tahoma" w:hAnsi="Tahoma" w:cs="Tahoma"/>
        </w:rPr>
      </w:pPr>
      <w:r>
        <w:rPr>
          <w:rFonts w:ascii="Tahoma" w:eastAsia="Tahoma" w:hAnsi="Tahoma" w:cs="Tahoma"/>
        </w:rPr>
        <w:t>žádnou takovou informaci obsaženou v této Smlouvě;</w:t>
      </w:r>
    </w:p>
    <w:p w:rsidR="006E2093" w14:paraId="00000068" w14:textId="77777777">
      <w:pPr>
        <w:numPr>
          <w:ilvl w:val="1"/>
          <w:numId w:val="5"/>
        </w:numPr>
        <w:rPr>
          <w:rFonts w:ascii="Tahoma" w:eastAsia="Tahoma" w:hAnsi="Tahoma" w:cs="Tahoma"/>
        </w:rPr>
      </w:pPr>
      <w:r>
        <w:rPr>
          <w:rFonts w:ascii="Tahoma" w:eastAsia="Tahoma" w:hAnsi="Tahoma" w:cs="Tahoma"/>
        </w:rPr>
        <w:t>cenovou politiku druhé Smluvní strany;</w:t>
      </w:r>
    </w:p>
    <w:p w:rsidR="006E2093" w14:paraId="00000069" w14:textId="77777777">
      <w:pPr>
        <w:numPr>
          <w:ilvl w:val="1"/>
          <w:numId w:val="5"/>
        </w:numPr>
        <w:rPr>
          <w:rFonts w:ascii="Tahoma" w:eastAsia="Tahoma" w:hAnsi="Tahoma" w:cs="Tahoma"/>
        </w:rPr>
      </w:pPr>
      <w:r>
        <w:rPr>
          <w:rFonts w:ascii="Tahoma" w:eastAsia="Tahoma" w:hAnsi="Tahoma" w:cs="Tahoma"/>
        </w:rPr>
        <w:t>marketingovou strategii druhé Smluvní strany;</w:t>
      </w:r>
    </w:p>
    <w:p w:rsidR="006E2093" w14:paraId="0000006A" w14:textId="77777777">
      <w:pPr>
        <w:numPr>
          <w:ilvl w:val="1"/>
          <w:numId w:val="5"/>
        </w:numPr>
        <w:rPr>
          <w:rFonts w:ascii="Tahoma" w:eastAsia="Tahoma" w:hAnsi="Tahoma" w:cs="Tahoma"/>
        </w:rPr>
      </w:pPr>
      <w:r>
        <w:rPr>
          <w:rFonts w:ascii="Tahoma" w:eastAsia="Tahoma" w:hAnsi="Tahoma" w:cs="Tahoma"/>
        </w:rPr>
        <w:t>informace o uzavřených smlouvách a dodavatelích druhé Smluvní strany;</w:t>
      </w:r>
    </w:p>
    <w:p w:rsidR="006E2093" w14:paraId="0000006B" w14:textId="77777777">
      <w:pPr>
        <w:numPr>
          <w:ilvl w:val="1"/>
          <w:numId w:val="5"/>
        </w:numPr>
        <w:rPr>
          <w:rFonts w:ascii="Tahoma" w:eastAsia="Tahoma" w:hAnsi="Tahoma" w:cs="Tahoma"/>
        </w:rPr>
      </w:pPr>
      <w:r>
        <w:rPr>
          <w:rFonts w:ascii="Tahoma" w:eastAsia="Tahoma" w:hAnsi="Tahoma" w:cs="Tahoma"/>
        </w:rPr>
        <w:t>způsob fungování firmy druhé Smluvní strany;</w:t>
      </w:r>
    </w:p>
    <w:p w:rsidR="006E2093" w14:paraId="0000006C" w14:textId="77777777">
      <w:pPr>
        <w:numPr>
          <w:ilvl w:val="1"/>
          <w:numId w:val="5"/>
        </w:numPr>
        <w:rPr>
          <w:rFonts w:ascii="Tahoma" w:eastAsia="Tahoma" w:hAnsi="Tahoma" w:cs="Tahoma"/>
        </w:rPr>
      </w:pPr>
      <w:r>
        <w:rPr>
          <w:rFonts w:ascii="Tahoma" w:eastAsia="Tahoma" w:hAnsi="Tahoma" w:cs="Tahoma"/>
        </w:rPr>
        <w:t>strategická rozhodnutí a podnikatelské záměry druhé Smluvní strany.</w:t>
      </w:r>
    </w:p>
    <w:p w:rsidR="006E2093" w14:paraId="0000006D" w14:textId="77777777">
      <w:pPr>
        <w:numPr>
          <w:ilvl w:val="0"/>
          <w:numId w:val="5"/>
        </w:numPr>
        <w:ind w:left="425"/>
        <w:rPr>
          <w:rFonts w:ascii="Tahoma" w:eastAsia="Tahoma" w:hAnsi="Tahoma" w:cs="Tahoma"/>
        </w:rPr>
      </w:pPr>
      <w:r>
        <w:rPr>
          <w:rFonts w:ascii="Tahoma" w:eastAsia="Tahoma" w:hAnsi="Tahoma" w:cs="Tahoma"/>
        </w:rPr>
        <w:t>Povinnost mlčenlivosti podle čl. VIII. odst. 1. této Smlouvy platí s výjimkou případů, kdy:</w:t>
      </w:r>
    </w:p>
    <w:p w:rsidR="006E2093" w14:paraId="0000006E" w14:textId="77777777">
      <w:pPr>
        <w:numPr>
          <w:ilvl w:val="1"/>
          <w:numId w:val="5"/>
        </w:numPr>
        <w:rPr>
          <w:rFonts w:ascii="Tahoma" w:eastAsia="Tahoma" w:hAnsi="Tahoma" w:cs="Tahoma"/>
        </w:rPr>
      </w:pPr>
      <w:r>
        <w:rPr>
          <w:rFonts w:ascii="Tahoma" w:eastAsia="Tahoma" w:hAnsi="Tahoma" w:cs="Tahoma"/>
        </w:rPr>
        <w:t>Smluvní strana druhé Smluvní straně udělila předchozí písemný souhlas s takovým zpřístupněním nebo použitím důvěrné informace;</w:t>
      </w:r>
    </w:p>
    <w:p w:rsidR="006E2093" w14:paraId="0000006F" w14:textId="77777777">
      <w:pPr>
        <w:numPr>
          <w:ilvl w:val="1"/>
          <w:numId w:val="5"/>
        </w:numPr>
        <w:rPr>
          <w:rFonts w:ascii="Tahoma" w:eastAsia="Tahoma" w:hAnsi="Tahoma" w:cs="Tahoma"/>
        </w:rPr>
      </w:pPr>
      <w:r>
        <w:rPr>
          <w:rFonts w:ascii="Tahoma" w:eastAsia="Tahoma" w:hAnsi="Tahoma" w:cs="Tahoma"/>
        </w:rPr>
        <w:t>právní předpis nebo veřejnoprávní orgán stanoví povinnost zpřístupnit nebo použít důvěrnou informaci;</w:t>
      </w:r>
    </w:p>
    <w:p w:rsidR="006E2093" w14:paraId="00000070" w14:textId="77777777">
      <w:pPr>
        <w:numPr>
          <w:ilvl w:val="1"/>
          <w:numId w:val="5"/>
        </w:numPr>
        <w:rPr>
          <w:rFonts w:ascii="Tahoma" w:eastAsia="Tahoma" w:hAnsi="Tahoma" w:cs="Tahoma"/>
        </w:rPr>
      </w:pPr>
      <w:r>
        <w:rPr>
          <w:rFonts w:ascii="Tahoma" w:eastAsia="Tahoma" w:hAnsi="Tahoma" w:cs="Tahoma"/>
        </w:rPr>
        <w:t>takové zpřístupnění nebo použití důvěrné informace je nezbytné pro realizaci této Smlouvy;</w:t>
      </w:r>
    </w:p>
    <w:p w:rsidR="006E2093" w14:paraId="00000071" w14:textId="77777777">
      <w:pPr>
        <w:numPr>
          <w:ilvl w:val="1"/>
          <w:numId w:val="5"/>
        </w:numPr>
        <w:rPr>
          <w:rFonts w:ascii="Tahoma" w:eastAsia="Tahoma" w:hAnsi="Tahoma" w:cs="Tahoma"/>
        </w:rPr>
      </w:pPr>
      <w:r>
        <w:rPr>
          <w:rFonts w:ascii="Tahoma" w:eastAsia="Tahoma" w:hAnsi="Tahoma" w:cs="Tahoma"/>
        </w:rPr>
        <w:t>je to podle jakékoliv smlouvy nebo dohody uzavřené mezi Smluvními stranami dovoleno.</w:t>
      </w:r>
    </w:p>
    <w:p w:rsidR="006E2093" w14:paraId="00000072" w14:textId="77777777">
      <w:pPr>
        <w:numPr>
          <w:ilvl w:val="0"/>
          <w:numId w:val="5"/>
        </w:numPr>
        <w:ind w:left="425"/>
        <w:rPr>
          <w:rFonts w:ascii="Tahoma" w:eastAsia="Tahoma" w:hAnsi="Tahoma" w:cs="Tahoma"/>
        </w:rPr>
      </w:pPr>
      <w:r>
        <w:rPr>
          <w:rFonts w:ascii="Tahoma" w:eastAsia="Tahoma" w:hAnsi="Tahoma" w:cs="Tahoma"/>
        </w:rPr>
        <w:t>Mezi důvěrné informace nepatří žádné informace, které jsou v době jejich zpřístupnění nebo použití běžně dostupné veřejnosti.</w:t>
      </w:r>
    </w:p>
    <w:p w:rsidR="006E2093" w14:paraId="00000073" w14:textId="77777777">
      <w:pPr>
        <w:numPr>
          <w:ilvl w:val="0"/>
          <w:numId w:val="5"/>
        </w:numPr>
        <w:ind w:left="425"/>
        <w:rPr>
          <w:rFonts w:ascii="Tahoma" w:eastAsia="Tahoma" w:hAnsi="Tahoma" w:cs="Tahoma"/>
        </w:rPr>
      </w:pPr>
      <w:r>
        <w:rPr>
          <w:rFonts w:ascii="Tahoma" w:eastAsia="Tahoma" w:hAnsi="Tahoma" w:cs="Tahoma"/>
        </w:rPr>
        <w:t>Smluvní strany si tímto vzájemně dávají souhlas k tomu, aby je druhá Smluvní strana uváděla jako svého obchodního partnera, a to předchozím (emailovém) odsouhlasení konkrétní podoby dané marketingové prezentace.</w:t>
      </w:r>
    </w:p>
    <w:p w:rsidR="006E2093" w14:paraId="00000074" w14:textId="77777777">
      <w:pPr>
        <w:numPr>
          <w:ilvl w:val="0"/>
          <w:numId w:val="5"/>
        </w:numPr>
        <w:ind w:left="425"/>
        <w:rPr>
          <w:rFonts w:ascii="Tahoma" w:eastAsia="Tahoma" w:hAnsi="Tahoma" w:cs="Tahoma"/>
        </w:rPr>
      </w:pPr>
      <w:r>
        <w:rPr>
          <w:rFonts w:ascii="Tahoma" w:eastAsia="Tahoma" w:hAnsi="Tahoma" w:cs="Tahoma"/>
        </w:rPr>
        <w:t xml:space="preserve">Každá Smluvní strana bere na vědomí, že důvěrné informace tvoří obchodní tajemství druhé Smluvní strany. </w:t>
      </w:r>
    </w:p>
    <w:p w:rsidR="006E2093" w14:paraId="00000075" w14:textId="77777777">
      <w:pPr>
        <w:numPr>
          <w:ilvl w:val="0"/>
          <w:numId w:val="5"/>
        </w:numPr>
        <w:ind w:left="425"/>
        <w:jc w:val="both"/>
        <w:rPr>
          <w:rFonts w:ascii="Tahoma" w:eastAsia="Tahoma" w:hAnsi="Tahoma" w:cs="Tahoma"/>
        </w:rPr>
      </w:pPr>
      <w:r>
        <w:rPr>
          <w:rFonts w:ascii="Tahoma" w:eastAsia="Tahoma" w:hAnsi="Tahoma" w:cs="Tahoma"/>
          <w:color w:val="000000"/>
        </w:rPr>
        <w:t>Smluvní strany berou na vědomí, že v rámci provádění činností dle této Smlouvy bude docházet ke zpracování osobních údajů fyzických osob určených SFPI ve smyslu Nařízení Evropského parlamentu a Rady (EU) 2016/679 o ochraně fyzických osob v souvislosti se zpracováním osobních údajů a o volném pohybu těchto údajů a o zrušení směrnice 95/46/ES (obecné nařízení o ochraně osobních údajů) (dále jen „Nařízení“). Správcem uvedených osobních údajů bude SFPI, NR jakožto zpracovatel bude provádět zpracování těchto osobních údajů pro SFPI. Uvedené provádění zpracování osobních údajů NR pro SFPI se bude řídit smlouvu o zpracování osobních údajů ve smyslu čl. 28 Nařízení, kterou se SFPI a NR zavazuje uzavřít současně s touto Smlouvou nebo bez zbytečného odkladu po jejím uzavření s tím, že uzavření smlouvy o zpracování osobních údajů ve smyslu čl. 28 Nařízení bude představovat odkládací podmínkou účinnosti této Smlouvy.</w:t>
      </w:r>
    </w:p>
    <w:p w:rsidR="006E2093" w14:paraId="00000076" w14:textId="1AA2605E">
      <w:pPr>
        <w:numPr>
          <w:ilvl w:val="0"/>
          <w:numId w:val="5"/>
        </w:numPr>
        <w:ind w:left="425"/>
        <w:jc w:val="both"/>
        <w:rPr>
          <w:rFonts w:ascii="Cambria" w:eastAsia="Cambria" w:hAnsi="Cambria" w:cs="Cambria"/>
          <w:sz w:val="24"/>
          <w:szCs w:val="24"/>
        </w:rPr>
      </w:pPr>
      <w:r>
        <w:rPr>
          <w:rFonts w:ascii="Tahoma" w:eastAsia="Tahoma" w:hAnsi="Tahoma" w:cs="Tahoma"/>
        </w:rPr>
        <w:t xml:space="preserve"> SFPI, jakožto správce, zpracovává osobní údaje fyzických osob oprávněných zastupovat NR, případně dalších osob podílejících se na plnění NR dle této Smlouvy, na základě plnění právní povinnosti správce a/nebo na základě oprávněných zájmů správce (jimiž jsou zejména ochrana jeho majetkových práv) za účelem a v rozsahu nezbytném pro plnění práv a povinností dle této Smlouvy a za účelem a v rozsahu nezbytném pro plnění právních povinností SFPI. Dané osobní údaje správce zpracovává pouze po dobu nezbytně nutnou pro naplnění stanovených účelů. Při zpracovávání těchto osobních údajů postupuje SFPI v souladu s Nařízením a v souladu se zákonem č. 110/2019 Sb., o zpracování osobních údajů. V souladu s ustanovením čl. 13, popř. 14 Nařízení dále poskytuje SFPI, jakožto správce, fyzickým osobám, jejichž osobní údaje jsou v souladu s touto Smlouvou zpracovávány, následující informace: (a) fyzické osoby, jejichž osobní údaje jsou v souladu s touto Smlouvou zpracovávány,  mají právo na přístup k osobním údajům, právo na opravu osobních údajů a právo na výmaz osobních údajů, popřípadě právo na omezení zpracování, právo vznést námitku proti zpracování či právo na přenositelnost osobních údajů, to vše za podmínek stanovených v Nařízení GDPR; (b) kontaktní údaje pověřence pro ochranu osobních údajů Objednatele jsou: </w:t>
      </w:r>
      <w:r w:rsidR="004C095F">
        <w:rPr>
          <w:rFonts w:ascii="Tahoma" w:eastAsia="Tahoma" w:hAnsi="Tahoma" w:cs="Tahoma"/>
        </w:rPr>
        <w:t>XXXXX</w:t>
      </w:r>
      <w:r>
        <w:rPr>
          <w:rFonts w:ascii="Tahoma" w:eastAsia="Tahoma" w:hAnsi="Tahoma" w:cs="Tahoma"/>
        </w:rPr>
        <w:t xml:space="preserve">, doručovací adresa: Vinohradská 1896/46, 120 00 Praha 2, e-mail: </w:t>
      </w:r>
      <w:r w:rsidR="00BE017C">
        <w:rPr>
          <w:rFonts w:ascii="Tahoma" w:eastAsia="Tahoma" w:hAnsi="Tahoma" w:cs="Tahoma"/>
        </w:rPr>
        <w:t>XXXXX</w:t>
      </w:r>
      <w:r>
        <w:rPr>
          <w:rFonts w:ascii="Tahoma" w:eastAsia="Tahoma" w:hAnsi="Tahoma" w:cs="Tahoma"/>
        </w:rPr>
        <w:t>; (c) fyzické osoby, jejichž osobní údaje jsou v souladu s touto Smlouvou zpracovávány, mají právo podat stížnost u dozorového úřadu ve smyslu ustanovení čl. 13 odst. 2. písm. d) Nařízení GDPR; (d) na základě poskytnutých osobních údajů nedochází k žádnému automatizovanému rozhodování. Zpracování osobních údajů je zákonným požadavkem. Zpracovávané osobní údaje mohou být v případech stanovených právním řádem ČR předány orgánům veřejné moci.</w:t>
      </w:r>
    </w:p>
    <w:p w:rsidR="006E2093" w14:paraId="00000077" w14:textId="77777777">
      <w:pPr>
        <w:pBdr>
          <w:top w:val="nil"/>
          <w:left w:val="nil"/>
          <w:bottom w:val="nil"/>
          <w:right w:val="nil"/>
          <w:between w:val="nil"/>
        </w:pBdr>
        <w:spacing w:after="120"/>
        <w:jc w:val="both"/>
        <w:rPr>
          <w:rFonts w:ascii="Tahoma" w:eastAsia="Tahoma" w:hAnsi="Tahoma" w:cs="Tahoma"/>
          <w:color w:val="000000"/>
          <w:sz w:val="24"/>
          <w:szCs w:val="24"/>
          <w:highlight w:val="yellow"/>
        </w:rPr>
      </w:pPr>
    </w:p>
    <w:p w:rsidR="006E2093" w14:paraId="00000078" w14:textId="77777777">
      <w:pPr>
        <w:rPr>
          <w:rFonts w:ascii="Tahoma" w:eastAsia="Tahoma" w:hAnsi="Tahoma" w:cs="Tahoma"/>
        </w:rPr>
      </w:pPr>
    </w:p>
    <w:p w:rsidR="006E2093" w14:paraId="00000079" w14:textId="77777777">
      <w:pPr>
        <w:jc w:val="center"/>
        <w:rPr>
          <w:rFonts w:ascii="Tahoma" w:eastAsia="Tahoma" w:hAnsi="Tahoma" w:cs="Tahoma"/>
          <w:b/>
        </w:rPr>
      </w:pPr>
    </w:p>
    <w:p w:rsidR="006E2093" w14:paraId="0000007A" w14:textId="77777777">
      <w:pPr>
        <w:jc w:val="center"/>
        <w:rPr>
          <w:rFonts w:ascii="Tahoma" w:eastAsia="Tahoma" w:hAnsi="Tahoma" w:cs="Tahoma"/>
          <w:b/>
        </w:rPr>
      </w:pPr>
    </w:p>
    <w:p w:rsidR="006E2093" w14:paraId="0000007B" w14:textId="77777777">
      <w:pPr>
        <w:jc w:val="center"/>
        <w:rPr>
          <w:rFonts w:ascii="Tahoma" w:eastAsia="Tahoma" w:hAnsi="Tahoma" w:cs="Tahoma"/>
        </w:rPr>
      </w:pPr>
      <w:r>
        <w:rPr>
          <w:rFonts w:ascii="Tahoma" w:eastAsia="Tahoma" w:hAnsi="Tahoma" w:cs="Tahoma"/>
          <w:b/>
        </w:rPr>
        <w:t>IX. Smluvní pokuta</w:t>
      </w:r>
    </w:p>
    <w:p w:rsidR="006E2093" w14:paraId="0000007C" w14:textId="77777777">
      <w:pPr>
        <w:rPr>
          <w:rFonts w:ascii="Tahoma" w:eastAsia="Tahoma" w:hAnsi="Tahoma" w:cs="Tahoma"/>
        </w:rPr>
      </w:pPr>
    </w:p>
    <w:p w:rsidR="006E2093" w14:paraId="0000007D" w14:textId="77777777">
      <w:pPr>
        <w:ind w:left="360"/>
        <w:rPr>
          <w:rFonts w:ascii="Tahoma" w:eastAsia="Tahoma" w:hAnsi="Tahoma" w:cs="Tahoma"/>
        </w:rPr>
      </w:pPr>
      <w:sdt>
        <w:sdtPr>
          <w:tag w:val="goog_rdk_18"/>
          <w:id w:val="-702173605"/>
          <w:richText/>
        </w:sdtPr>
        <w:sdtContent/>
      </w:sdt>
      <w:sdt>
        <w:sdtPr>
          <w:tag w:val="goog_rdk_19"/>
          <w:id w:val="1312761255"/>
          <w:richText/>
        </w:sdtPr>
        <w:sdtContent/>
      </w:sdt>
      <w:sdt>
        <w:sdtPr>
          <w:tag w:val="goog_rdk_20"/>
          <w:id w:val="-1011603416"/>
          <w:richText/>
        </w:sdtPr>
        <w:sdtContent/>
      </w:sdt>
      <w:r w:rsidR="00634BB2">
        <w:rPr>
          <w:rFonts w:ascii="Tahoma" w:eastAsia="Tahoma" w:hAnsi="Tahoma" w:cs="Tahoma"/>
        </w:rPr>
        <w:t>.</w:t>
      </w:r>
    </w:p>
    <w:p w:rsidR="006E2093" w14:paraId="0000007E" w14:textId="08D27C10">
      <w:pPr>
        <w:numPr>
          <w:ilvl w:val="0"/>
          <w:numId w:val="1"/>
        </w:numPr>
        <w:ind w:left="425" w:hanging="360"/>
        <w:jc w:val="both"/>
        <w:rPr>
          <w:rFonts w:ascii="Tahoma" w:eastAsia="Tahoma" w:hAnsi="Tahoma" w:cs="Tahoma"/>
        </w:rPr>
      </w:pPr>
      <w:r>
        <w:rPr>
          <w:rFonts w:ascii="Tahoma" w:eastAsia="Tahoma" w:hAnsi="Tahoma" w:cs="Tahoma"/>
        </w:rPr>
        <w:t xml:space="preserve">Pokud bude NR v důsledku svého zaviněného jednání v prodlení s poskytnutím Služeb, má SFPI právo za každý započatý den prodlení nárokovat úhradu smluvní pokuty ve výši </w:t>
      </w:r>
      <w:r>
        <w:rPr>
          <w:rFonts w:ascii="Tahoma" w:eastAsia="Tahoma" w:hAnsi="Tahoma" w:cs="Tahoma"/>
        </w:rPr>
        <w:t>1.000,-</w:t>
      </w:r>
      <w:r>
        <w:rPr>
          <w:rFonts w:ascii="Tahoma" w:eastAsia="Tahoma" w:hAnsi="Tahoma" w:cs="Tahoma"/>
        </w:rPr>
        <w:t xml:space="preserve"> Kč, a to za každý jednotlivý případ porušení této povinnosti</w:t>
      </w:r>
      <w:sdt>
        <w:sdtPr>
          <w:tag w:val="goog_rdk_21"/>
          <w:id w:val="2133284196"/>
          <w:richText/>
        </w:sdtPr>
        <w:sdtContent>
          <w:r>
            <w:rPr>
              <w:rFonts w:ascii="Tahoma" w:eastAsia="Tahoma" w:hAnsi="Tahoma" w:cs="Tahoma"/>
            </w:rPr>
            <w:t xml:space="preserve">, nejvýše však </w:t>
          </w:r>
        </w:sdtContent>
      </w:sdt>
      <w:sdt>
        <w:sdtPr>
          <w:tag w:val="goog_rdk_22"/>
          <w:id w:val="853773348"/>
          <w:richText/>
        </w:sdtPr>
        <w:sdtContent>
          <w:r>
            <w:rPr>
              <w:rFonts w:ascii="Tahoma" w:eastAsia="Tahoma" w:hAnsi="Tahoma" w:cs="Tahoma"/>
            </w:rPr>
            <w:t xml:space="preserve">do výše </w:t>
          </w:r>
        </w:sdtContent>
      </w:sdt>
      <w:sdt>
        <w:sdtPr>
          <w:tag w:val="goog_rdk_23"/>
          <w:id w:val="-495110087"/>
          <w:richText/>
        </w:sdtPr>
        <w:sdtContent>
          <w:sdt>
            <w:sdtPr>
              <w:tag w:val="goog_rdk_24"/>
              <w:id w:val="-1809622536"/>
              <w:showingPlcHdr/>
              <w:richText/>
            </w:sdtPr>
            <w:sdtContent>
              <w:r w:rsidR="003D5777">
                <w:t xml:space="preserve">     </w:t>
              </w:r>
            </w:sdtContent>
          </w:sdt>
          <w:r>
            <w:rPr>
              <w:rFonts w:ascii="Tahoma" w:eastAsia="Tahoma" w:hAnsi="Tahoma" w:cs="Tahoma"/>
            </w:rPr>
            <w:t xml:space="preserve"> peněžitého plnění v daném měsíci dle této Smlouvy</w:t>
          </w:r>
        </w:sdtContent>
      </w:sdt>
      <w:r>
        <w:rPr>
          <w:rFonts w:ascii="Tahoma" w:eastAsia="Tahoma" w:hAnsi="Tahoma" w:cs="Tahoma"/>
        </w:rPr>
        <w:t>.</w:t>
      </w:r>
    </w:p>
    <w:p w:rsidR="006E2093" w14:paraId="0000007F" w14:textId="77777777">
      <w:pPr>
        <w:numPr>
          <w:ilvl w:val="0"/>
          <w:numId w:val="1"/>
        </w:numPr>
        <w:ind w:left="425" w:hanging="360"/>
        <w:jc w:val="both"/>
        <w:rPr>
          <w:rFonts w:ascii="Tahoma" w:eastAsia="Tahoma" w:hAnsi="Tahoma" w:cs="Tahoma"/>
        </w:rPr>
      </w:pPr>
      <w:r>
        <w:rPr>
          <w:rFonts w:ascii="Tahoma" w:eastAsia="Tahoma" w:hAnsi="Tahoma" w:cs="Tahoma"/>
        </w:rPr>
        <w:t>Smluvní pokuta nemá vliv na náhradu škody a poškozená Smluvní strana má právo požadovat náhradu škody od druhé Smluvní strany v plné výši. Smluvní strany tímto vylučují ust. § 2050 zákona č. 89/2012 Sb, občanský zákoník, ve znění pozdějších předpisů (dále jen „občanský zákoník“). Smluvní pokuta je splatná ve lhůtě 30 kalendářních dní ode dne doručení vyúčtování smluvní pokuty NR.</w:t>
      </w:r>
    </w:p>
    <w:p w:rsidR="006E2093" w14:paraId="00000080" w14:textId="77777777">
      <w:pPr>
        <w:rPr>
          <w:rFonts w:ascii="Tahoma" w:eastAsia="Tahoma" w:hAnsi="Tahoma" w:cs="Tahoma"/>
        </w:rPr>
      </w:pPr>
    </w:p>
    <w:p w:rsidR="006E2093" w14:paraId="00000081" w14:textId="77777777">
      <w:pPr>
        <w:ind w:left="284"/>
        <w:jc w:val="both"/>
        <w:rPr>
          <w:rFonts w:ascii="Tahoma" w:eastAsia="Tahoma" w:hAnsi="Tahoma" w:cs="Tahoma"/>
        </w:rPr>
      </w:pPr>
    </w:p>
    <w:p w:rsidR="006E2093" w14:paraId="00000082" w14:textId="77777777">
      <w:pPr>
        <w:rPr>
          <w:rFonts w:ascii="Tahoma" w:eastAsia="Tahoma" w:hAnsi="Tahoma" w:cs="Tahoma"/>
        </w:rPr>
      </w:pPr>
    </w:p>
    <w:p w:rsidR="006E2093" w14:paraId="00000083" w14:textId="77777777">
      <w:pPr>
        <w:jc w:val="center"/>
        <w:rPr>
          <w:rFonts w:ascii="Tahoma" w:eastAsia="Tahoma" w:hAnsi="Tahoma" w:cs="Tahoma"/>
        </w:rPr>
      </w:pPr>
      <w:r>
        <w:rPr>
          <w:rFonts w:ascii="Tahoma" w:eastAsia="Tahoma" w:hAnsi="Tahoma" w:cs="Tahoma"/>
          <w:b/>
        </w:rPr>
        <w:t>X. Vyšší moc</w:t>
      </w:r>
    </w:p>
    <w:p w:rsidR="006E2093" w14:paraId="00000084" w14:textId="77777777">
      <w:pPr>
        <w:rPr>
          <w:rFonts w:ascii="Tahoma" w:eastAsia="Tahoma" w:hAnsi="Tahoma" w:cs="Tahoma"/>
        </w:rPr>
      </w:pPr>
    </w:p>
    <w:p w:rsidR="006E2093" w14:paraId="00000085" w14:textId="77777777">
      <w:pPr>
        <w:numPr>
          <w:ilvl w:val="0"/>
          <w:numId w:val="7"/>
        </w:numPr>
        <w:ind w:left="425"/>
        <w:rPr>
          <w:rFonts w:ascii="Tahoma" w:eastAsia="Tahoma" w:hAnsi="Tahoma" w:cs="Tahoma"/>
        </w:rPr>
      </w:pPr>
      <w:r>
        <w:rPr>
          <w:rFonts w:ascii="Tahoma" w:eastAsia="Tahoma" w:hAnsi="Tahoma" w:cs="Tahoma"/>
        </w:rPr>
        <w:t>Smluvní strany se zprošťují veškeré odpovědnosti za nesplnění svých povinností z této Smlouvy po dobu trvání vyšší moci do té míry, pokud po nich nebylo možné požadovat, aby neplnění svých povinností z této Smlouvy v důsledku vyšší moci předešly.</w:t>
      </w:r>
    </w:p>
    <w:p w:rsidR="006E2093" w14:paraId="00000086" w14:textId="77777777">
      <w:pPr>
        <w:numPr>
          <w:ilvl w:val="0"/>
          <w:numId w:val="7"/>
        </w:numPr>
        <w:ind w:left="425"/>
        <w:rPr>
          <w:rFonts w:ascii="Tahoma" w:eastAsia="Tahoma" w:hAnsi="Tahoma" w:cs="Tahoma"/>
        </w:rPr>
      </w:pPr>
      <w:r>
        <w:rPr>
          <w:rFonts w:ascii="Tahoma" w:eastAsia="Tahoma" w:hAnsi="Tahoma" w:cs="Tahoma"/>
        </w:rPr>
        <w:t>Za vyšší moc je pro účely této Smlouvy považována každá událost nezávislá na vůli Smluvních stran, která znemožňuje plnění smluvních závazků a kterou nebylo možno předvídat v době vzniku této Smlouvy. Za vyšší moc se z hlediska této Smlouvy považuje zejména přírodní katastrofa, požár, výbuch, silné vichřice, zemětřesení, záplavy, válka, stávka, nebo jiné události, které jsou mimo jakoukoliv kontrolu Smluvních stran.</w:t>
      </w:r>
    </w:p>
    <w:p w:rsidR="006E2093" w14:paraId="00000087" w14:textId="77777777">
      <w:pPr>
        <w:numPr>
          <w:ilvl w:val="0"/>
          <w:numId w:val="7"/>
        </w:numPr>
        <w:ind w:left="425"/>
        <w:rPr>
          <w:rFonts w:ascii="Tahoma" w:eastAsia="Tahoma" w:hAnsi="Tahoma" w:cs="Tahoma"/>
        </w:rPr>
      </w:pPr>
      <w:r>
        <w:rPr>
          <w:rFonts w:ascii="Tahoma" w:eastAsia="Tahoma" w:hAnsi="Tahoma" w:cs="Tahoma"/>
        </w:rPr>
        <w:t>Po dobu trvání vyšší moci se splnění závazků podle této Smlouvy pozastavuje do doby odstranění následků vyšší moci.</w:t>
      </w:r>
    </w:p>
    <w:p w:rsidR="006E2093" w14:paraId="00000088" w14:textId="77777777">
      <w:pPr>
        <w:rPr>
          <w:rFonts w:ascii="Tahoma" w:eastAsia="Tahoma" w:hAnsi="Tahoma" w:cs="Tahoma"/>
        </w:rPr>
      </w:pPr>
    </w:p>
    <w:p w:rsidR="006E2093" w14:paraId="00000089" w14:textId="77777777">
      <w:pPr>
        <w:jc w:val="center"/>
        <w:rPr>
          <w:rFonts w:ascii="Tahoma" w:eastAsia="Tahoma" w:hAnsi="Tahoma" w:cs="Tahoma"/>
        </w:rPr>
      </w:pPr>
      <w:r>
        <w:rPr>
          <w:rFonts w:ascii="Tahoma" w:eastAsia="Tahoma" w:hAnsi="Tahoma" w:cs="Tahoma"/>
          <w:b/>
        </w:rPr>
        <w:t>XI. Rozhodné právo</w:t>
      </w:r>
    </w:p>
    <w:p w:rsidR="006E2093" w14:paraId="0000008A" w14:textId="77777777">
      <w:pPr>
        <w:rPr>
          <w:rFonts w:ascii="Tahoma" w:eastAsia="Tahoma" w:hAnsi="Tahoma" w:cs="Tahoma"/>
        </w:rPr>
      </w:pPr>
    </w:p>
    <w:p w:rsidR="006E2093" w14:paraId="0000008B" w14:textId="77777777">
      <w:pPr>
        <w:numPr>
          <w:ilvl w:val="0"/>
          <w:numId w:val="10"/>
        </w:numPr>
        <w:ind w:left="425"/>
        <w:rPr>
          <w:rFonts w:ascii="Tahoma" w:eastAsia="Tahoma" w:hAnsi="Tahoma" w:cs="Tahoma"/>
        </w:rPr>
      </w:pPr>
      <w:r>
        <w:rPr>
          <w:rFonts w:ascii="Tahoma" w:eastAsia="Tahoma" w:hAnsi="Tahoma" w:cs="Tahoma"/>
        </w:rPr>
        <w:t>Tato Smlouva se řídí právním řádem České republiky, zejména občanským zákoníkem.</w:t>
      </w:r>
    </w:p>
    <w:p w:rsidR="006E2093" w14:paraId="0000008C" w14:textId="77777777">
      <w:pPr>
        <w:rPr>
          <w:rFonts w:ascii="Tahoma" w:eastAsia="Tahoma" w:hAnsi="Tahoma" w:cs="Tahoma"/>
        </w:rPr>
      </w:pPr>
    </w:p>
    <w:p w:rsidR="006E2093" w14:paraId="0000008D" w14:textId="77777777">
      <w:pPr>
        <w:rPr>
          <w:rFonts w:ascii="Tahoma" w:eastAsia="Tahoma" w:hAnsi="Tahoma" w:cs="Tahoma"/>
        </w:rPr>
      </w:pPr>
    </w:p>
    <w:p w:rsidR="006E2093" w14:paraId="0000008E" w14:textId="77777777">
      <w:pPr>
        <w:jc w:val="center"/>
        <w:rPr>
          <w:rFonts w:ascii="Tahoma" w:eastAsia="Tahoma" w:hAnsi="Tahoma" w:cs="Tahoma"/>
        </w:rPr>
      </w:pPr>
      <w:r>
        <w:rPr>
          <w:rFonts w:ascii="Tahoma" w:eastAsia="Tahoma" w:hAnsi="Tahoma" w:cs="Tahoma"/>
          <w:b/>
        </w:rPr>
        <w:t>XII. Závěrečná ustanovení</w:t>
      </w:r>
    </w:p>
    <w:p w:rsidR="006E2093" w14:paraId="0000008F" w14:textId="77777777">
      <w:pPr>
        <w:rPr>
          <w:rFonts w:ascii="Tahoma" w:eastAsia="Tahoma" w:hAnsi="Tahoma" w:cs="Tahoma"/>
        </w:rPr>
      </w:pPr>
    </w:p>
    <w:p w:rsidR="006E2093" w14:paraId="00000090" w14:textId="77777777">
      <w:pPr>
        <w:numPr>
          <w:ilvl w:val="0"/>
          <w:numId w:val="8"/>
        </w:numPr>
        <w:ind w:left="425"/>
        <w:rPr>
          <w:rFonts w:ascii="Tahoma" w:eastAsia="Tahoma" w:hAnsi="Tahoma" w:cs="Tahoma"/>
        </w:rPr>
      </w:pPr>
      <w:r>
        <w:rPr>
          <w:rFonts w:ascii="Tahoma" w:eastAsia="Tahoma" w:hAnsi="Tahoma" w:cs="Tahoma"/>
        </w:rPr>
        <w:t>Nevymahatelnost či neplatnost kteréhokoliv ustanovení této Smlouvy nemá vliv na vymahatelnost či platnost zbývajících ustanovení této Smlouvy, pokud z povahy nebo obsahu takového ustanovení nevyplývá, že nemůže být odděleno od ostatního obsahu této Smlouvy.</w:t>
      </w:r>
    </w:p>
    <w:p w:rsidR="006E2093" w14:paraId="00000091" w14:textId="77777777">
      <w:pPr>
        <w:numPr>
          <w:ilvl w:val="0"/>
          <w:numId w:val="8"/>
        </w:numPr>
        <w:ind w:left="425"/>
        <w:rPr>
          <w:rFonts w:ascii="Tahoma" w:eastAsia="Tahoma" w:hAnsi="Tahoma" w:cs="Tahoma"/>
        </w:rPr>
      </w:pPr>
      <w:r>
        <w:rPr>
          <w:rFonts w:ascii="Tahoma" w:eastAsia="Tahoma" w:hAnsi="Tahoma" w:cs="Tahoma"/>
        </w:rPr>
        <w:t>Tato Smlouva může být změněna písemnými dodatky podepsanými oběma Smluvními stranami.</w:t>
      </w:r>
    </w:p>
    <w:p w:rsidR="006E2093" w14:paraId="00000092" w14:textId="77777777">
      <w:pPr>
        <w:numPr>
          <w:ilvl w:val="0"/>
          <w:numId w:val="8"/>
        </w:numPr>
        <w:ind w:left="425"/>
        <w:rPr>
          <w:rFonts w:ascii="Tahoma" w:eastAsia="Tahoma" w:hAnsi="Tahoma" w:cs="Tahoma"/>
        </w:rPr>
      </w:pPr>
      <w:r>
        <w:rPr>
          <w:rFonts w:ascii="Tahoma" w:eastAsia="Tahoma" w:hAnsi="Tahoma" w:cs="Tahoma"/>
        </w:rPr>
        <w:t>Tato Smlouva je vyhotovena ve dvou stejnopisech. Každá Smluvní strana obdrží jeden stejnopis této Smlouvy. V případě elektronických podpisů je smlouva vyhotovena v jednom elektronickém originálu pro obě Smluvní strany.</w:t>
      </w:r>
    </w:p>
    <w:p w:rsidR="006E2093" w14:paraId="00000093" w14:textId="77777777">
      <w:pPr>
        <w:numPr>
          <w:ilvl w:val="0"/>
          <w:numId w:val="8"/>
        </w:numPr>
        <w:ind w:left="425"/>
        <w:rPr>
          <w:rFonts w:ascii="Tahoma" w:eastAsia="Tahoma" w:hAnsi="Tahoma" w:cs="Tahoma"/>
        </w:rPr>
      </w:pPr>
      <w:r>
        <w:rPr>
          <w:rFonts w:ascii="Tahoma" w:eastAsia="Tahoma" w:hAnsi="Tahoma" w:cs="Tahoma"/>
        </w:rPr>
        <w:t>Tato Smlouva nabývá platnosti dnem podpisu Smluvními stranami a účinnosti dnem zveřejnění Smlouvy v registru smluv podle zákona č. 340/2015 Sb., o zvláštních podmínkách účinnosti některých smluv, uveřejňování těchto smluv a o registru smluv a je závazná pro případné právní nástupce obou Smluvních stran. Uveřejnění v registru smluv zajistí SFPI. NR bude o uveřejnění Smlouvy v registru smluv informován datovou zprávou zaslanou registrem smluv.</w:t>
      </w:r>
    </w:p>
    <w:p w:rsidR="006E2093" w14:paraId="00000094" w14:textId="77777777">
      <w:pPr>
        <w:numPr>
          <w:ilvl w:val="0"/>
          <w:numId w:val="8"/>
        </w:numPr>
        <w:ind w:left="425"/>
        <w:rPr>
          <w:rFonts w:ascii="Tahoma" w:eastAsia="Tahoma" w:hAnsi="Tahoma" w:cs="Tahoma"/>
        </w:rPr>
      </w:pPr>
      <w:r>
        <w:rPr>
          <w:rFonts w:ascii="Tahoma" w:eastAsia="Tahoma" w:hAnsi="Tahoma" w:cs="Tahoma"/>
        </w:rPr>
        <w:t>NR výslovně souhlasí s tím, že údaje o této Smlouvě budou zveřejněny v Národním katalogu otevřených dat jako součást přehledu informací o hospodaření Státního fondu podpory investic.</w:t>
      </w:r>
    </w:p>
    <w:p w:rsidR="006E2093" w14:paraId="00000095" w14:textId="77777777">
      <w:pPr>
        <w:numPr>
          <w:ilvl w:val="0"/>
          <w:numId w:val="8"/>
        </w:numPr>
        <w:ind w:left="425"/>
        <w:rPr>
          <w:rFonts w:ascii="Tahoma" w:eastAsia="Tahoma" w:hAnsi="Tahoma" w:cs="Tahoma"/>
        </w:rPr>
      </w:pPr>
      <w:r>
        <w:rPr>
          <w:rFonts w:ascii="Tahoma" w:eastAsia="Tahoma" w:hAnsi="Tahoma" w:cs="Tahoma"/>
        </w:rPr>
        <w:t xml:space="preserve">Nedílnou součástí Smlouvy je Příloha č. 1, Příloha č. 2 a Příloha č. 3, které jsou se Smlouvou neoddělitelně spojeny. </w:t>
      </w:r>
    </w:p>
    <w:p w:rsidR="006E2093" w14:paraId="00000096" w14:textId="77777777">
      <w:pPr>
        <w:numPr>
          <w:ilvl w:val="0"/>
          <w:numId w:val="8"/>
        </w:numPr>
        <w:ind w:left="425"/>
        <w:rPr>
          <w:rFonts w:ascii="Tahoma" w:eastAsia="Tahoma" w:hAnsi="Tahoma" w:cs="Tahoma"/>
        </w:rPr>
      </w:pPr>
      <w:r>
        <w:rPr>
          <w:rFonts w:ascii="Tahoma" w:eastAsia="Tahoma" w:hAnsi="Tahoma" w:cs="Tahoma"/>
        </w:rPr>
        <w:t>Smluvní strany si tuto Smlouvu přečetly, souhlasí s jejím obsahem a prohlašují, že je ujednána svobodně. Na důkaz čehož Smluvní strany připojují své podpisy.</w:t>
      </w:r>
    </w:p>
    <w:p w:rsidR="006E2093" w14:paraId="00000097" w14:textId="77777777">
      <w:pPr>
        <w:spacing w:line="240" w:lineRule="auto"/>
        <w:jc w:val="both"/>
        <w:rPr>
          <w:rFonts w:ascii="Tahoma" w:eastAsia="Tahoma" w:hAnsi="Tahoma" w:cs="Tahoma"/>
        </w:rPr>
      </w:pPr>
    </w:p>
    <w:p w:rsidR="006E2093" w14:paraId="00000098" w14:textId="77777777">
      <w:pPr>
        <w:spacing w:line="240" w:lineRule="auto"/>
        <w:jc w:val="both"/>
        <w:rPr>
          <w:rFonts w:ascii="Tahoma" w:eastAsia="Tahoma" w:hAnsi="Tahoma" w:cs="Tahoma"/>
        </w:rPr>
      </w:pPr>
    </w:p>
    <w:p w:rsidR="006E2093" w14:paraId="00000099" w14:textId="72846EC0">
      <w:pPr>
        <w:spacing w:line="240" w:lineRule="auto"/>
        <w:jc w:val="both"/>
        <w:rPr>
          <w:rFonts w:ascii="Tahoma" w:eastAsia="Tahoma" w:hAnsi="Tahoma" w:cs="Tahoma"/>
        </w:rPr>
      </w:pPr>
      <w:r>
        <w:rPr>
          <w:rFonts w:ascii="Tahoma" w:eastAsia="Tahoma" w:hAnsi="Tahoma" w:cs="Tahoma"/>
        </w:rPr>
        <w:t>V Praze</w:t>
      </w:r>
      <w:r w:rsidR="00634BB2">
        <w:rPr>
          <w:rFonts w:ascii="Tahoma" w:eastAsia="Tahoma" w:hAnsi="Tahoma" w:cs="Tahoma"/>
        </w:rPr>
        <w:t xml:space="preserve"> dne</w:t>
      </w:r>
      <w:r>
        <w:rPr>
          <w:rFonts w:ascii="Tahoma" w:eastAsia="Tahoma" w:hAnsi="Tahoma" w:cs="Tahoma"/>
        </w:rPr>
        <w:t xml:space="preserve"> 11.3.2025</w:t>
      </w:r>
      <w:r w:rsidR="00634BB2">
        <w:rPr>
          <w:rFonts w:ascii="Tahoma" w:eastAsia="Tahoma" w:hAnsi="Tahoma" w:cs="Tahoma"/>
        </w:rPr>
        <w:tab/>
      </w:r>
      <w:r w:rsidR="00634BB2">
        <w:rPr>
          <w:rFonts w:ascii="Tahoma" w:eastAsia="Tahoma" w:hAnsi="Tahoma" w:cs="Tahoma"/>
        </w:rPr>
        <w:tab/>
      </w:r>
      <w:r w:rsidR="00634BB2">
        <w:rPr>
          <w:rFonts w:ascii="Tahoma" w:eastAsia="Tahoma" w:hAnsi="Tahoma" w:cs="Tahoma"/>
        </w:rPr>
        <w:tab/>
      </w:r>
      <w:r w:rsidR="00634BB2">
        <w:rPr>
          <w:rFonts w:ascii="Tahoma" w:eastAsia="Tahoma" w:hAnsi="Tahoma" w:cs="Tahoma"/>
        </w:rPr>
        <w:tab/>
        <w:t>V</w:t>
      </w:r>
      <w:r w:rsidR="00A75123">
        <w:rPr>
          <w:rFonts w:ascii="Tahoma" w:eastAsia="Tahoma" w:hAnsi="Tahoma" w:cs="Tahoma"/>
        </w:rPr>
        <w:t xml:space="preserve"> Praze </w:t>
      </w:r>
      <w:r w:rsidR="00634BB2">
        <w:rPr>
          <w:rFonts w:ascii="Tahoma" w:eastAsia="Tahoma" w:hAnsi="Tahoma" w:cs="Tahoma"/>
        </w:rPr>
        <w:t>dne</w:t>
      </w:r>
      <w:r w:rsidR="00A75123">
        <w:rPr>
          <w:rFonts w:ascii="Tahoma" w:eastAsia="Tahoma" w:hAnsi="Tahoma" w:cs="Tahoma"/>
        </w:rPr>
        <w:t xml:space="preserve"> 4.3.2025</w:t>
      </w:r>
    </w:p>
    <w:p w:rsidR="006E2093" w14:paraId="0000009A" w14:textId="77777777">
      <w:pPr>
        <w:spacing w:line="240" w:lineRule="auto"/>
        <w:rPr>
          <w:rFonts w:ascii="Tahoma" w:eastAsia="Tahoma" w:hAnsi="Tahoma" w:cs="Tahoma"/>
        </w:rPr>
      </w:pPr>
    </w:p>
    <w:p w:rsidR="00634BB2" w14:paraId="571587B0" w14:textId="77777777">
      <w:pPr>
        <w:spacing w:line="240" w:lineRule="auto"/>
        <w:rPr>
          <w:rFonts w:ascii="Tahoma" w:eastAsia="Tahoma" w:hAnsi="Tahoma" w:cs="Tahoma"/>
        </w:rPr>
      </w:pPr>
    </w:p>
    <w:p w:rsidR="00634BB2" w14:paraId="05CA9178" w14:textId="77777777">
      <w:pPr>
        <w:spacing w:line="240" w:lineRule="auto"/>
        <w:rPr>
          <w:rFonts w:ascii="Tahoma" w:eastAsia="Tahoma" w:hAnsi="Tahoma" w:cs="Tahoma"/>
        </w:rPr>
      </w:pPr>
    </w:p>
    <w:p w:rsidR="00634BB2" w14:paraId="4BDC30A6" w14:textId="77777777">
      <w:pPr>
        <w:spacing w:line="240" w:lineRule="auto"/>
        <w:rPr>
          <w:rFonts w:ascii="Tahoma" w:eastAsia="Tahoma" w:hAnsi="Tahoma" w:cs="Tahoma"/>
        </w:rPr>
      </w:pPr>
    </w:p>
    <w:p w:rsidR="006E2093" w14:paraId="0000009B" w14:textId="77777777">
      <w:pPr>
        <w:spacing w:line="240" w:lineRule="auto"/>
        <w:rPr>
          <w:rFonts w:ascii="Tahoma" w:eastAsia="Tahoma" w:hAnsi="Tahoma" w:cs="Tahoma"/>
        </w:rPr>
      </w:pPr>
    </w:p>
    <w:p w:rsidR="006E2093" w14:paraId="0000009C" w14:textId="77777777">
      <w:pPr>
        <w:spacing w:line="240" w:lineRule="auto"/>
        <w:rPr>
          <w:rFonts w:ascii="Tahoma" w:eastAsia="Tahoma" w:hAnsi="Tahoma" w:cs="Tahoma"/>
        </w:rPr>
      </w:pPr>
      <w:r>
        <w:rPr>
          <w:rFonts w:ascii="Tahoma" w:eastAsia="Tahoma" w:hAnsi="Tahoma" w:cs="Tahoma"/>
        </w:rPr>
        <w:t>________________________</w:t>
      </w:r>
      <w:r>
        <w:rPr>
          <w:rFonts w:ascii="Tahoma" w:eastAsia="Tahoma" w:hAnsi="Tahoma" w:cs="Tahoma"/>
        </w:rPr>
        <w:tab/>
      </w:r>
      <w:r>
        <w:rPr>
          <w:rFonts w:ascii="Tahoma" w:eastAsia="Tahoma" w:hAnsi="Tahoma" w:cs="Tahoma"/>
        </w:rPr>
        <w:tab/>
      </w:r>
      <w:r>
        <w:rPr>
          <w:rFonts w:ascii="Tahoma" w:eastAsia="Tahoma" w:hAnsi="Tahoma" w:cs="Tahoma"/>
        </w:rPr>
        <w:tab/>
        <w:t>_______________________</w:t>
      </w:r>
    </w:p>
    <w:p w:rsidR="006E2093" w14:paraId="0000009D" w14:textId="77777777">
      <w:pPr>
        <w:pStyle w:val="Heading2"/>
        <w:keepNext w:val="0"/>
        <w:keepLines w:val="0"/>
        <w:tabs>
          <w:tab w:val="left" w:pos="567"/>
        </w:tabs>
        <w:spacing w:before="0" w:after="0" w:line="240" w:lineRule="auto"/>
        <w:jc w:val="both"/>
        <w:rPr>
          <w:rFonts w:ascii="Tahoma" w:eastAsia="Tahoma" w:hAnsi="Tahoma" w:cs="Tahoma"/>
          <w:b/>
          <w:sz w:val="22"/>
          <w:szCs w:val="22"/>
        </w:rPr>
      </w:pPr>
      <w:bookmarkStart w:id="0" w:name="_heading=h.gjdgxs" w:colFirst="0" w:colLast="0"/>
      <w:bookmarkEnd w:id="0"/>
      <w:r>
        <w:rPr>
          <w:rFonts w:ascii="Tahoma" w:eastAsia="Tahoma" w:hAnsi="Tahoma" w:cs="Tahoma"/>
          <w:sz w:val="22"/>
          <w:szCs w:val="22"/>
        </w:rPr>
        <w:t xml:space="preserve">za SFPI </w:t>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t>za NR</w:t>
      </w:r>
    </w:p>
    <w:p w:rsidR="006E2093" w14:paraId="0000009E" w14:textId="00427432">
      <w:pPr>
        <w:pStyle w:val="Heading2"/>
        <w:keepNext w:val="0"/>
        <w:keepLines w:val="0"/>
        <w:tabs>
          <w:tab w:val="left" w:pos="567"/>
        </w:tabs>
        <w:spacing w:before="0" w:after="0" w:line="240" w:lineRule="auto"/>
        <w:jc w:val="both"/>
        <w:rPr>
          <w:rFonts w:ascii="Tahoma" w:eastAsia="Tahoma" w:hAnsi="Tahoma" w:cs="Tahoma"/>
          <w:sz w:val="22"/>
          <w:szCs w:val="22"/>
        </w:rPr>
      </w:pPr>
      <w:bookmarkStart w:id="1" w:name="_heading=h.30j0zll" w:colFirst="0" w:colLast="0"/>
      <w:bookmarkEnd w:id="1"/>
      <w:r>
        <w:rPr>
          <w:rFonts w:ascii="Tahoma" w:eastAsia="Tahoma" w:hAnsi="Tahoma" w:cs="Tahoma"/>
          <w:sz w:val="22"/>
          <w:szCs w:val="22"/>
        </w:rPr>
        <w:t>XXXXX</w:t>
      </w:r>
      <w:r w:rsidR="00634BB2">
        <w:rPr>
          <w:rFonts w:ascii="Tahoma" w:eastAsia="Tahoma" w:hAnsi="Tahoma" w:cs="Tahoma"/>
          <w:sz w:val="22"/>
          <w:szCs w:val="22"/>
        </w:rPr>
        <w:tab/>
      </w:r>
      <w:r w:rsidR="00634BB2">
        <w:rPr>
          <w:rFonts w:ascii="Tahoma" w:eastAsia="Tahoma" w:hAnsi="Tahoma" w:cs="Tahoma"/>
          <w:sz w:val="22"/>
          <w:szCs w:val="22"/>
        </w:rPr>
        <w:tab/>
      </w:r>
      <w:r w:rsidR="00634BB2">
        <w:rPr>
          <w:rFonts w:ascii="Tahoma" w:eastAsia="Tahoma" w:hAnsi="Tahoma" w:cs="Tahoma"/>
          <w:sz w:val="22"/>
          <w:szCs w:val="22"/>
        </w:rPr>
        <w:tab/>
      </w:r>
      <w:r w:rsidR="00634BB2">
        <w:rPr>
          <w:rFonts w:ascii="Tahoma" w:eastAsia="Tahoma" w:hAnsi="Tahoma" w:cs="Tahoma"/>
          <w:sz w:val="22"/>
          <w:szCs w:val="22"/>
        </w:rPr>
        <w:tab/>
      </w:r>
      <w:r w:rsidR="00634BB2">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t>XXXXX</w:t>
      </w:r>
      <w:r w:rsidR="00634BB2">
        <w:rPr>
          <w:rFonts w:ascii="Tahoma" w:eastAsia="Tahoma" w:hAnsi="Tahoma" w:cs="Tahoma"/>
          <w:sz w:val="22"/>
          <w:szCs w:val="22"/>
        </w:rPr>
        <w:t>, jednatel</w:t>
      </w:r>
    </w:p>
    <w:p w:rsidR="006E2093" w14:paraId="0000009F" w14:textId="77777777">
      <w:pPr>
        <w:pStyle w:val="Heading2"/>
        <w:keepNext w:val="0"/>
        <w:keepLines w:val="0"/>
        <w:tabs>
          <w:tab w:val="left" w:pos="567"/>
        </w:tabs>
        <w:spacing w:before="0" w:after="0" w:line="240" w:lineRule="auto"/>
        <w:jc w:val="both"/>
        <w:rPr>
          <w:rFonts w:ascii="Tahoma" w:eastAsia="Tahoma" w:hAnsi="Tahoma" w:cs="Tahoma"/>
          <w:sz w:val="22"/>
          <w:szCs w:val="22"/>
        </w:rPr>
      </w:pPr>
      <w:bookmarkStart w:id="2" w:name="_heading=h.1fob9te" w:colFirst="0" w:colLast="0"/>
      <w:bookmarkEnd w:id="2"/>
      <w:r>
        <w:rPr>
          <w:rFonts w:ascii="Tahoma" w:eastAsia="Tahoma" w:hAnsi="Tahoma" w:cs="Tahoma"/>
          <w:color w:val="1A1A18"/>
          <w:sz w:val="22"/>
          <w:szCs w:val="22"/>
        </w:rPr>
        <w:t>Státní fond podpory investic</w:t>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t>NEMO Report s.r.o.</w:t>
      </w:r>
    </w:p>
    <w:p w:rsidR="006E2093" w14:paraId="000000A0" w14:textId="77777777">
      <w:pPr>
        <w:tabs>
          <w:tab w:val="left" w:pos="567"/>
        </w:tabs>
        <w:rPr>
          <w:rFonts w:ascii="Tahoma" w:eastAsia="Tahoma" w:hAnsi="Tahoma" w:cs="Tahoma"/>
        </w:rPr>
      </w:pPr>
    </w:p>
    <w:p w:rsidR="006E2093" w14:paraId="000000A1" w14:textId="77777777">
      <w:pPr>
        <w:tabs>
          <w:tab w:val="left" w:pos="567"/>
        </w:tabs>
        <w:rPr>
          <w:rFonts w:ascii="Tahoma" w:eastAsia="Tahoma" w:hAnsi="Tahoma" w:cs="Tahoma"/>
        </w:rPr>
      </w:pPr>
    </w:p>
    <w:p w:rsidR="00634BB2" w14:paraId="02A308E0" w14:textId="77777777">
      <w:pPr>
        <w:tabs>
          <w:tab w:val="left" w:pos="567"/>
        </w:tabs>
        <w:rPr>
          <w:rFonts w:ascii="Tahoma" w:eastAsia="Tahoma" w:hAnsi="Tahoma" w:cs="Tahoma"/>
        </w:rPr>
      </w:pPr>
    </w:p>
    <w:p w:rsidR="00634BB2" w14:paraId="3D2ED934" w14:textId="77777777">
      <w:pPr>
        <w:tabs>
          <w:tab w:val="left" w:pos="567"/>
        </w:tabs>
        <w:rPr>
          <w:rFonts w:ascii="Tahoma" w:eastAsia="Tahoma" w:hAnsi="Tahoma" w:cs="Tahoma"/>
        </w:rPr>
      </w:pPr>
    </w:p>
    <w:p w:rsidR="006E2093" w14:paraId="000000A2" w14:textId="77777777">
      <w:pPr>
        <w:spacing w:line="240" w:lineRule="auto"/>
        <w:ind w:left="4320" w:firstLine="720"/>
        <w:rPr>
          <w:rFonts w:ascii="Tahoma" w:eastAsia="Tahoma" w:hAnsi="Tahoma" w:cs="Tahoma"/>
        </w:rPr>
      </w:pPr>
      <w:r>
        <w:rPr>
          <w:rFonts w:ascii="Tahoma" w:eastAsia="Tahoma" w:hAnsi="Tahoma" w:cs="Tahoma"/>
        </w:rPr>
        <w:t>________________________</w:t>
      </w:r>
    </w:p>
    <w:p w:rsidR="006E2093" w14:paraId="000000A3" w14:textId="77777777">
      <w:pPr>
        <w:spacing w:line="240" w:lineRule="auto"/>
        <w:ind w:left="4320" w:firstLine="720"/>
        <w:rPr>
          <w:rFonts w:ascii="Tahoma" w:eastAsia="Tahoma" w:hAnsi="Tahoma" w:cs="Tahoma"/>
        </w:rPr>
      </w:pPr>
      <w:r>
        <w:rPr>
          <w:rFonts w:ascii="Tahoma" w:eastAsia="Tahoma" w:hAnsi="Tahoma" w:cs="Tahoma"/>
        </w:rPr>
        <w:t>za NR</w:t>
      </w:r>
    </w:p>
    <w:p w:rsidR="006E2093" w14:paraId="000000A4" w14:textId="206E303D">
      <w:pPr>
        <w:spacing w:line="240" w:lineRule="auto"/>
        <w:ind w:left="4320" w:firstLine="720"/>
        <w:rPr>
          <w:rFonts w:ascii="Tahoma" w:eastAsia="Tahoma" w:hAnsi="Tahoma" w:cs="Tahoma"/>
        </w:rPr>
      </w:pPr>
      <w:r>
        <w:rPr>
          <w:rFonts w:ascii="Tahoma" w:eastAsia="Tahoma" w:hAnsi="Tahoma" w:cs="Tahoma"/>
        </w:rPr>
        <w:t>XXXXX</w:t>
      </w:r>
      <w:r w:rsidR="00634BB2">
        <w:rPr>
          <w:rFonts w:ascii="Tahoma" w:eastAsia="Tahoma" w:hAnsi="Tahoma" w:cs="Tahoma"/>
        </w:rPr>
        <w:t>, jednatel</w:t>
      </w:r>
    </w:p>
    <w:p w:rsidR="006E2093" w14:paraId="000000A5" w14:textId="77777777">
      <w:pPr>
        <w:spacing w:line="240" w:lineRule="auto"/>
        <w:ind w:left="4320" w:firstLine="720"/>
        <w:rPr>
          <w:rFonts w:ascii="Tahoma" w:eastAsia="Tahoma" w:hAnsi="Tahoma" w:cs="Tahoma"/>
        </w:rPr>
      </w:pPr>
      <w:r>
        <w:rPr>
          <w:rFonts w:ascii="Tahoma" w:eastAsia="Tahoma" w:hAnsi="Tahoma" w:cs="Tahoma"/>
        </w:rPr>
        <w:t>NEMO Report s.r.o.</w:t>
      </w:r>
    </w:p>
    <w:p w:rsidR="006E2093" w14:paraId="000000A6" w14:textId="77777777">
      <w:pPr>
        <w:pStyle w:val="Heading2"/>
        <w:keepNext w:val="0"/>
        <w:keepLines w:val="0"/>
        <w:tabs>
          <w:tab w:val="left" w:pos="567"/>
        </w:tabs>
        <w:spacing w:before="0" w:after="0" w:line="240" w:lineRule="auto"/>
        <w:jc w:val="both"/>
        <w:rPr>
          <w:rFonts w:ascii="Tahoma" w:eastAsia="Tahoma" w:hAnsi="Tahoma" w:cs="Tahoma"/>
          <w:sz w:val="22"/>
          <w:szCs w:val="22"/>
        </w:rPr>
      </w:pPr>
      <w:bookmarkStart w:id="3" w:name="_heading=h.3znysh7" w:colFirst="0" w:colLast="0"/>
      <w:bookmarkEnd w:id="3"/>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p>
    <w:p w:rsidR="006E2093" w14:paraId="000000A7" w14:textId="77777777">
      <w:pPr>
        <w:tabs>
          <w:tab w:val="left" w:pos="567"/>
        </w:tabs>
        <w:rPr>
          <w:rFonts w:ascii="Tahoma" w:eastAsia="Tahoma" w:hAnsi="Tahoma" w:cs="Tahoma"/>
        </w:rPr>
      </w:pPr>
    </w:p>
    <w:p w:rsidR="006E2093" w14:paraId="000000A8" w14:textId="77777777">
      <w:pPr>
        <w:tabs>
          <w:tab w:val="left" w:pos="567"/>
        </w:tabs>
        <w:rPr>
          <w:rFonts w:ascii="Tahoma" w:eastAsia="Tahoma" w:hAnsi="Tahoma" w:cs="Tahoma"/>
        </w:rPr>
      </w:pPr>
      <w:r>
        <w:br w:type="page"/>
      </w:r>
    </w:p>
    <w:p w:rsidR="006E2093" w14:paraId="000000A9" w14:textId="77777777">
      <w:pPr>
        <w:tabs>
          <w:tab w:val="left" w:pos="567"/>
        </w:tabs>
        <w:jc w:val="center"/>
        <w:rPr>
          <w:rFonts w:ascii="Tahoma" w:eastAsia="Tahoma" w:hAnsi="Tahoma" w:cs="Tahoma"/>
          <w:b/>
        </w:rPr>
      </w:pPr>
      <w:r>
        <w:rPr>
          <w:rFonts w:ascii="Tahoma" w:eastAsia="Tahoma" w:hAnsi="Tahoma" w:cs="Tahoma"/>
          <w:b/>
        </w:rPr>
        <w:t>Příloha 1</w:t>
      </w:r>
    </w:p>
    <w:p w:rsidR="006E2093" w14:paraId="000000AA" w14:textId="77777777">
      <w:pPr>
        <w:tabs>
          <w:tab w:val="left" w:pos="567"/>
        </w:tabs>
        <w:jc w:val="center"/>
        <w:rPr>
          <w:rFonts w:ascii="Tahoma" w:eastAsia="Tahoma" w:hAnsi="Tahoma" w:cs="Tahoma"/>
        </w:rPr>
      </w:pPr>
      <w:r>
        <w:rPr>
          <w:rFonts w:ascii="Tahoma" w:eastAsia="Tahoma" w:hAnsi="Tahoma" w:cs="Tahoma"/>
        </w:rPr>
        <w:t>Disclaimer Intermap Technologies</w:t>
      </w:r>
    </w:p>
    <w:p w:rsidR="006E2093" w14:paraId="000000AB" w14:textId="77777777">
      <w:pPr>
        <w:tabs>
          <w:tab w:val="left" w:pos="567"/>
        </w:tabs>
        <w:rPr>
          <w:rFonts w:ascii="Tahoma" w:eastAsia="Tahoma" w:hAnsi="Tahoma" w:cs="Tahoma"/>
        </w:rPr>
      </w:pPr>
    </w:p>
    <w:p w:rsidR="006E2093" w14:paraId="000000AC" w14:textId="77777777">
      <w:pPr>
        <w:tabs>
          <w:tab w:val="left" w:pos="567"/>
        </w:tabs>
        <w:rPr>
          <w:rFonts w:ascii="Tahoma" w:eastAsia="Tahoma" w:hAnsi="Tahoma" w:cs="Tahoma"/>
        </w:rPr>
      </w:pPr>
      <w:r>
        <w:rPr>
          <w:rFonts w:ascii="Tahoma" w:eastAsia="Tahoma" w:hAnsi="Tahoma" w:cs="Tahoma"/>
        </w:rPr>
        <w:t xml:space="preserve"> </w:t>
      </w:r>
    </w:p>
    <w:p w:rsidR="006E2093" w14:paraId="000000AD" w14:textId="77777777">
      <w:pPr>
        <w:tabs>
          <w:tab w:val="left" w:pos="567"/>
        </w:tabs>
        <w:jc w:val="center"/>
        <w:rPr>
          <w:rFonts w:ascii="Tahoma" w:eastAsia="Tahoma" w:hAnsi="Tahoma" w:cs="Tahoma"/>
          <w:b/>
        </w:rPr>
      </w:pPr>
      <w:r>
        <w:rPr>
          <w:rFonts w:ascii="Tahoma" w:eastAsia="Tahoma" w:hAnsi="Tahoma" w:cs="Tahoma"/>
          <w:b/>
        </w:rPr>
        <w:t>I. Autorská práva a duševní vlastnictví</w:t>
      </w:r>
    </w:p>
    <w:p w:rsidR="006E2093" w14:paraId="000000AE" w14:textId="77777777">
      <w:pPr>
        <w:tabs>
          <w:tab w:val="left" w:pos="567"/>
        </w:tabs>
        <w:rPr>
          <w:rFonts w:ascii="Tahoma" w:eastAsia="Tahoma" w:hAnsi="Tahoma" w:cs="Tahoma"/>
        </w:rPr>
      </w:pPr>
    </w:p>
    <w:p w:rsidR="006E2093" w14:paraId="000000AF" w14:textId="77777777">
      <w:pPr>
        <w:numPr>
          <w:ilvl w:val="0"/>
          <w:numId w:val="12"/>
        </w:numPr>
        <w:tabs>
          <w:tab w:val="left" w:pos="567"/>
        </w:tabs>
        <w:rPr>
          <w:rFonts w:ascii="Tahoma" w:eastAsia="Tahoma" w:hAnsi="Tahoma" w:cs="Tahoma"/>
        </w:rPr>
      </w:pPr>
      <w:r>
        <w:rPr>
          <w:rFonts w:ascii="Tahoma" w:eastAsia="Tahoma" w:hAnsi="Tahoma" w:cs="Tahoma"/>
        </w:rPr>
        <w:t>Obsah databáze s daty o riziku povodní/záplav je chráněn autorskými právy společnosti Intermap Technologies, s.r.o., a vlastníků dat v databázi obsažených.</w:t>
      </w:r>
    </w:p>
    <w:p w:rsidR="006E2093" w14:paraId="000000B0" w14:textId="77777777">
      <w:pPr>
        <w:tabs>
          <w:tab w:val="left" w:pos="567"/>
        </w:tabs>
        <w:rPr>
          <w:rFonts w:ascii="Tahoma" w:eastAsia="Tahoma" w:hAnsi="Tahoma" w:cs="Tahoma"/>
        </w:rPr>
      </w:pPr>
    </w:p>
    <w:p w:rsidR="006E2093" w14:paraId="000000B1" w14:textId="77777777">
      <w:pPr>
        <w:tabs>
          <w:tab w:val="left" w:pos="567"/>
        </w:tabs>
        <w:jc w:val="center"/>
        <w:rPr>
          <w:rFonts w:ascii="Tahoma" w:eastAsia="Tahoma" w:hAnsi="Tahoma" w:cs="Tahoma"/>
          <w:b/>
        </w:rPr>
      </w:pPr>
      <w:r>
        <w:rPr>
          <w:rFonts w:ascii="Tahoma" w:eastAsia="Tahoma" w:hAnsi="Tahoma" w:cs="Tahoma"/>
          <w:b/>
        </w:rPr>
        <w:t>II. Odpovědnost za obsah</w:t>
      </w:r>
    </w:p>
    <w:p w:rsidR="006E2093" w14:paraId="000000B2" w14:textId="77777777">
      <w:pPr>
        <w:tabs>
          <w:tab w:val="left" w:pos="567"/>
        </w:tabs>
        <w:rPr>
          <w:rFonts w:ascii="Tahoma" w:eastAsia="Tahoma" w:hAnsi="Tahoma" w:cs="Tahoma"/>
        </w:rPr>
      </w:pPr>
    </w:p>
    <w:p w:rsidR="006E2093" w14:paraId="000000B3" w14:textId="77777777">
      <w:pPr>
        <w:numPr>
          <w:ilvl w:val="0"/>
          <w:numId w:val="11"/>
        </w:numPr>
        <w:tabs>
          <w:tab w:val="left" w:pos="567"/>
        </w:tabs>
        <w:rPr>
          <w:rFonts w:ascii="Tahoma" w:eastAsia="Tahoma" w:hAnsi="Tahoma" w:cs="Tahoma"/>
        </w:rPr>
      </w:pPr>
      <w:r>
        <w:rPr>
          <w:rFonts w:ascii="Tahoma" w:eastAsia="Tahoma" w:hAnsi="Tahoma" w:cs="Tahoma"/>
        </w:rPr>
        <w:t>Společnost Intermap Technologies, s.r.o., vynaložila maximální možné úsilí při modelování map nebezpečí povodně a z nich vytvořených tarifních zón České asociace pojišťoven (ČAP) ve snaze nasimulovat skutečný stav chování přírodních jevů pro potřeby pojišťovnictví. Na informace zpřístupněné prostřednictvím Systému se nevztahuje žádná záruka správnosti, přesnosti, aktuálnosti, dostupnosti a úplnosti. Intermap Technologies, s.r.o., nenese odpovědnost za přímé či nepřímé škody vzniklé nesprávným použitím nebo použitím nesprávných a neúplných informací. Intermap Technologies, s.r.o., nenese žádnou odpovědnost za tržní hodnotu nemovitostí a za dopady na její změnu v důsledku aplikace informace o povodňovém nebezpečí. Společnost Intermap Technologies, s.r.o., tuto odpovědnost vylučuje jak vůči Uživateli, tak i vůči jeho koncovým klientům.</w:t>
      </w:r>
    </w:p>
    <w:p w:rsidR="006E2093" w14:paraId="000000B4" w14:textId="77777777">
      <w:pPr>
        <w:numPr>
          <w:ilvl w:val="0"/>
          <w:numId w:val="11"/>
        </w:numPr>
        <w:tabs>
          <w:tab w:val="left" w:pos="567"/>
        </w:tabs>
        <w:rPr>
          <w:rFonts w:ascii="Tahoma" w:eastAsia="Tahoma" w:hAnsi="Tahoma" w:cs="Tahoma"/>
        </w:rPr>
      </w:pPr>
      <w:r>
        <w:rPr>
          <w:rFonts w:ascii="Tahoma" w:eastAsia="Tahoma" w:hAnsi="Tahoma" w:cs="Tahoma"/>
        </w:rPr>
        <w:t>Intermap Technologies, s.r.o., nezaručuje bezprostřední opravu případných nesprávných údajů na základě požadavků fyzické nebo právnické osoby.</w:t>
      </w:r>
    </w:p>
    <w:p w:rsidR="006E2093" w14:paraId="000000B5" w14:textId="77777777">
      <w:pPr>
        <w:numPr>
          <w:ilvl w:val="0"/>
          <w:numId w:val="11"/>
        </w:numPr>
        <w:tabs>
          <w:tab w:val="left" w:pos="567"/>
        </w:tabs>
        <w:rPr>
          <w:rFonts w:ascii="Tahoma" w:eastAsia="Tahoma" w:hAnsi="Tahoma" w:cs="Tahoma"/>
        </w:rPr>
      </w:pPr>
      <w:r>
        <w:rPr>
          <w:rFonts w:ascii="Tahoma" w:eastAsia="Tahoma" w:hAnsi="Tahoma" w:cs="Tahoma"/>
        </w:rPr>
        <w:t>Nositelem autorských práv k zobrazovaným povodňovým zónám je společnost Intermap Technologies, s.r.o. Všechna práva vyhrazena. ©2020 Intermap Technologies, s.r.o.</w:t>
      </w:r>
    </w:p>
    <w:p w:rsidR="006E2093" w14:paraId="000000B6" w14:textId="77777777">
      <w:pPr>
        <w:numPr>
          <w:ilvl w:val="0"/>
          <w:numId w:val="11"/>
        </w:numPr>
        <w:tabs>
          <w:tab w:val="left" w:pos="567"/>
        </w:tabs>
        <w:rPr>
          <w:rFonts w:ascii="Tahoma" w:eastAsia="Tahoma" w:hAnsi="Tahoma" w:cs="Tahoma"/>
        </w:rPr>
      </w:pPr>
      <w:r>
        <w:rPr>
          <w:rFonts w:ascii="Tahoma" w:eastAsia="Tahoma" w:hAnsi="Tahoma" w:cs="Tahoma"/>
        </w:rPr>
        <w:t>Nositelem autorských práv k zobrazeným mapovým podkladům je společnost CEDA Maps a.s. Všechna práva vyhrazena. ©2020 CEDA Maps a.s.</w:t>
      </w:r>
    </w:p>
    <w:p w:rsidR="006E2093" w14:paraId="000000B7" w14:textId="77777777">
      <w:pPr>
        <w:numPr>
          <w:ilvl w:val="0"/>
          <w:numId w:val="11"/>
        </w:numPr>
        <w:tabs>
          <w:tab w:val="left" w:pos="567"/>
        </w:tabs>
        <w:rPr>
          <w:rFonts w:ascii="Tahoma" w:eastAsia="Tahoma" w:hAnsi="Tahoma" w:cs="Tahoma"/>
        </w:rPr>
      </w:pPr>
      <w:r>
        <w:rPr>
          <w:rFonts w:ascii="Tahoma" w:eastAsia="Tahoma" w:hAnsi="Tahoma" w:cs="Tahoma"/>
        </w:rPr>
        <w:t>Vykonavateli autorských práv k ostatním datům jsou jejich vlastníci. Jména subjektů a produktů, pokud jsou ochrannými známkami, jsou ochrannými známkami jejich vlastníků.</w:t>
      </w:r>
    </w:p>
    <w:p w:rsidR="006E2093" w14:paraId="000000B8" w14:textId="77777777">
      <w:pPr>
        <w:tabs>
          <w:tab w:val="left" w:pos="567"/>
        </w:tabs>
        <w:rPr>
          <w:rFonts w:ascii="Tahoma" w:eastAsia="Tahoma" w:hAnsi="Tahoma" w:cs="Tahoma"/>
        </w:rPr>
      </w:pPr>
    </w:p>
    <w:p w:rsidR="006E2093" w14:paraId="000000B9" w14:textId="77777777">
      <w:pPr>
        <w:tabs>
          <w:tab w:val="left" w:pos="567"/>
        </w:tabs>
        <w:jc w:val="center"/>
        <w:rPr>
          <w:rFonts w:ascii="Tahoma" w:eastAsia="Tahoma" w:hAnsi="Tahoma" w:cs="Tahoma"/>
          <w:b/>
        </w:rPr>
      </w:pPr>
      <w:r>
        <w:rPr>
          <w:rFonts w:ascii="Tahoma" w:eastAsia="Tahoma" w:hAnsi="Tahoma" w:cs="Tahoma"/>
          <w:b/>
        </w:rPr>
        <w:t>III. Další ujednání / licenční podmínky</w:t>
      </w:r>
    </w:p>
    <w:p w:rsidR="006E2093" w14:paraId="000000BA" w14:textId="77777777">
      <w:pPr>
        <w:tabs>
          <w:tab w:val="left" w:pos="567"/>
        </w:tabs>
        <w:rPr>
          <w:rFonts w:ascii="Tahoma" w:eastAsia="Tahoma" w:hAnsi="Tahoma" w:cs="Tahoma"/>
        </w:rPr>
      </w:pPr>
    </w:p>
    <w:p w:rsidR="006E2093" w14:paraId="000000BB" w14:textId="77777777">
      <w:pPr>
        <w:numPr>
          <w:ilvl w:val="0"/>
          <w:numId w:val="15"/>
        </w:numPr>
        <w:tabs>
          <w:tab w:val="left" w:pos="567"/>
        </w:tabs>
        <w:rPr>
          <w:rFonts w:ascii="Tahoma" w:eastAsia="Tahoma" w:hAnsi="Tahoma" w:cs="Tahoma"/>
        </w:rPr>
      </w:pPr>
      <w:r>
        <w:rPr>
          <w:rFonts w:ascii="Tahoma" w:eastAsia="Tahoma" w:hAnsi="Tahoma" w:cs="Tahoma"/>
        </w:rPr>
        <w:t>NR je distributorem dat pro generování reportů k riziku povodní s povodňovými mapami získávaných od společnosti Intermap Technologies, s.r.o. a zároveň provozovatelem povodňového portálu ČAP.</w:t>
      </w:r>
    </w:p>
    <w:p w:rsidR="006E2093" w14:paraId="000000BC" w14:textId="77777777">
      <w:pPr>
        <w:numPr>
          <w:ilvl w:val="0"/>
          <w:numId w:val="15"/>
        </w:numPr>
        <w:tabs>
          <w:tab w:val="left" w:pos="567"/>
        </w:tabs>
        <w:rPr>
          <w:rFonts w:ascii="Tahoma" w:eastAsia="Tahoma" w:hAnsi="Tahoma" w:cs="Tahoma"/>
        </w:rPr>
      </w:pPr>
      <w:r>
        <w:rPr>
          <w:rFonts w:ascii="Tahoma" w:eastAsia="Tahoma" w:hAnsi="Tahoma" w:cs="Tahoma"/>
        </w:rPr>
        <w:t>Uživatelem dle specifikace v čl.II bod 1 Přílohy 1 je pro účel této Smlouvy SFPI.</w:t>
      </w:r>
    </w:p>
    <w:p w:rsidR="006E2093" w14:paraId="000000BD" w14:textId="77777777">
      <w:pPr>
        <w:numPr>
          <w:ilvl w:val="0"/>
          <w:numId w:val="15"/>
        </w:numPr>
        <w:tabs>
          <w:tab w:val="left" w:pos="567"/>
        </w:tabs>
        <w:rPr>
          <w:rFonts w:ascii="Tahoma" w:eastAsia="Tahoma" w:hAnsi="Tahoma" w:cs="Tahoma"/>
        </w:rPr>
      </w:pPr>
      <w:r>
        <w:rPr>
          <w:rFonts w:ascii="Tahoma" w:eastAsia="Tahoma" w:hAnsi="Tahoma" w:cs="Tahoma"/>
        </w:rPr>
        <w:t>SFPI uznává veškerá autorská práva společnosti Intermap Technologies, s.r.o., a zavazuje se je při užívání získaných informací plně respektovat.</w:t>
      </w:r>
    </w:p>
    <w:p w:rsidR="006E2093" w14:paraId="000000BE" w14:textId="77777777">
      <w:pPr>
        <w:numPr>
          <w:ilvl w:val="0"/>
          <w:numId w:val="15"/>
        </w:numPr>
        <w:tabs>
          <w:tab w:val="left" w:pos="567"/>
        </w:tabs>
        <w:rPr>
          <w:rFonts w:ascii="Tahoma" w:eastAsia="Tahoma" w:hAnsi="Tahoma" w:cs="Tahoma"/>
        </w:rPr>
      </w:pPr>
      <w:r>
        <w:rPr>
          <w:rFonts w:ascii="Tahoma" w:eastAsia="Tahoma" w:hAnsi="Tahoma" w:cs="Tahoma"/>
        </w:rPr>
        <w:t xml:space="preserve">Žádný ze zaměstnanců a spolupracovníků SFPI není oprávněn jakýmkoliv způsobem zveřejňovat číslo rizikové zóny nebo míru rizika v jakékoliv podobě mimo činnost související se službami a poradenstvím v rámci činnosti SFPI. V případě činností jako jsou vypracovávání odborných posudků, studií či reportů ESG jsou zaměstnanci či </w:t>
      </w:r>
      <w:r>
        <w:rPr>
          <w:rFonts w:ascii="Tahoma" w:eastAsia="Tahoma" w:hAnsi="Tahoma" w:cs="Tahoma"/>
        </w:rPr>
        <w:t>spolupracovníci SFPI oprávněni uvádět číslo rizikové zóny, míru rizika či použít mapu či výřez z mapy v odborném posudku, odhadu či jiném dokumentu, který v rámci své činnosti připravují pro svého klienta. Zaměstnanci a spolupracovníci SFPI nejsou oprávněni číslo rizikové zóny, míru rizika, mapu či výřez z mapy dále jakkoliv využívat či poskytovat, i bezúplatně, třetím osobám vyjma svých klientů a kontrolním orgánům SFPI. Číslo rizikové zóny, míra rizika, mapa či výřez z mapy musí být vždy nedílnou součástí odborného posudku, odhadu či jiného dokumentu týkajícího se konkrétní nemovitosti, a nemohou být poskytovány samostatně, vyjma v rámci realitní činnosti, při které jsou zaměstnanci a spolupracovníci SFPI oprávněni poskytovat a předávat číslo rizikové zóny, míru rizika, mapu či výřez z mapy svým klientům i bez splnění této podmínky.</w:t>
      </w:r>
    </w:p>
    <w:p w:rsidR="006E2093" w14:paraId="000000BF" w14:textId="77777777">
      <w:pPr>
        <w:numPr>
          <w:ilvl w:val="0"/>
          <w:numId w:val="15"/>
        </w:numPr>
        <w:tabs>
          <w:tab w:val="left" w:pos="567"/>
        </w:tabs>
        <w:rPr>
          <w:rFonts w:ascii="Tahoma" w:eastAsia="Tahoma" w:hAnsi="Tahoma" w:cs="Tahoma"/>
        </w:rPr>
      </w:pPr>
      <w:r>
        <w:rPr>
          <w:rFonts w:ascii="Tahoma" w:eastAsia="Tahoma" w:hAnsi="Tahoma" w:cs="Tahoma"/>
        </w:rPr>
        <w:t>SFPI se zavazuje, že toto ujednání bude platné i pro případné spolupracující subjekty SFPI a jejich zaměstnance a spolupracovníky, budou-li využívat data o riziku povodní/záplav, které jsou předmětem Smlouvy.</w:t>
      </w:r>
    </w:p>
    <w:p w:rsidR="006E2093" w14:paraId="000000C0" w14:textId="77777777">
      <w:pPr>
        <w:numPr>
          <w:ilvl w:val="0"/>
          <w:numId w:val="15"/>
        </w:numPr>
        <w:tabs>
          <w:tab w:val="left" w:pos="567"/>
        </w:tabs>
        <w:rPr>
          <w:rFonts w:ascii="Tahoma" w:eastAsia="Tahoma" w:hAnsi="Tahoma" w:cs="Tahoma"/>
        </w:rPr>
      </w:pPr>
      <w:r>
        <w:rPr>
          <w:rFonts w:ascii="Tahoma" w:eastAsia="Tahoma" w:hAnsi="Tahoma" w:cs="Tahoma"/>
        </w:rPr>
        <w:t>Práva a povinnosti vyplývající z tohoto ujednání autorských práv a licenčních podmínek přechází i na případné právní nástupce smluvních stran.</w:t>
      </w:r>
    </w:p>
    <w:p w:rsidR="006E2093" w14:paraId="000000C1" w14:textId="77777777">
      <w:pPr>
        <w:numPr>
          <w:ilvl w:val="0"/>
          <w:numId w:val="15"/>
        </w:numPr>
        <w:tabs>
          <w:tab w:val="left" w:pos="567"/>
        </w:tabs>
        <w:rPr>
          <w:rFonts w:ascii="Tahoma" w:eastAsia="Tahoma" w:hAnsi="Tahoma" w:cs="Tahoma"/>
        </w:rPr>
      </w:pPr>
      <w:r>
        <w:rPr>
          <w:rFonts w:ascii="Tahoma" w:eastAsia="Tahoma" w:hAnsi="Tahoma" w:cs="Tahoma"/>
        </w:rPr>
        <w:t>SFPI prohlašuje, že výše uvedené informace bere na vědomí a zavazuje se postupovat v souladu s nimi.</w:t>
      </w:r>
    </w:p>
    <w:p w:rsidR="006E2093" w14:paraId="000000C2" w14:textId="77777777">
      <w:pPr>
        <w:tabs>
          <w:tab w:val="left" w:pos="567"/>
        </w:tabs>
      </w:pPr>
    </w:p>
    <w:p w:rsidR="006E2093" w14:paraId="000000C3" w14:textId="77777777">
      <w:pPr>
        <w:tabs>
          <w:tab w:val="left" w:pos="567"/>
        </w:tabs>
      </w:pPr>
    </w:p>
    <w:p w:rsidR="00BE017C" w:rsidP="00BE017C" w14:paraId="381A71D6" w14:textId="77777777">
      <w:pPr>
        <w:spacing w:line="240" w:lineRule="auto"/>
        <w:jc w:val="both"/>
        <w:rPr>
          <w:rFonts w:ascii="Tahoma" w:eastAsia="Tahoma" w:hAnsi="Tahoma" w:cs="Tahoma"/>
        </w:rPr>
      </w:pPr>
    </w:p>
    <w:p w:rsidR="006E2093" w:rsidP="00BE017C" w14:paraId="000000C5" w14:textId="39CBE79A">
      <w:pPr>
        <w:spacing w:line="240" w:lineRule="auto"/>
        <w:jc w:val="both"/>
        <w:rPr>
          <w:rFonts w:ascii="Tahoma" w:eastAsia="Tahoma" w:hAnsi="Tahoma" w:cs="Tahoma"/>
        </w:rPr>
      </w:pPr>
      <w:r>
        <w:rPr>
          <w:rFonts w:ascii="Tahoma" w:eastAsia="Tahoma" w:hAnsi="Tahoma" w:cs="Tahoma"/>
        </w:rPr>
        <w:t>V Praze dne 11.3.2025</w:t>
      </w:r>
      <w:r>
        <w:rPr>
          <w:rFonts w:ascii="Tahoma" w:eastAsia="Tahoma" w:hAnsi="Tahoma" w:cs="Tahoma"/>
        </w:rPr>
        <w:tab/>
      </w:r>
      <w:r>
        <w:rPr>
          <w:rFonts w:ascii="Tahoma" w:eastAsia="Tahoma" w:hAnsi="Tahoma" w:cs="Tahoma"/>
        </w:rPr>
        <w:tab/>
      </w:r>
      <w:r>
        <w:rPr>
          <w:rFonts w:ascii="Tahoma" w:eastAsia="Tahoma" w:hAnsi="Tahoma" w:cs="Tahoma"/>
        </w:rPr>
        <w:tab/>
      </w:r>
      <w:r>
        <w:rPr>
          <w:rFonts w:ascii="Tahoma" w:eastAsia="Tahoma" w:hAnsi="Tahoma" w:cs="Tahoma"/>
        </w:rPr>
        <w:tab/>
        <w:t>V Praze dne 4.3.2025</w:t>
      </w:r>
    </w:p>
    <w:p w:rsidR="006E2093" w14:paraId="000000C6" w14:textId="77777777">
      <w:pPr>
        <w:spacing w:line="240" w:lineRule="auto"/>
        <w:rPr>
          <w:rFonts w:ascii="Tahoma" w:eastAsia="Tahoma" w:hAnsi="Tahoma" w:cs="Tahoma"/>
        </w:rPr>
      </w:pPr>
    </w:p>
    <w:p w:rsidR="00634BB2" w14:paraId="49006A77" w14:textId="77777777">
      <w:pPr>
        <w:spacing w:line="240" w:lineRule="auto"/>
        <w:rPr>
          <w:rFonts w:ascii="Tahoma" w:eastAsia="Tahoma" w:hAnsi="Tahoma" w:cs="Tahoma"/>
        </w:rPr>
      </w:pPr>
    </w:p>
    <w:p w:rsidR="006E2093" w14:paraId="000000C7" w14:textId="77777777">
      <w:pPr>
        <w:spacing w:line="240" w:lineRule="auto"/>
        <w:rPr>
          <w:rFonts w:ascii="Tahoma" w:eastAsia="Tahoma" w:hAnsi="Tahoma" w:cs="Tahoma"/>
        </w:rPr>
      </w:pPr>
    </w:p>
    <w:p w:rsidR="006E2093" w14:paraId="000000C8" w14:textId="77777777">
      <w:pPr>
        <w:spacing w:line="240" w:lineRule="auto"/>
        <w:rPr>
          <w:rFonts w:ascii="Tahoma" w:eastAsia="Tahoma" w:hAnsi="Tahoma" w:cs="Tahoma"/>
        </w:rPr>
      </w:pPr>
    </w:p>
    <w:p w:rsidR="006E2093" w14:paraId="000000C9" w14:textId="77777777">
      <w:pPr>
        <w:spacing w:line="240" w:lineRule="auto"/>
        <w:rPr>
          <w:rFonts w:ascii="Tahoma" w:eastAsia="Tahoma" w:hAnsi="Tahoma" w:cs="Tahoma"/>
        </w:rPr>
      </w:pPr>
      <w:r>
        <w:rPr>
          <w:rFonts w:ascii="Tahoma" w:eastAsia="Tahoma" w:hAnsi="Tahoma" w:cs="Tahoma"/>
        </w:rPr>
        <w:t>________________________</w:t>
      </w:r>
      <w:r>
        <w:rPr>
          <w:rFonts w:ascii="Tahoma" w:eastAsia="Tahoma" w:hAnsi="Tahoma" w:cs="Tahoma"/>
        </w:rPr>
        <w:tab/>
      </w:r>
      <w:r>
        <w:rPr>
          <w:rFonts w:ascii="Tahoma" w:eastAsia="Tahoma" w:hAnsi="Tahoma" w:cs="Tahoma"/>
        </w:rPr>
        <w:tab/>
      </w:r>
      <w:r>
        <w:rPr>
          <w:rFonts w:ascii="Tahoma" w:eastAsia="Tahoma" w:hAnsi="Tahoma" w:cs="Tahoma"/>
        </w:rPr>
        <w:tab/>
        <w:t>_______________________</w:t>
      </w:r>
    </w:p>
    <w:p w:rsidR="006E2093" w14:paraId="000000CA" w14:textId="77777777">
      <w:pPr>
        <w:pStyle w:val="Heading2"/>
        <w:keepNext w:val="0"/>
        <w:keepLines w:val="0"/>
        <w:tabs>
          <w:tab w:val="left" w:pos="567"/>
        </w:tabs>
        <w:spacing w:before="0" w:after="0" w:line="240" w:lineRule="auto"/>
        <w:jc w:val="both"/>
        <w:rPr>
          <w:rFonts w:ascii="Tahoma" w:eastAsia="Tahoma" w:hAnsi="Tahoma" w:cs="Tahoma"/>
          <w:b/>
          <w:sz w:val="22"/>
          <w:szCs w:val="22"/>
        </w:rPr>
      </w:pPr>
      <w:bookmarkStart w:id="4" w:name="_heading=h.bvdxf1eo6w6v" w:colFirst="0" w:colLast="0"/>
      <w:bookmarkEnd w:id="4"/>
      <w:r>
        <w:rPr>
          <w:rFonts w:ascii="Tahoma" w:eastAsia="Tahoma" w:hAnsi="Tahoma" w:cs="Tahoma"/>
          <w:sz w:val="22"/>
          <w:szCs w:val="22"/>
        </w:rPr>
        <w:t>za SFPI</w:t>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t>za NR</w:t>
      </w:r>
    </w:p>
    <w:p w:rsidR="006E2093" w14:paraId="000000CB" w14:textId="71DEC2F5">
      <w:pPr>
        <w:pStyle w:val="Heading2"/>
        <w:keepNext w:val="0"/>
        <w:keepLines w:val="0"/>
        <w:tabs>
          <w:tab w:val="left" w:pos="567"/>
        </w:tabs>
        <w:spacing w:before="0" w:after="0" w:line="240" w:lineRule="auto"/>
        <w:jc w:val="both"/>
        <w:rPr>
          <w:rFonts w:ascii="Tahoma" w:eastAsia="Tahoma" w:hAnsi="Tahoma" w:cs="Tahoma"/>
          <w:sz w:val="22"/>
          <w:szCs w:val="22"/>
        </w:rPr>
      </w:pPr>
      <w:bookmarkStart w:id="5" w:name="_heading=h.dkm1a6u0xyuk" w:colFirst="0" w:colLast="0"/>
      <w:bookmarkEnd w:id="5"/>
      <w:r>
        <w:rPr>
          <w:rFonts w:ascii="Tahoma" w:eastAsia="Tahoma" w:hAnsi="Tahoma" w:cs="Tahoma"/>
          <w:sz w:val="22"/>
          <w:szCs w:val="22"/>
        </w:rPr>
        <w:t>XXXXX</w:t>
      </w:r>
      <w:r w:rsidR="00634BB2">
        <w:rPr>
          <w:rFonts w:ascii="Tahoma" w:eastAsia="Tahoma" w:hAnsi="Tahoma" w:cs="Tahoma"/>
          <w:sz w:val="22"/>
          <w:szCs w:val="22"/>
        </w:rPr>
        <w:tab/>
      </w:r>
      <w:r w:rsidR="00634BB2">
        <w:rPr>
          <w:rFonts w:ascii="Tahoma" w:eastAsia="Tahoma" w:hAnsi="Tahoma" w:cs="Tahoma"/>
          <w:sz w:val="22"/>
          <w:szCs w:val="22"/>
        </w:rPr>
        <w:tab/>
      </w:r>
      <w:r w:rsidR="00634BB2">
        <w:rPr>
          <w:rFonts w:ascii="Tahoma" w:eastAsia="Tahoma" w:hAnsi="Tahoma" w:cs="Tahoma"/>
          <w:sz w:val="22"/>
          <w:szCs w:val="22"/>
        </w:rPr>
        <w:tab/>
      </w:r>
      <w:r w:rsidR="00634BB2">
        <w:rPr>
          <w:rFonts w:ascii="Tahoma" w:eastAsia="Tahoma" w:hAnsi="Tahoma" w:cs="Tahoma"/>
          <w:sz w:val="22"/>
          <w:szCs w:val="22"/>
        </w:rPr>
        <w:tab/>
      </w:r>
      <w:r w:rsidR="00634BB2">
        <w:rPr>
          <w:rFonts w:ascii="Tahoma" w:eastAsia="Tahoma" w:hAnsi="Tahoma" w:cs="Tahoma"/>
          <w:sz w:val="22"/>
          <w:szCs w:val="22"/>
        </w:rPr>
        <w:tab/>
      </w:r>
      <w:r w:rsidR="00634BB2">
        <w:rPr>
          <w:rFonts w:ascii="Tahoma" w:eastAsia="Tahoma" w:hAnsi="Tahoma" w:cs="Tahoma"/>
          <w:sz w:val="22"/>
          <w:szCs w:val="22"/>
        </w:rPr>
        <w:tab/>
      </w:r>
      <w:r w:rsidR="00634BB2">
        <w:rPr>
          <w:rFonts w:ascii="Tahoma" w:eastAsia="Tahoma" w:hAnsi="Tahoma" w:cs="Tahoma"/>
          <w:sz w:val="22"/>
          <w:szCs w:val="22"/>
        </w:rPr>
        <w:tab/>
      </w:r>
      <w:r w:rsidR="00A75123">
        <w:rPr>
          <w:rFonts w:ascii="Tahoma" w:eastAsia="Tahoma" w:hAnsi="Tahoma" w:cs="Tahoma"/>
          <w:sz w:val="22"/>
          <w:szCs w:val="22"/>
        </w:rPr>
        <w:t>XXXXX</w:t>
      </w:r>
      <w:r w:rsidR="00634BB2">
        <w:rPr>
          <w:rFonts w:ascii="Tahoma" w:eastAsia="Tahoma" w:hAnsi="Tahoma" w:cs="Tahoma"/>
          <w:sz w:val="22"/>
          <w:szCs w:val="22"/>
        </w:rPr>
        <w:t>, jednatel</w:t>
      </w:r>
    </w:p>
    <w:p w:rsidR="006E2093" w14:paraId="000000CC" w14:textId="77777777">
      <w:pPr>
        <w:pStyle w:val="Heading2"/>
        <w:keepNext w:val="0"/>
        <w:keepLines w:val="0"/>
        <w:tabs>
          <w:tab w:val="left" w:pos="567"/>
        </w:tabs>
        <w:spacing w:before="0" w:after="0" w:line="240" w:lineRule="auto"/>
        <w:jc w:val="both"/>
        <w:rPr>
          <w:rFonts w:ascii="Tahoma" w:eastAsia="Tahoma" w:hAnsi="Tahoma" w:cs="Tahoma"/>
          <w:sz w:val="22"/>
          <w:szCs w:val="22"/>
        </w:rPr>
      </w:pPr>
      <w:bookmarkStart w:id="6" w:name="_heading=h.iih3mn6ghjbd" w:colFirst="0" w:colLast="0"/>
      <w:bookmarkEnd w:id="6"/>
      <w:r>
        <w:rPr>
          <w:rFonts w:ascii="Tahoma" w:eastAsia="Tahoma" w:hAnsi="Tahoma" w:cs="Tahoma"/>
          <w:color w:val="1A1A18"/>
          <w:sz w:val="22"/>
          <w:szCs w:val="22"/>
        </w:rPr>
        <w:tab/>
      </w:r>
      <w:r>
        <w:rPr>
          <w:rFonts w:ascii="Tahoma" w:eastAsia="Tahoma" w:hAnsi="Tahoma" w:cs="Tahoma"/>
          <w:color w:val="1A1A18"/>
          <w:sz w:val="22"/>
          <w:szCs w:val="22"/>
        </w:rPr>
        <w:tab/>
      </w:r>
      <w:r>
        <w:rPr>
          <w:rFonts w:ascii="Tahoma" w:eastAsia="Tahoma" w:hAnsi="Tahoma" w:cs="Tahoma"/>
          <w:color w:val="1A1A18"/>
          <w:sz w:val="22"/>
          <w:szCs w:val="22"/>
        </w:rPr>
        <w:tab/>
        <w:t>.</w:t>
      </w:r>
      <w:r>
        <w:rPr>
          <w:rFonts w:ascii="Tahoma" w:eastAsia="Tahoma" w:hAnsi="Tahoma" w:cs="Tahoma"/>
          <w:color w:val="1A1A18"/>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t>NEMO Report s.r.o.</w:t>
      </w:r>
    </w:p>
    <w:p w:rsidR="006E2093" w14:paraId="000000CD" w14:textId="77777777">
      <w:pPr>
        <w:tabs>
          <w:tab w:val="left" w:pos="567"/>
        </w:tabs>
        <w:rPr>
          <w:rFonts w:ascii="Tahoma" w:eastAsia="Tahoma" w:hAnsi="Tahoma" w:cs="Tahoma"/>
        </w:rPr>
      </w:pPr>
    </w:p>
    <w:p w:rsidR="006E2093" w14:paraId="000000CE" w14:textId="77777777">
      <w:pPr>
        <w:tabs>
          <w:tab w:val="left" w:pos="567"/>
        </w:tabs>
        <w:rPr>
          <w:rFonts w:ascii="Tahoma" w:eastAsia="Tahoma" w:hAnsi="Tahoma" w:cs="Tahoma"/>
        </w:rPr>
      </w:pPr>
    </w:p>
    <w:p w:rsidR="00634BB2" w14:paraId="37967ECA" w14:textId="77777777">
      <w:pPr>
        <w:tabs>
          <w:tab w:val="left" w:pos="567"/>
        </w:tabs>
        <w:rPr>
          <w:rFonts w:ascii="Tahoma" w:eastAsia="Tahoma" w:hAnsi="Tahoma" w:cs="Tahoma"/>
        </w:rPr>
      </w:pPr>
    </w:p>
    <w:p w:rsidR="006E2093" w14:paraId="000000CF" w14:textId="77777777">
      <w:pPr>
        <w:tabs>
          <w:tab w:val="left" w:pos="567"/>
        </w:tabs>
        <w:rPr>
          <w:rFonts w:ascii="Tahoma" w:eastAsia="Tahoma" w:hAnsi="Tahoma" w:cs="Tahoma"/>
        </w:rPr>
      </w:pPr>
    </w:p>
    <w:p w:rsidR="006E2093" w14:paraId="000000D0" w14:textId="77777777">
      <w:pPr>
        <w:tabs>
          <w:tab w:val="left" w:pos="567"/>
        </w:tabs>
        <w:rPr>
          <w:rFonts w:ascii="Tahoma" w:eastAsia="Tahoma" w:hAnsi="Tahoma" w:cs="Tahoma"/>
        </w:rPr>
      </w:pPr>
    </w:p>
    <w:p w:rsidR="006E2093" w14:paraId="000000D1" w14:textId="77777777">
      <w:pPr>
        <w:spacing w:line="240" w:lineRule="auto"/>
        <w:ind w:left="4320" w:firstLine="720"/>
        <w:rPr>
          <w:rFonts w:ascii="Tahoma" w:eastAsia="Tahoma" w:hAnsi="Tahoma" w:cs="Tahoma"/>
        </w:rPr>
      </w:pPr>
      <w:r>
        <w:rPr>
          <w:rFonts w:ascii="Tahoma" w:eastAsia="Tahoma" w:hAnsi="Tahoma" w:cs="Tahoma"/>
        </w:rPr>
        <w:t>________________________</w:t>
      </w:r>
    </w:p>
    <w:p w:rsidR="006E2093" w14:paraId="000000D2" w14:textId="77777777">
      <w:pPr>
        <w:spacing w:line="240" w:lineRule="auto"/>
        <w:ind w:left="5040"/>
        <w:rPr>
          <w:rFonts w:ascii="Tahoma" w:eastAsia="Tahoma" w:hAnsi="Tahoma" w:cs="Tahoma"/>
        </w:rPr>
      </w:pPr>
      <w:r>
        <w:rPr>
          <w:rFonts w:ascii="Tahoma" w:eastAsia="Tahoma" w:hAnsi="Tahoma" w:cs="Tahoma"/>
        </w:rPr>
        <w:t>za NR</w:t>
      </w:r>
    </w:p>
    <w:p w:rsidR="006E2093" w14:paraId="000000D3" w14:textId="00FAF347">
      <w:pPr>
        <w:spacing w:line="240" w:lineRule="auto"/>
        <w:ind w:left="4320" w:firstLine="720"/>
        <w:rPr>
          <w:rFonts w:ascii="Tahoma" w:eastAsia="Tahoma" w:hAnsi="Tahoma" w:cs="Tahoma"/>
        </w:rPr>
      </w:pPr>
      <w:r>
        <w:rPr>
          <w:rFonts w:ascii="Tahoma" w:eastAsia="Tahoma" w:hAnsi="Tahoma" w:cs="Tahoma"/>
        </w:rPr>
        <w:t>XXXXX</w:t>
      </w:r>
      <w:r w:rsidR="00634BB2">
        <w:rPr>
          <w:rFonts w:ascii="Tahoma" w:eastAsia="Tahoma" w:hAnsi="Tahoma" w:cs="Tahoma"/>
        </w:rPr>
        <w:t>, jednatel</w:t>
      </w:r>
    </w:p>
    <w:p w:rsidR="006E2093" w14:paraId="000000D4" w14:textId="77777777">
      <w:pPr>
        <w:spacing w:line="240" w:lineRule="auto"/>
        <w:ind w:left="4320" w:firstLine="720"/>
        <w:rPr>
          <w:rFonts w:ascii="Tahoma" w:eastAsia="Tahoma" w:hAnsi="Tahoma" w:cs="Tahoma"/>
        </w:rPr>
      </w:pPr>
      <w:r>
        <w:rPr>
          <w:rFonts w:ascii="Tahoma" w:eastAsia="Tahoma" w:hAnsi="Tahoma" w:cs="Tahoma"/>
        </w:rPr>
        <w:t>NEMO Report s.r.o.</w:t>
      </w:r>
    </w:p>
    <w:p w:rsidR="006E2093" w14:paraId="000000D5" w14:textId="77777777">
      <w:pPr>
        <w:spacing w:line="240" w:lineRule="auto"/>
      </w:pPr>
    </w:p>
    <w:p w:rsidR="006E2093" w14:paraId="000000D6" w14:textId="77777777">
      <w:pPr>
        <w:pStyle w:val="Heading2"/>
        <w:keepNext w:val="0"/>
        <w:keepLines w:val="0"/>
        <w:tabs>
          <w:tab w:val="left" w:pos="567"/>
        </w:tabs>
        <w:spacing w:before="0" w:after="0" w:line="240" w:lineRule="auto"/>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6E2093" w14:paraId="000000D7" w14:textId="77777777">
      <w:pPr>
        <w:tabs>
          <w:tab w:val="left" w:pos="567"/>
        </w:tabs>
      </w:pPr>
    </w:p>
    <w:p w:rsidR="006E2093" w14:paraId="000000D8" w14:textId="77777777">
      <w:pPr>
        <w:tabs>
          <w:tab w:val="left" w:pos="567"/>
        </w:tabs>
        <w:jc w:val="center"/>
        <w:rPr>
          <w:b/>
          <w:sz w:val="28"/>
          <w:szCs w:val="28"/>
        </w:rPr>
      </w:pPr>
      <w:r>
        <w:br w:type="page"/>
      </w:r>
    </w:p>
    <w:p w:rsidR="006E2093" w14:paraId="000000D9" w14:textId="77777777">
      <w:pPr>
        <w:tabs>
          <w:tab w:val="left" w:pos="567"/>
        </w:tabs>
        <w:jc w:val="center"/>
        <w:rPr>
          <w:b/>
          <w:sz w:val="28"/>
          <w:szCs w:val="28"/>
        </w:rPr>
      </w:pPr>
      <w:r>
        <w:rPr>
          <w:b/>
          <w:sz w:val="28"/>
          <w:szCs w:val="28"/>
        </w:rPr>
        <w:t>Příloha 2</w:t>
      </w:r>
    </w:p>
    <w:p w:rsidR="006E2093" w14:paraId="000000DA" w14:textId="77777777">
      <w:pPr>
        <w:tabs>
          <w:tab w:val="left" w:pos="567"/>
        </w:tabs>
        <w:jc w:val="center"/>
        <w:rPr>
          <w:b/>
          <w:sz w:val="28"/>
          <w:szCs w:val="28"/>
        </w:rPr>
      </w:pPr>
    </w:p>
    <w:p w:rsidR="006E2093" w14:paraId="000000DB" w14:textId="77777777">
      <w:pPr>
        <w:jc w:val="center"/>
        <w:rPr>
          <w:b/>
          <w:sz w:val="28"/>
          <w:szCs w:val="28"/>
        </w:rPr>
      </w:pPr>
      <w:sdt>
        <w:sdtPr>
          <w:tag w:val="goog_rdk_25"/>
          <w:id w:val="1090966312"/>
          <w:richText/>
        </w:sdtPr>
        <w:sdtContent/>
      </w:sdt>
      <w:sdt>
        <w:sdtPr>
          <w:tag w:val="goog_rdk_26"/>
          <w:id w:val="-5436074"/>
          <w:richText/>
        </w:sdtPr>
        <w:sdtContent/>
      </w:sdt>
      <w:sdt>
        <w:sdtPr>
          <w:tag w:val="goog_rdk_27"/>
          <w:id w:val="-280032689"/>
          <w:richText/>
        </w:sdtPr>
        <w:sdtContent/>
      </w:sdt>
      <w:sdt>
        <w:sdtPr>
          <w:tag w:val="goog_rdk_28"/>
          <w:id w:val="-1324969136"/>
          <w:richText/>
        </w:sdtPr>
        <w:sdtContent/>
      </w:sdt>
      <w:r w:rsidR="00634BB2">
        <w:rPr>
          <w:b/>
          <w:sz w:val="28"/>
          <w:szCs w:val="28"/>
        </w:rPr>
        <w:t>NEMO REPORT NABÍDKA PRO SFPI 2/2025</w:t>
      </w:r>
    </w:p>
    <w:p w:rsidR="006E2093" w14:paraId="000000DC" w14:textId="77777777">
      <w:pPr>
        <w:rPr>
          <w:b/>
          <w:sz w:val="28"/>
          <w:szCs w:val="28"/>
        </w:rPr>
      </w:pPr>
    </w:p>
    <w:p w:rsidR="006E2093" w14:paraId="000000DD" w14:textId="77777777">
      <w:pPr>
        <w:jc w:val="center"/>
        <w:rPr>
          <w:b/>
          <w:sz w:val="28"/>
          <w:szCs w:val="28"/>
        </w:rPr>
      </w:pPr>
      <w:r>
        <w:rPr>
          <w:b/>
          <w:sz w:val="28"/>
          <w:szCs w:val="28"/>
        </w:rPr>
        <w:t>INFORMACE O RIZIKU POVODNÍ</w:t>
      </w:r>
    </w:p>
    <w:p w:rsidR="006E2093" w14:paraId="000000DE" w14:textId="77777777">
      <w:pPr>
        <w:rPr>
          <w:b/>
          <w:sz w:val="16"/>
          <w:szCs w:val="16"/>
        </w:rPr>
      </w:pPr>
    </w:p>
    <w:tbl>
      <w:tblPr>
        <w:tblStyle w:val="af1"/>
        <w:tblW w:w="9720"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300"/>
        <w:gridCol w:w="3420"/>
      </w:tblGrid>
      <w:tr w14:paraId="10D26601" w14:textId="77777777">
        <w:tblPrEx>
          <w:tblW w:w="9720"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trHeight w:val="432"/>
        </w:trPr>
        <w:tc>
          <w:tcPr>
            <w:tcW w:w="6300" w:type="dxa"/>
            <w:shd w:val="clear" w:color="auto" w:fill="B7B7B7"/>
            <w:tcMar>
              <w:top w:w="100" w:type="dxa"/>
              <w:left w:w="100" w:type="dxa"/>
              <w:bottom w:w="100" w:type="dxa"/>
              <w:right w:w="100" w:type="dxa"/>
            </w:tcMar>
          </w:tcPr>
          <w:p w:rsidR="006E2093" w14:paraId="000000DF" w14:textId="77777777">
            <w:pPr>
              <w:widowControl w:val="0"/>
              <w:spacing w:line="240" w:lineRule="auto"/>
              <w:rPr>
                <w:b/>
              </w:rPr>
            </w:pPr>
            <w:r>
              <w:rPr>
                <w:b/>
              </w:rPr>
              <w:t>Produkt</w:t>
            </w:r>
          </w:p>
        </w:tc>
        <w:tc>
          <w:tcPr>
            <w:tcW w:w="3420" w:type="dxa"/>
            <w:tcBorders>
              <w:bottom w:val="single" w:sz="6" w:space="0" w:color="000000"/>
            </w:tcBorders>
            <w:shd w:val="clear" w:color="auto" w:fill="B7B7B7"/>
            <w:tcMar>
              <w:top w:w="100" w:type="dxa"/>
              <w:left w:w="100" w:type="dxa"/>
              <w:bottom w:w="100" w:type="dxa"/>
              <w:right w:w="100" w:type="dxa"/>
            </w:tcMar>
          </w:tcPr>
          <w:p w:rsidR="006E2093" w14:paraId="000000E0" w14:textId="77777777">
            <w:pPr>
              <w:widowControl w:val="0"/>
              <w:spacing w:line="240" w:lineRule="auto"/>
              <w:ind w:right="-151"/>
              <w:rPr>
                <w:b/>
              </w:rPr>
            </w:pPr>
            <w:r>
              <w:rPr>
                <w:b/>
              </w:rPr>
              <w:t>Cena za dotaz/službu bez DPH</w:t>
            </w:r>
          </w:p>
        </w:tc>
      </w:tr>
      <w:tr w14:paraId="729FE85C" w14:textId="77777777">
        <w:tblPrEx>
          <w:tblW w:w="9720" w:type="dxa"/>
          <w:tblInd w:w="-255" w:type="dxa"/>
          <w:tblLayout w:type="fixed"/>
          <w:tblLook w:val="0600"/>
        </w:tblPrEx>
        <w:tc>
          <w:tcPr>
            <w:tcW w:w="6300" w:type="dxa"/>
            <w:tcBorders>
              <w:bottom w:val="single" w:sz="6" w:space="0" w:color="000000"/>
              <w:right w:val="single" w:sz="6" w:space="0" w:color="000000"/>
            </w:tcBorders>
            <w:shd w:val="clear" w:color="auto" w:fill="auto"/>
            <w:tcMar>
              <w:top w:w="100" w:type="dxa"/>
              <w:left w:w="100" w:type="dxa"/>
              <w:bottom w:w="100" w:type="dxa"/>
              <w:right w:w="100" w:type="dxa"/>
            </w:tcMar>
          </w:tcPr>
          <w:p w:rsidR="006E2093" w14:paraId="000000E1" w14:textId="77777777">
            <w:pPr>
              <w:widowControl w:val="0"/>
              <w:spacing w:line="240" w:lineRule="auto"/>
            </w:pPr>
            <w:r>
              <w:t>0 - 50</w:t>
            </w:r>
            <w:r>
              <w:t xml:space="preserve"> dotazů za kalendářní měsíc </w:t>
            </w:r>
          </w:p>
        </w:tc>
        <w:tc>
          <w:tcPr>
            <w:tcW w:w="342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vAlign w:val="bottom"/>
          </w:tcPr>
          <w:p w:rsidR="006E2093" w14:paraId="000000E2" w14:textId="77777777">
            <w:pPr>
              <w:widowControl w:val="0"/>
            </w:pPr>
            <w:r>
              <w:t>87,00 Kč</w:t>
            </w:r>
          </w:p>
        </w:tc>
      </w:tr>
      <w:tr w14:paraId="7BA213DE" w14:textId="77777777">
        <w:tblPrEx>
          <w:tblW w:w="9720" w:type="dxa"/>
          <w:tblInd w:w="-255" w:type="dxa"/>
          <w:tblLayout w:type="fixed"/>
          <w:tblLook w:val="0600"/>
        </w:tblPrEx>
        <w:tc>
          <w:tcPr>
            <w:tcW w:w="6300" w:type="dxa"/>
            <w:tcBorders>
              <w:bottom w:val="single" w:sz="6" w:space="0" w:color="000000"/>
              <w:right w:val="single" w:sz="6" w:space="0" w:color="000000"/>
            </w:tcBorders>
            <w:shd w:val="clear" w:color="auto" w:fill="auto"/>
            <w:tcMar>
              <w:top w:w="100" w:type="dxa"/>
              <w:left w:w="100" w:type="dxa"/>
              <w:bottom w:w="100" w:type="dxa"/>
              <w:right w:w="100" w:type="dxa"/>
            </w:tcMar>
          </w:tcPr>
          <w:p w:rsidR="006E2093" w14:paraId="000000E3" w14:textId="77777777">
            <w:pPr>
              <w:widowControl w:val="0"/>
              <w:spacing w:line="240" w:lineRule="auto"/>
            </w:pPr>
            <w:r>
              <w:t xml:space="preserve">50-100 dotazů za kalendářní měsíc </w:t>
            </w:r>
          </w:p>
        </w:tc>
        <w:tc>
          <w:tcPr>
            <w:tcW w:w="3420"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vAlign w:val="bottom"/>
          </w:tcPr>
          <w:p w:rsidR="006E2093" w14:paraId="000000E4" w14:textId="77777777">
            <w:pPr>
              <w:widowControl w:val="0"/>
            </w:pPr>
            <w:r>
              <w:t>79,00 Kč</w:t>
            </w:r>
          </w:p>
        </w:tc>
      </w:tr>
      <w:tr w14:paraId="13E134FF" w14:textId="77777777">
        <w:tblPrEx>
          <w:tblW w:w="9720" w:type="dxa"/>
          <w:tblInd w:w="-255" w:type="dxa"/>
          <w:tblLayout w:type="fixed"/>
          <w:tblLook w:val="0600"/>
        </w:tblPrEx>
        <w:tc>
          <w:tcPr>
            <w:tcW w:w="6300" w:type="dxa"/>
            <w:tcBorders>
              <w:top w:val="single" w:sz="6" w:space="0" w:color="000000"/>
              <w:left w:val="single" w:sz="6" w:space="0" w:color="000000"/>
              <w:bottom w:val="single" w:sz="8" w:space="0" w:color="000000"/>
              <w:right w:val="single" w:sz="6" w:space="0" w:color="000000"/>
            </w:tcBorders>
            <w:shd w:val="clear" w:color="auto" w:fill="FFFFFF"/>
            <w:tcMar>
              <w:top w:w="40" w:type="dxa"/>
              <w:left w:w="40" w:type="dxa"/>
              <w:bottom w:w="40" w:type="dxa"/>
              <w:right w:w="40" w:type="dxa"/>
            </w:tcMar>
            <w:vAlign w:val="bottom"/>
          </w:tcPr>
          <w:p w:rsidR="006E2093" w14:paraId="000000E5" w14:textId="77777777">
            <w:pPr>
              <w:widowControl w:val="0"/>
            </w:pPr>
            <w:r>
              <w:t>101-500 dotazů za kalendářní měsíc</w:t>
            </w:r>
          </w:p>
        </w:tc>
        <w:tc>
          <w:tcPr>
            <w:tcW w:w="3420" w:type="dxa"/>
            <w:tcBorders>
              <w:top w:val="single" w:sz="8" w:space="0" w:color="000000"/>
              <w:left w:val="single" w:sz="6" w:space="0" w:color="000000"/>
              <w:bottom w:val="single" w:sz="8" w:space="0" w:color="000000"/>
              <w:right w:val="single" w:sz="6" w:space="0" w:color="000000"/>
            </w:tcBorders>
            <w:tcMar>
              <w:top w:w="40" w:type="dxa"/>
              <w:left w:w="40" w:type="dxa"/>
              <w:bottom w:w="40" w:type="dxa"/>
              <w:right w:w="40" w:type="dxa"/>
            </w:tcMar>
            <w:vAlign w:val="bottom"/>
          </w:tcPr>
          <w:p w:rsidR="006E2093" w14:paraId="000000E6" w14:textId="77777777">
            <w:pPr>
              <w:widowControl w:val="0"/>
            </w:pPr>
            <w:r>
              <w:t>75,00 Kč</w:t>
            </w:r>
          </w:p>
        </w:tc>
      </w:tr>
      <w:tr w14:paraId="41BACC2A" w14:textId="77777777">
        <w:tblPrEx>
          <w:tblW w:w="9720" w:type="dxa"/>
          <w:tblInd w:w="-255" w:type="dxa"/>
          <w:tblLayout w:type="fixed"/>
          <w:tblLook w:val="0600"/>
        </w:tblPrEx>
        <w:tc>
          <w:tcPr>
            <w:tcW w:w="6300" w:type="dxa"/>
            <w:tcBorders>
              <w:top w:val="single" w:sz="8" w:space="0" w:color="000000"/>
              <w:left w:val="single" w:sz="6" w:space="0" w:color="000000"/>
              <w:bottom w:val="single" w:sz="8" w:space="0" w:color="000000"/>
              <w:right w:val="single" w:sz="6" w:space="0" w:color="000000"/>
            </w:tcBorders>
            <w:shd w:val="clear" w:color="auto" w:fill="FFFFFF"/>
            <w:tcMar>
              <w:top w:w="40" w:type="dxa"/>
              <w:left w:w="40" w:type="dxa"/>
              <w:bottom w:w="40" w:type="dxa"/>
              <w:right w:w="40" w:type="dxa"/>
            </w:tcMar>
            <w:vAlign w:val="bottom"/>
          </w:tcPr>
          <w:p w:rsidR="006E2093" w14:paraId="000000E7" w14:textId="77777777">
            <w:pPr>
              <w:widowControl w:val="0"/>
            </w:pPr>
            <w:r>
              <w:t>501-1000 dotazů za kalendářní měsíc</w:t>
            </w:r>
          </w:p>
        </w:tc>
        <w:tc>
          <w:tcPr>
            <w:tcW w:w="3420" w:type="dxa"/>
            <w:tcBorders>
              <w:top w:val="single" w:sz="8" w:space="0" w:color="000000"/>
              <w:left w:val="single" w:sz="6" w:space="0" w:color="000000"/>
              <w:bottom w:val="single" w:sz="8" w:space="0" w:color="000000"/>
              <w:right w:val="single" w:sz="6" w:space="0" w:color="000000"/>
            </w:tcBorders>
            <w:tcMar>
              <w:top w:w="40" w:type="dxa"/>
              <w:left w:w="40" w:type="dxa"/>
              <w:bottom w:w="40" w:type="dxa"/>
              <w:right w:w="40" w:type="dxa"/>
            </w:tcMar>
            <w:vAlign w:val="bottom"/>
          </w:tcPr>
          <w:p w:rsidR="006E2093" w14:paraId="000000E8" w14:textId="77777777">
            <w:pPr>
              <w:widowControl w:val="0"/>
            </w:pPr>
            <w:r>
              <w:t>72,00 Kč</w:t>
            </w:r>
          </w:p>
        </w:tc>
      </w:tr>
      <w:tr w14:paraId="36374392" w14:textId="77777777">
        <w:tblPrEx>
          <w:tblW w:w="9720" w:type="dxa"/>
          <w:tblInd w:w="-255" w:type="dxa"/>
          <w:tblLayout w:type="fixed"/>
          <w:tblLook w:val="0600"/>
        </w:tblPrEx>
        <w:tc>
          <w:tcPr>
            <w:tcW w:w="6300" w:type="dxa"/>
            <w:tcBorders>
              <w:top w:val="single" w:sz="8" w:space="0" w:color="000000"/>
              <w:left w:val="single" w:sz="6" w:space="0" w:color="000000"/>
              <w:bottom w:val="single" w:sz="8" w:space="0" w:color="000000"/>
              <w:right w:val="single" w:sz="6" w:space="0" w:color="000000"/>
            </w:tcBorders>
            <w:shd w:val="clear" w:color="auto" w:fill="FFFFFF"/>
            <w:tcMar>
              <w:top w:w="40" w:type="dxa"/>
              <w:left w:w="40" w:type="dxa"/>
              <w:bottom w:w="40" w:type="dxa"/>
              <w:right w:w="40" w:type="dxa"/>
            </w:tcMar>
            <w:vAlign w:val="bottom"/>
          </w:tcPr>
          <w:p w:rsidR="006E2093" w14:paraId="000000E9" w14:textId="77777777">
            <w:pPr>
              <w:widowControl w:val="0"/>
            </w:pPr>
            <w:r>
              <w:t>1001-2000 dotazů za kalendářní měsíc</w:t>
            </w:r>
          </w:p>
        </w:tc>
        <w:tc>
          <w:tcPr>
            <w:tcW w:w="3420" w:type="dxa"/>
            <w:tcBorders>
              <w:top w:val="single" w:sz="8" w:space="0" w:color="000000"/>
              <w:left w:val="single" w:sz="6" w:space="0" w:color="000000"/>
              <w:bottom w:val="single" w:sz="8" w:space="0" w:color="000000"/>
              <w:right w:val="single" w:sz="6" w:space="0" w:color="000000"/>
            </w:tcBorders>
            <w:tcMar>
              <w:top w:w="40" w:type="dxa"/>
              <w:left w:w="40" w:type="dxa"/>
              <w:bottom w:w="40" w:type="dxa"/>
              <w:right w:w="40" w:type="dxa"/>
            </w:tcMar>
            <w:vAlign w:val="bottom"/>
          </w:tcPr>
          <w:p w:rsidR="006E2093" w14:paraId="000000EA" w14:textId="77777777">
            <w:pPr>
              <w:widowControl w:val="0"/>
            </w:pPr>
            <w:r>
              <w:t>69,00 Kč</w:t>
            </w:r>
          </w:p>
        </w:tc>
      </w:tr>
      <w:tr w14:paraId="0128097E" w14:textId="77777777">
        <w:tblPrEx>
          <w:tblW w:w="9720" w:type="dxa"/>
          <w:tblInd w:w="-255" w:type="dxa"/>
          <w:tblLayout w:type="fixed"/>
          <w:tblLook w:val="0600"/>
        </w:tblPrEx>
        <w:tc>
          <w:tcPr>
            <w:tcW w:w="6300" w:type="dxa"/>
            <w:tcBorders>
              <w:top w:val="single" w:sz="8"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6E2093" w14:paraId="000000EB" w14:textId="77777777">
            <w:pPr>
              <w:widowControl w:val="0"/>
            </w:pPr>
            <w:r>
              <w:t>2001 a více dotazů za kalendářní měsíc</w:t>
            </w:r>
          </w:p>
        </w:tc>
        <w:tc>
          <w:tcPr>
            <w:tcW w:w="3420" w:type="dxa"/>
            <w:tcBorders>
              <w:top w:val="single" w:sz="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6E2093" w14:paraId="000000EC" w14:textId="77777777">
            <w:pPr>
              <w:widowControl w:val="0"/>
            </w:pPr>
            <w:r>
              <w:t>65,00 Kč</w:t>
            </w:r>
          </w:p>
        </w:tc>
      </w:tr>
      <w:tr w14:paraId="7800C4E4" w14:textId="77777777">
        <w:tblPrEx>
          <w:tblW w:w="9720" w:type="dxa"/>
          <w:tblInd w:w="-255" w:type="dxa"/>
          <w:tblLayout w:type="fixed"/>
          <w:tblLook w:val="0600"/>
        </w:tblPrEx>
        <w:trPr>
          <w:trHeight w:val="300"/>
        </w:trPr>
        <w:tc>
          <w:tcPr>
            <w:tcW w:w="9720" w:type="dxa"/>
            <w:gridSpan w:val="2"/>
            <w:tcBorders>
              <w:top w:val="single" w:sz="8"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6E2093" w14:paraId="000000ED" w14:textId="77777777">
            <w:pPr>
              <w:widowControl w:val="0"/>
              <w:spacing w:line="240" w:lineRule="auto"/>
            </w:pPr>
            <w:r>
              <w:rPr>
                <w:sz w:val="20"/>
                <w:szCs w:val="20"/>
                <w:highlight w:val="white"/>
              </w:rPr>
              <w:t>NEMO Report si vyhrazuje právo ceník kdykoliv aktualizovat, zejména podle vývoje na trhu, vlivu inflace, nákladů na zdrojová data a provozní náklady. Pokud tak nastane, bude o tom klienta s předstihem informovat.</w:t>
            </w:r>
          </w:p>
        </w:tc>
      </w:tr>
    </w:tbl>
    <w:p w:rsidR="006E2093" w14:paraId="000000EF" w14:textId="77777777">
      <w:pPr>
        <w:jc w:val="center"/>
        <w:rPr>
          <w:b/>
          <w:sz w:val="28"/>
          <w:szCs w:val="28"/>
        </w:rPr>
      </w:pPr>
    </w:p>
    <w:p w:rsidR="006E2093" w14:paraId="000000F0" w14:textId="77777777">
      <w:pPr>
        <w:jc w:val="center"/>
        <w:rPr>
          <w:b/>
          <w:sz w:val="28"/>
          <w:szCs w:val="28"/>
        </w:rPr>
      </w:pPr>
      <w:r>
        <w:rPr>
          <w:b/>
          <w:sz w:val="28"/>
          <w:szCs w:val="28"/>
        </w:rPr>
        <w:t>PROVĚŘENÍ OSOB A FIREM</w:t>
      </w:r>
    </w:p>
    <w:p w:rsidR="006E2093" w14:paraId="000000F1" w14:textId="77777777">
      <w:pPr>
        <w:spacing w:line="240" w:lineRule="auto"/>
        <w:jc w:val="center"/>
        <w:rPr>
          <w:sz w:val="28"/>
          <w:szCs w:val="28"/>
        </w:rPr>
      </w:pPr>
      <w:r>
        <w:rPr>
          <w:sz w:val="28"/>
          <w:szCs w:val="28"/>
        </w:rPr>
        <w:t>Exekuční rejstřík (CEE) a insolvenční rejstřík (ISIR)</w:t>
      </w:r>
    </w:p>
    <w:p w:rsidR="006E2093" w14:paraId="000000F2" w14:textId="77777777">
      <w:pPr>
        <w:spacing w:line="240" w:lineRule="auto"/>
        <w:jc w:val="center"/>
        <w:rPr>
          <w:sz w:val="28"/>
          <w:szCs w:val="28"/>
        </w:rPr>
      </w:pPr>
    </w:p>
    <w:p w:rsidR="006E2093" w14:paraId="000000F3" w14:textId="77777777">
      <w:pPr>
        <w:spacing w:line="240" w:lineRule="auto"/>
        <w:jc w:val="center"/>
        <w:rPr>
          <w:sz w:val="28"/>
          <w:szCs w:val="28"/>
        </w:rPr>
      </w:pPr>
      <w:r>
        <w:rPr>
          <w:sz w:val="28"/>
          <w:szCs w:val="28"/>
        </w:rPr>
        <w:t>Varianta 1 - měsíční paušál a tarify dle měsíčního odběru</w:t>
      </w:r>
    </w:p>
    <w:p w:rsidR="006E2093" w14:paraId="000000F4" w14:textId="77777777">
      <w:pPr>
        <w:rPr>
          <w:b/>
        </w:rPr>
      </w:pPr>
    </w:p>
    <w:tbl>
      <w:tblPr>
        <w:tblStyle w:val="af2"/>
        <w:tblW w:w="95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075"/>
        <w:gridCol w:w="3495"/>
      </w:tblGrid>
      <w:tr w14:paraId="508E5FC8" w14:textId="77777777">
        <w:tblPrEx>
          <w:tblW w:w="95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trHeight w:val="432"/>
        </w:trPr>
        <w:tc>
          <w:tcPr>
            <w:tcW w:w="6075" w:type="dxa"/>
            <w:shd w:val="clear" w:color="auto" w:fill="B7B7B7"/>
            <w:tcMar>
              <w:top w:w="100" w:type="dxa"/>
              <w:left w:w="100" w:type="dxa"/>
              <w:bottom w:w="100" w:type="dxa"/>
              <w:right w:w="100" w:type="dxa"/>
            </w:tcMar>
          </w:tcPr>
          <w:p w:rsidR="006E2093" w14:paraId="000000F5" w14:textId="77777777">
            <w:pPr>
              <w:widowControl w:val="0"/>
              <w:spacing w:line="240" w:lineRule="auto"/>
              <w:rPr>
                <w:b/>
              </w:rPr>
            </w:pPr>
            <w:r>
              <w:rPr>
                <w:b/>
              </w:rPr>
              <w:t>Produkt</w:t>
            </w:r>
          </w:p>
        </w:tc>
        <w:tc>
          <w:tcPr>
            <w:tcW w:w="3495" w:type="dxa"/>
            <w:tcBorders>
              <w:bottom w:val="single" w:sz="6" w:space="0" w:color="000000"/>
            </w:tcBorders>
            <w:shd w:val="clear" w:color="auto" w:fill="B7B7B7"/>
            <w:tcMar>
              <w:top w:w="100" w:type="dxa"/>
              <w:left w:w="100" w:type="dxa"/>
              <w:bottom w:w="100" w:type="dxa"/>
              <w:right w:w="100" w:type="dxa"/>
            </w:tcMar>
          </w:tcPr>
          <w:p w:rsidR="006E2093" w14:paraId="000000F6" w14:textId="77777777">
            <w:pPr>
              <w:widowControl w:val="0"/>
              <w:spacing w:line="240" w:lineRule="auto"/>
              <w:rPr>
                <w:b/>
              </w:rPr>
            </w:pPr>
            <w:r>
              <w:rPr>
                <w:b/>
              </w:rPr>
              <w:t>Cena za dotaz/službu bez DPH</w:t>
            </w:r>
          </w:p>
        </w:tc>
      </w:tr>
      <w:tr w14:paraId="00FD51E7" w14:textId="77777777">
        <w:tblPrEx>
          <w:tblW w:w="9570" w:type="dxa"/>
          <w:tblInd w:w="0" w:type="dxa"/>
          <w:tblLayout w:type="fixed"/>
          <w:tblLook w:val="0600"/>
        </w:tblPrEx>
        <w:tc>
          <w:tcPr>
            <w:tcW w:w="6075" w:type="dxa"/>
            <w:tcBorders>
              <w:bottom w:val="single" w:sz="6" w:space="0" w:color="000000"/>
              <w:right w:val="single" w:sz="6" w:space="0" w:color="000000"/>
            </w:tcBorders>
            <w:shd w:val="clear" w:color="auto" w:fill="auto"/>
            <w:tcMar>
              <w:top w:w="100" w:type="dxa"/>
              <w:left w:w="100" w:type="dxa"/>
              <w:bottom w:w="100" w:type="dxa"/>
              <w:right w:w="100" w:type="dxa"/>
            </w:tcMar>
          </w:tcPr>
          <w:p w:rsidR="006E2093" w14:paraId="000000F7" w14:textId="77777777">
            <w:pPr>
              <w:widowControl w:val="0"/>
              <w:spacing w:line="240" w:lineRule="auto"/>
            </w:pPr>
            <w:r>
              <w:t xml:space="preserve">Paušál za insolvenční </w:t>
            </w:r>
            <w:r>
              <w:t>rejstřík - neomezené</w:t>
            </w:r>
            <w:r>
              <w:t xml:space="preserve"> množství dotazů měsíčně + 10 dotazů do exekučního rejstříku</w:t>
            </w:r>
          </w:p>
        </w:tc>
        <w:tc>
          <w:tcPr>
            <w:tcW w:w="34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vAlign w:val="bottom"/>
          </w:tcPr>
          <w:p w:rsidR="006E2093" w14:paraId="000000F8" w14:textId="77777777">
            <w:pPr>
              <w:widowControl w:val="0"/>
            </w:pPr>
            <w:r>
              <w:t>4 000 Kč</w:t>
            </w:r>
          </w:p>
        </w:tc>
      </w:tr>
      <w:tr w14:paraId="113BC105" w14:textId="77777777">
        <w:tblPrEx>
          <w:tblW w:w="9570" w:type="dxa"/>
          <w:tblInd w:w="0" w:type="dxa"/>
          <w:tblLayout w:type="fixed"/>
          <w:tblLook w:val="0600"/>
        </w:tblPrEx>
        <w:tc>
          <w:tcPr>
            <w:tcW w:w="6075" w:type="dxa"/>
            <w:tcBorders>
              <w:bottom w:val="single" w:sz="6" w:space="0" w:color="000000"/>
              <w:right w:val="single" w:sz="6" w:space="0" w:color="000000"/>
            </w:tcBorders>
            <w:shd w:val="clear" w:color="auto" w:fill="auto"/>
            <w:tcMar>
              <w:top w:w="100" w:type="dxa"/>
              <w:left w:w="100" w:type="dxa"/>
              <w:bottom w:w="100" w:type="dxa"/>
              <w:right w:w="100" w:type="dxa"/>
            </w:tcMar>
          </w:tcPr>
          <w:p w:rsidR="006E2093" w14:paraId="000000F9" w14:textId="77777777">
            <w:pPr>
              <w:widowControl w:val="0"/>
              <w:spacing w:line="240" w:lineRule="auto"/>
            </w:pPr>
            <w:r>
              <w:t>11 - 100</w:t>
            </w:r>
            <w:r>
              <w:t xml:space="preserve"> dotazů do exekučního rejstříku</w:t>
            </w:r>
          </w:p>
        </w:tc>
        <w:tc>
          <w:tcPr>
            <w:tcW w:w="3495" w:type="dxa"/>
            <w:tcBorders>
              <w:top w:val="single" w:sz="6" w:space="0" w:color="000000"/>
              <w:left w:val="single" w:sz="6" w:space="0" w:color="000000"/>
              <w:bottom w:val="single" w:sz="8" w:space="0" w:color="000000"/>
              <w:right w:val="single" w:sz="6" w:space="0" w:color="000000"/>
            </w:tcBorders>
            <w:tcMar>
              <w:top w:w="40" w:type="dxa"/>
              <w:left w:w="40" w:type="dxa"/>
              <w:bottom w:w="40" w:type="dxa"/>
              <w:right w:w="40" w:type="dxa"/>
            </w:tcMar>
            <w:vAlign w:val="bottom"/>
          </w:tcPr>
          <w:p w:rsidR="006E2093" w14:paraId="000000FA" w14:textId="77777777">
            <w:pPr>
              <w:widowControl w:val="0"/>
            </w:pPr>
            <w:r>
              <w:t>45 Kč</w:t>
            </w:r>
          </w:p>
        </w:tc>
      </w:tr>
      <w:tr w14:paraId="3C6895D7" w14:textId="77777777">
        <w:tblPrEx>
          <w:tblW w:w="9570" w:type="dxa"/>
          <w:tblInd w:w="0" w:type="dxa"/>
          <w:tblLayout w:type="fixed"/>
          <w:tblLook w:val="0600"/>
        </w:tblPrEx>
        <w:tc>
          <w:tcPr>
            <w:tcW w:w="6075" w:type="dxa"/>
            <w:tcBorders>
              <w:top w:val="single" w:sz="6" w:space="0" w:color="000000"/>
              <w:left w:val="single" w:sz="6" w:space="0" w:color="000000"/>
              <w:bottom w:val="single" w:sz="8" w:space="0" w:color="000000"/>
              <w:right w:val="single" w:sz="6" w:space="0" w:color="000000"/>
            </w:tcBorders>
            <w:shd w:val="clear" w:color="auto" w:fill="FFFFFF"/>
            <w:tcMar>
              <w:top w:w="40" w:type="dxa"/>
              <w:left w:w="40" w:type="dxa"/>
              <w:bottom w:w="40" w:type="dxa"/>
              <w:right w:w="40" w:type="dxa"/>
            </w:tcMar>
            <w:vAlign w:val="bottom"/>
          </w:tcPr>
          <w:p w:rsidR="006E2093" w14:paraId="000000FB" w14:textId="77777777">
            <w:pPr>
              <w:widowControl w:val="0"/>
            </w:pPr>
            <w:r>
              <w:t>101 - 300</w:t>
            </w:r>
            <w:r>
              <w:t xml:space="preserve"> dotazů do exekučního rejstříku</w:t>
            </w:r>
          </w:p>
        </w:tc>
        <w:tc>
          <w:tcPr>
            <w:tcW w:w="3495" w:type="dxa"/>
            <w:tcBorders>
              <w:top w:val="single" w:sz="8" w:space="0" w:color="000000"/>
              <w:left w:val="single" w:sz="6" w:space="0" w:color="000000"/>
              <w:bottom w:val="single" w:sz="8" w:space="0" w:color="000000"/>
              <w:right w:val="single" w:sz="6" w:space="0" w:color="000000"/>
            </w:tcBorders>
            <w:tcMar>
              <w:top w:w="40" w:type="dxa"/>
              <w:left w:w="40" w:type="dxa"/>
              <w:bottom w:w="40" w:type="dxa"/>
              <w:right w:w="40" w:type="dxa"/>
            </w:tcMar>
            <w:vAlign w:val="bottom"/>
          </w:tcPr>
          <w:p w:rsidR="006E2093" w14:paraId="000000FC" w14:textId="77777777">
            <w:pPr>
              <w:widowControl w:val="0"/>
            </w:pPr>
            <w:r>
              <w:t>40 Kč</w:t>
            </w:r>
          </w:p>
        </w:tc>
      </w:tr>
      <w:tr w14:paraId="134920DA" w14:textId="77777777">
        <w:tblPrEx>
          <w:tblW w:w="9570" w:type="dxa"/>
          <w:tblInd w:w="0" w:type="dxa"/>
          <w:tblLayout w:type="fixed"/>
          <w:tblLook w:val="0600"/>
        </w:tblPrEx>
        <w:tc>
          <w:tcPr>
            <w:tcW w:w="6075" w:type="dxa"/>
            <w:tcBorders>
              <w:top w:val="single" w:sz="8" w:space="0" w:color="000000"/>
              <w:left w:val="single" w:sz="6" w:space="0" w:color="000000"/>
              <w:bottom w:val="single" w:sz="8" w:space="0" w:color="000000"/>
              <w:right w:val="single" w:sz="6" w:space="0" w:color="000000"/>
            </w:tcBorders>
            <w:shd w:val="clear" w:color="auto" w:fill="FFFFFF"/>
            <w:tcMar>
              <w:top w:w="40" w:type="dxa"/>
              <w:left w:w="40" w:type="dxa"/>
              <w:bottom w:w="40" w:type="dxa"/>
              <w:right w:w="40" w:type="dxa"/>
            </w:tcMar>
            <w:vAlign w:val="bottom"/>
          </w:tcPr>
          <w:p w:rsidR="006E2093" w14:paraId="000000FD" w14:textId="77777777">
            <w:pPr>
              <w:widowControl w:val="0"/>
            </w:pPr>
            <w:r>
              <w:t>301 - 1000</w:t>
            </w:r>
            <w:r>
              <w:t xml:space="preserve"> dotazů do exekučního rejstříku</w:t>
            </w:r>
          </w:p>
        </w:tc>
        <w:tc>
          <w:tcPr>
            <w:tcW w:w="3495" w:type="dxa"/>
            <w:tcBorders>
              <w:top w:val="single" w:sz="8" w:space="0" w:color="000000"/>
              <w:left w:val="single" w:sz="6" w:space="0" w:color="000000"/>
              <w:bottom w:val="single" w:sz="8" w:space="0" w:color="000000"/>
              <w:right w:val="single" w:sz="6" w:space="0" w:color="000000"/>
            </w:tcBorders>
            <w:tcMar>
              <w:top w:w="40" w:type="dxa"/>
              <w:left w:w="40" w:type="dxa"/>
              <w:bottom w:w="40" w:type="dxa"/>
              <w:right w:w="40" w:type="dxa"/>
            </w:tcMar>
            <w:vAlign w:val="bottom"/>
          </w:tcPr>
          <w:p w:rsidR="006E2093" w14:paraId="000000FE" w14:textId="77777777">
            <w:pPr>
              <w:widowControl w:val="0"/>
            </w:pPr>
            <w:r>
              <w:t>35 Kč</w:t>
            </w:r>
          </w:p>
        </w:tc>
      </w:tr>
      <w:tr w14:paraId="777E0EC7" w14:textId="77777777">
        <w:tblPrEx>
          <w:tblW w:w="9570" w:type="dxa"/>
          <w:tblInd w:w="0" w:type="dxa"/>
          <w:tblLayout w:type="fixed"/>
          <w:tblLook w:val="0600"/>
        </w:tblPrEx>
        <w:tc>
          <w:tcPr>
            <w:tcW w:w="6075" w:type="dxa"/>
            <w:tcBorders>
              <w:top w:val="single" w:sz="8" w:space="0" w:color="000000"/>
              <w:left w:val="single" w:sz="6" w:space="0" w:color="000000"/>
              <w:bottom w:val="single" w:sz="8" w:space="0" w:color="000000"/>
              <w:right w:val="single" w:sz="6" w:space="0" w:color="000000"/>
            </w:tcBorders>
            <w:shd w:val="clear" w:color="auto" w:fill="FFFFFF"/>
            <w:tcMar>
              <w:top w:w="40" w:type="dxa"/>
              <w:left w:w="40" w:type="dxa"/>
              <w:bottom w:w="40" w:type="dxa"/>
              <w:right w:w="40" w:type="dxa"/>
            </w:tcMar>
            <w:vAlign w:val="bottom"/>
          </w:tcPr>
          <w:p w:rsidR="006E2093" w14:paraId="000000FF" w14:textId="77777777">
            <w:pPr>
              <w:widowControl w:val="0"/>
            </w:pPr>
            <w:r>
              <w:t>1001 a více dotazů do exekučního rejstříku</w:t>
            </w:r>
          </w:p>
        </w:tc>
        <w:tc>
          <w:tcPr>
            <w:tcW w:w="3495" w:type="dxa"/>
            <w:tcBorders>
              <w:top w:val="single" w:sz="8" w:space="0" w:color="000000"/>
              <w:left w:val="single" w:sz="6" w:space="0" w:color="000000"/>
              <w:bottom w:val="single" w:sz="8" w:space="0" w:color="000000"/>
              <w:right w:val="single" w:sz="6" w:space="0" w:color="000000"/>
            </w:tcBorders>
            <w:tcMar>
              <w:top w:w="40" w:type="dxa"/>
              <w:left w:w="40" w:type="dxa"/>
              <w:bottom w:w="40" w:type="dxa"/>
              <w:right w:w="40" w:type="dxa"/>
            </w:tcMar>
            <w:vAlign w:val="bottom"/>
          </w:tcPr>
          <w:p w:rsidR="006E2093" w14:paraId="00000100" w14:textId="77777777">
            <w:pPr>
              <w:widowControl w:val="0"/>
            </w:pPr>
            <w:r>
              <w:t>30 Kč</w:t>
            </w:r>
          </w:p>
        </w:tc>
      </w:tr>
      <w:tr w14:paraId="3A09E25A" w14:textId="77777777">
        <w:tblPrEx>
          <w:tblW w:w="9570" w:type="dxa"/>
          <w:tblInd w:w="0" w:type="dxa"/>
          <w:tblLayout w:type="fixed"/>
          <w:tblLook w:val="0600"/>
        </w:tblPrEx>
        <w:tc>
          <w:tcPr>
            <w:tcW w:w="9570" w:type="dxa"/>
            <w:gridSpan w:val="2"/>
            <w:tcBorders>
              <w:top w:val="single" w:sz="8"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6E2093" w14:paraId="00000101" w14:textId="77777777">
            <w:pPr>
              <w:widowControl w:val="0"/>
              <w:spacing w:line="240" w:lineRule="auto"/>
              <w:rPr>
                <w:sz w:val="20"/>
                <w:szCs w:val="20"/>
              </w:rPr>
            </w:pPr>
            <w:r>
              <w:rPr>
                <w:sz w:val="20"/>
                <w:szCs w:val="20"/>
                <w:highlight w:val="white"/>
              </w:rPr>
              <w:t>NEMO Report si vyhrazuje právo ceník kdykoliv aktualizovat, zejména podle vývoje na trhu, vlivu inflace, nákladů na zdrojová data a provozní náklady, pokud není domluveno jinak. Pokud tak nastane, bude o tom klienta s předstihem informovat nebo bude řešeno formou dodatku ke smlouvě. Minimální doba platnosti podmínek po dobu 1 roku</w:t>
            </w:r>
          </w:p>
        </w:tc>
      </w:tr>
    </w:tbl>
    <w:p w:rsidR="006E2093" w14:paraId="00000103" w14:textId="77777777">
      <w:pPr>
        <w:tabs>
          <w:tab w:val="left" w:pos="567"/>
        </w:tabs>
      </w:pPr>
    </w:p>
    <w:p w:rsidR="006E2093" w14:paraId="00000104" w14:textId="77777777">
      <w:pPr>
        <w:tabs>
          <w:tab w:val="left" w:pos="567"/>
        </w:tabs>
        <w:jc w:val="center"/>
        <w:rPr>
          <w:b/>
          <w:sz w:val="28"/>
          <w:szCs w:val="28"/>
        </w:rPr>
      </w:pPr>
      <w:r>
        <w:br w:type="page"/>
      </w:r>
    </w:p>
    <w:p w:rsidR="006E2093" w14:paraId="00000105" w14:textId="77777777">
      <w:pPr>
        <w:tabs>
          <w:tab w:val="left" w:pos="567"/>
        </w:tabs>
        <w:jc w:val="center"/>
        <w:rPr>
          <w:b/>
          <w:sz w:val="28"/>
          <w:szCs w:val="28"/>
        </w:rPr>
      </w:pPr>
      <w:r>
        <w:rPr>
          <w:b/>
          <w:sz w:val="28"/>
          <w:szCs w:val="28"/>
        </w:rPr>
        <w:t>Příloha 3</w:t>
      </w:r>
    </w:p>
    <w:p w:rsidR="006E2093" w14:paraId="00000106" w14:textId="77777777">
      <w:pPr>
        <w:tabs>
          <w:tab w:val="left" w:pos="567"/>
        </w:tabs>
        <w:jc w:val="center"/>
        <w:rPr>
          <w:b/>
          <w:sz w:val="28"/>
          <w:szCs w:val="28"/>
        </w:rPr>
      </w:pPr>
    </w:p>
    <w:p w:rsidR="006E2093" w14:paraId="00000107" w14:textId="77777777">
      <w:pPr>
        <w:tabs>
          <w:tab w:val="left" w:pos="567"/>
        </w:tabs>
        <w:jc w:val="center"/>
      </w:pPr>
      <w:r>
        <w:t>Obecná Technická dokumentace pro API propojení</w:t>
      </w:r>
    </w:p>
    <w:p w:rsidR="006E2093" w14:paraId="00000108" w14:textId="77777777">
      <w:pPr>
        <w:tabs>
          <w:tab w:val="left" w:pos="567"/>
        </w:tabs>
        <w:jc w:val="center"/>
      </w:pPr>
    </w:p>
    <w:sectPr>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5512D3CD-1FD0-4877-8313-FDA7F25E0C97}"/>
    <w:embedBold r:id="rId2" w:fontKey="{5C2AC58D-D483-48CD-96E7-FFD5DB840DF4}"/>
  </w:font>
  <w:font w:name="Arial">
    <w:panose1 w:val="020B0604020202020204"/>
    <w:charset w:val="EE"/>
    <w:family w:val="swiss"/>
    <w:pitch w:val="variable"/>
    <w:sig w:usb0="E0002EFF" w:usb1="C000785B" w:usb2="00000009" w:usb3="00000000" w:csb0="000001FF" w:csb1="00000000"/>
  </w:font>
  <w:font w:name="DejaVu Sans">
    <w:altName w:val="Verdana"/>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embedRegular r:id="rId3" w:fontKey="{D97DA7F2-26FE-4104-9FBF-72201935F09D}"/>
  </w:font>
  <w:font w:name="Cambria">
    <w:panose1 w:val="02040503050406030204"/>
    <w:charset w:val="EE"/>
    <w:family w:val="roman"/>
    <w:pitch w:val="variable"/>
    <w:sig w:usb0="E00006FF" w:usb1="420024FF" w:usb2="02000000" w:usb3="00000000" w:csb0="0000019F" w:csb1="00000000"/>
    <w:embedRegular r:id="rId4" w:fontKey="{8FC03587-6C53-4EF5-9126-A17EFEDF83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587E5A"/>
    <w:multiLevelType w:val="multilevel"/>
    <w:tmpl w:val="53E27A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A1C0C39"/>
    <w:multiLevelType w:val="multilevel"/>
    <w:tmpl w:val="3118B2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00C410F"/>
    <w:multiLevelType w:val="multilevel"/>
    <w:tmpl w:val="418018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1406C42"/>
    <w:multiLevelType w:val="multilevel"/>
    <w:tmpl w:val="BDF608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C79470E"/>
    <w:multiLevelType w:val="multilevel"/>
    <w:tmpl w:val="702A74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3584546F"/>
    <w:multiLevelType w:val="multilevel"/>
    <w:tmpl w:val="DC880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396922EA"/>
    <w:multiLevelType w:val="multilevel"/>
    <w:tmpl w:val="2716C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A4824E3"/>
    <w:multiLevelType w:val="multilevel"/>
    <w:tmpl w:val="B846FE4A"/>
    <w:lvl w:ilvl="0">
      <w:start w:val="1"/>
      <w:numFmt w:val="decimal"/>
      <w:lvlText w:val="%1."/>
      <w:lvlJc w:val="left"/>
      <w:pPr>
        <w:ind w:left="644" w:hanging="35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B2A6A0C"/>
    <w:multiLevelType w:val="multilevel"/>
    <w:tmpl w:val="47D4DCDC"/>
    <w:lvl w:ilvl="0">
      <w:start w:val="1"/>
      <w:numFmt w:val="decimal"/>
      <w:lvlText w:val="%1."/>
      <w:lvlJc w:val="left"/>
      <w:pPr>
        <w:ind w:left="720" w:hanging="360"/>
      </w:pPr>
      <w:rPr>
        <w:rFonts w:ascii="Tahoma" w:eastAsia="Tahoma" w:hAnsi="Tahoma" w:cs="Tahoma"/>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EA0397E"/>
    <w:multiLevelType w:val="multilevel"/>
    <w:tmpl w:val="D1B0D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448B599F"/>
    <w:multiLevelType w:val="multilevel"/>
    <w:tmpl w:val="DFF68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542674E9"/>
    <w:multiLevelType w:val="multilevel"/>
    <w:tmpl w:val="9EEA0B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566D5026"/>
    <w:multiLevelType w:val="multilevel"/>
    <w:tmpl w:val="FD3480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637426A4"/>
    <w:multiLevelType w:val="multilevel"/>
    <w:tmpl w:val="19483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7702474E"/>
    <w:multiLevelType w:val="multilevel"/>
    <w:tmpl w:val="5C7C7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7E322875"/>
    <w:multiLevelType w:val="multilevel"/>
    <w:tmpl w:val="8AB6EE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4"/>
  </w:num>
  <w:num w:numId="3">
    <w:abstractNumId w:val="10"/>
  </w:num>
  <w:num w:numId="4">
    <w:abstractNumId w:val="9"/>
  </w:num>
  <w:num w:numId="5">
    <w:abstractNumId w:val="8"/>
  </w:num>
  <w:num w:numId="6">
    <w:abstractNumId w:val="2"/>
  </w:num>
  <w:num w:numId="7">
    <w:abstractNumId w:val="15"/>
  </w:num>
  <w:num w:numId="8">
    <w:abstractNumId w:val="1"/>
  </w:num>
  <w:num w:numId="9">
    <w:abstractNumId w:val="6"/>
  </w:num>
  <w:num w:numId="10">
    <w:abstractNumId w:val="14"/>
  </w:num>
  <w:num w:numId="11">
    <w:abstractNumId w:val="0"/>
  </w:num>
  <w:num w:numId="12">
    <w:abstractNumId w:val="5"/>
  </w:num>
  <w:num w:numId="13">
    <w:abstractNumId w:val="3"/>
  </w:num>
  <w:num w:numId="14">
    <w:abstractNumId w:val="11"/>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093"/>
    <w:rsid w:val="00107FDC"/>
    <w:rsid w:val="003D5777"/>
    <w:rsid w:val="00404009"/>
    <w:rsid w:val="00494FD2"/>
    <w:rsid w:val="004C095F"/>
    <w:rsid w:val="0058666A"/>
    <w:rsid w:val="00634BB2"/>
    <w:rsid w:val="006E2093"/>
    <w:rsid w:val="00796771"/>
    <w:rsid w:val="00A75123"/>
    <w:rsid w:val="00B81657"/>
    <w:rsid w:val="00BE017C"/>
    <w:rsid w:val="00D418A2"/>
  </w:rsids>
  <m:mathPr>
    <m:mathFont m:val="Cambria Math"/>
  </m:mathPr>
  <w:themeFontLang w:val="cs-CZ"/>
  <w:clrSchemeMapping w:bg1="light1" w:t1="dark1" w:bg2="light2" w:t2="dark2" w:accent1="accent1" w:accent2="accent2" w:accent3="accent3" w:accent4="accent4" w:accent5="accent5" w:accent6="accent6" w:hyperlink="hyperlink" w:followedHyperlink="followedHyperlink"/>
  <w15:docId w15:val="{66CE2C61-B8D5-44B8-95DE-71FA59506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 Normal_1"/>
    <w:tblPr>
      <w:tblCellMar>
        <w:top w:w="0" w:type="dxa"/>
        <w:left w:w="0" w:type="dxa"/>
        <w:bottom w:w="0" w:type="dxa"/>
        <w:right w:w="0" w:type="dxa"/>
      </w:tblCellMar>
    </w:tblPr>
  </w:style>
  <w:style w:type="table" w:customStyle="1" w:styleId="TableNormal2">
    <w:name w:val="Table Normal_2"/>
    <w:tblPr>
      <w:tblCellMar>
        <w:top w:w="0" w:type="dxa"/>
        <w:left w:w="0" w:type="dxa"/>
        <w:bottom w:w="0" w:type="dxa"/>
        <w:right w:w="0" w:type="dxa"/>
      </w:tblCellMar>
    </w:tblPr>
  </w:style>
  <w:style w:type="table" w:customStyle="1" w:styleId="TableNormal3">
    <w:name w:val="Table Normal_3"/>
    <w:tblPr>
      <w:tblCellMar>
        <w:top w:w="0" w:type="dxa"/>
        <w:left w:w="0" w:type="dxa"/>
        <w:bottom w:w="0" w:type="dxa"/>
        <w:right w:w="0" w:type="dxa"/>
      </w:tblCellMar>
    </w:tblPr>
  </w:style>
  <w:style w:type="table" w:customStyle="1" w:styleId="TableNormal4">
    <w:name w:val="Table Normal_4"/>
    <w:tblPr>
      <w:tblCellMar>
        <w:top w:w="0" w:type="dxa"/>
        <w:left w:w="0" w:type="dxa"/>
        <w:bottom w:w="0" w:type="dxa"/>
        <w:right w:w="0" w:type="dxa"/>
      </w:tblCellMar>
    </w:tblPr>
  </w:style>
  <w:style w:type="table" w:customStyle="1" w:styleId="TableNormal5">
    <w:name w:val="Table Normal_5"/>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5"/>
    <w:tblPr>
      <w:tblStyleRowBandSize w:val="1"/>
      <w:tblStyleColBandSize w:val="1"/>
      <w:tblCellMar>
        <w:top w:w="100" w:type="dxa"/>
        <w:left w:w="100" w:type="dxa"/>
        <w:bottom w:w="100" w:type="dxa"/>
        <w:right w:w="100" w:type="dxa"/>
      </w:tblCellMar>
    </w:tblPr>
  </w:style>
  <w:style w:type="table" w:customStyle="1" w:styleId="a0">
    <w:name w:val="a0"/>
    <w:basedOn w:val="TableNormal5"/>
    <w:tblPr>
      <w:tblStyleRowBandSize w:val="1"/>
      <w:tblStyleColBandSize w:val="1"/>
      <w:tblCellMar>
        <w:top w:w="100" w:type="dxa"/>
        <w:left w:w="100" w:type="dxa"/>
        <w:bottom w:w="100" w:type="dxa"/>
        <w:right w:w="100" w:type="dxa"/>
      </w:tblCellMar>
    </w:tblPr>
  </w:style>
  <w:style w:type="table" w:customStyle="1" w:styleId="a1">
    <w:name w:val="a1"/>
    <w:basedOn w:val="TableNormal5"/>
    <w:tblPr>
      <w:tblStyleRowBandSize w:val="1"/>
      <w:tblStyleColBandSize w:val="1"/>
      <w:tblCellMar>
        <w:top w:w="100" w:type="dxa"/>
        <w:left w:w="100" w:type="dxa"/>
        <w:bottom w:w="100" w:type="dxa"/>
        <w:right w:w="100" w:type="dxa"/>
      </w:tblCellMar>
    </w:tblPr>
  </w:style>
  <w:style w:type="table" w:customStyle="1" w:styleId="a2">
    <w:name w:val="a2"/>
    <w:basedOn w:val="TableNormal5"/>
    <w:tblPr>
      <w:tblStyleRowBandSize w:val="1"/>
      <w:tblStyleColBandSize w:val="1"/>
      <w:tblCellMar>
        <w:top w:w="100" w:type="dxa"/>
        <w:left w:w="100" w:type="dxa"/>
        <w:bottom w:w="100" w:type="dxa"/>
        <w:right w:w="100" w:type="dxa"/>
      </w:tblCellMar>
    </w:tblPr>
  </w:style>
  <w:style w:type="table" w:customStyle="1" w:styleId="a3">
    <w:name w:val="a3"/>
    <w:basedOn w:val="TableNormal5"/>
    <w:tblPr>
      <w:tblStyleRowBandSize w:val="1"/>
      <w:tblStyleColBandSize w:val="1"/>
      <w:tblCellMar>
        <w:top w:w="100" w:type="dxa"/>
        <w:left w:w="100" w:type="dxa"/>
        <w:bottom w:w="100" w:type="dxa"/>
        <w:right w:w="100" w:type="dxa"/>
      </w:tblCellMar>
    </w:tblPr>
  </w:style>
  <w:style w:type="table" w:customStyle="1" w:styleId="a4">
    <w:name w:val="a4"/>
    <w:basedOn w:val="TableNormal5"/>
    <w:tblPr>
      <w:tblStyleRowBandSize w:val="1"/>
      <w:tblStyleColBandSize w:val="1"/>
      <w:tblCellMar>
        <w:top w:w="100" w:type="dxa"/>
        <w:left w:w="100" w:type="dxa"/>
        <w:bottom w:w="100" w:type="dxa"/>
        <w:right w:w="100" w:type="dxa"/>
      </w:tblCellMar>
    </w:tblPr>
  </w:style>
  <w:style w:type="table" w:customStyle="1" w:styleId="a5">
    <w:name w:val="a5"/>
    <w:basedOn w:val="TableNormal5"/>
    <w:tblPr>
      <w:tblStyleRowBandSize w:val="1"/>
      <w:tblStyleColBandSize w:val="1"/>
      <w:tblCellMar>
        <w:top w:w="100" w:type="dxa"/>
        <w:left w:w="100" w:type="dxa"/>
        <w:bottom w:w="100" w:type="dxa"/>
        <w:right w:w="100" w:type="dxa"/>
      </w:tblCellMar>
    </w:tblPr>
  </w:style>
  <w:style w:type="table" w:customStyle="1" w:styleId="a6">
    <w:name w:val="a6"/>
    <w:basedOn w:val="TableNormal5"/>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unhideWhenUsed/>
    <w:rsid w:val="00BB0CB5"/>
    <w:rPr>
      <w:sz w:val="16"/>
      <w:szCs w:val="16"/>
    </w:rPr>
  </w:style>
  <w:style w:type="paragraph" w:styleId="CommentText">
    <w:name w:val="annotation text"/>
    <w:basedOn w:val="Normal"/>
    <w:link w:val="TextkomenteChar"/>
    <w:uiPriority w:val="99"/>
    <w:unhideWhenUsed/>
    <w:rsid w:val="00BB0CB5"/>
    <w:pPr>
      <w:spacing w:line="240" w:lineRule="auto"/>
    </w:pPr>
    <w:rPr>
      <w:sz w:val="20"/>
      <w:szCs w:val="20"/>
    </w:rPr>
  </w:style>
  <w:style w:type="character" w:customStyle="1" w:styleId="TextkomenteChar">
    <w:name w:val="Text komentáře Char"/>
    <w:basedOn w:val="DefaultParagraphFont"/>
    <w:link w:val="CommentText"/>
    <w:uiPriority w:val="99"/>
    <w:rsid w:val="00BB0CB5"/>
    <w:rPr>
      <w:sz w:val="20"/>
      <w:szCs w:val="20"/>
    </w:rPr>
  </w:style>
  <w:style w:type="paragraph" w:styleId="CommentSubject">
    <w:name w:val="annotation subject"/>
    <w:basedOn w:val="CommentText"/>
    <w:next w:val="CommentText"/>
    <w:link w:val="PedmtkomenteChar"/>
    <w:uiPriority w:val="99"/>
    <w:semiHidden/>
    <w:unhideWhenUsed/>
    <w:rsid w:val="00BB0CB5"/>
    <w:rPr>
      <w:b/>
      <w:bCs/>
    </w:rPr>
  </w:style>
  <w:style w:type="character" w:customStyle="1" w:styleId="PedmtkomenteChar">
    <w:name w:val="Předmět komentáře Char"/>
    <w:basedOn w:val="TextkomenteChar"/>
    <w:link w:val="CommentSubject"/>
    <w:uiPriority w:val="99"/>
    <w:semiHidden/>
    <w:rsid w:val="00BB0CB5"/>
    <w:rPr>
      <w:b/>
      <w:bCs/>
      <w:sz w:val="20"/>
      <w:szCs w:val="20"/>
    </w:rPr>
  </w:style>
  <w:style w:type="paragraph" w:styleId="Revision">
    <w:name w:val="Revision"/>
    <w:hidden/>
    <w:uiPriority w:val="99"/>
    <w:semiHidden/>
    <w:rsid w:val="006B4FF6"/>
    <w:pPr>
      <w:spacing w:line="240" w:lineRule="auto"/>
    </w:pPr>
  </w:style>
  <w:style w:type="character" w:styleId="Hyperlink">
    <w:name w:val="Hyperlink"/>
    <w:basedOn w:val="DefaultParagraphFont"/>
    <w:uiPriority w:val="99"/>
    <w:unhideWhenUsed/>
    <w:rsid w:val="008A2F3D"/>
    <w:rPr>
      <w:color w:val="0000FF" w:themeColor="hyperlink"/>
      <w:u w:val="single"/>
    </w:rPr>
  </w:style>
  <w:style w:type="character" w:customStyle="1" w:styleId="UnresolvedMention">
    <w:name w:val="Unresolved Mention"/>
    <w:basedOn w:val="DefaultParagraphFont"/>
    <w:uiPriority w:val="99"/>
    <w:semiHidden/>
    <w:unhideWhenUsed/>
    <w:rsid w:val="008A2F3D"/>
    <w:rPr>
      <w:color w:val="605E5C"/>
      <w:shd w:val="clear" w:color="auto" w:fill="E1DFDD"/>
    </w:rPr>
  </w:style>
  <w:style w:type="table" w:customStyle="1" w:styleId="a7">
    <w:name w:val="a7"/>
    <w:basedOn w:val="TableNormal5"/>
    <w:tblPr>
      <w:tblStyleRowBandSize w:val="1"/>
      <w:tblStyleColBandSize w:val="1"/>
      <w:tblCellMar>
        <w:top w:w="100" w:type="dxa"/>
        <w:left w:w="100" w:type="dxa"/>
        <w:bottom w:w="100" w:type="dxa"/>
        <w:right w:w="100" w:type="dxa"/>
      </w:tblCellMar>
    </w:tblPr>
  </w:style>
  <w:style w:type="table" w:customStyle="1" w:styleId="a8">
    <w:name w:val="a8"/>
    <w:basedOn w:val="TableNormal5"/>
    <w:tblPr>
      <w:tblStyleRowBandSize w:val="1"/>
      <w:tblStyleColBandSize w:val="1"/>
      <w:tblCellMar>
        <w:top w:w="100" w:type="dxa"/>
        <w:left w:w="100" w:type="dxa"/>
        <w:bottom w:w="100" w:type="dxa"/>
        <w:right w:w="100" w:type="dxa"/>
      </w:tblCellMar>
    </w:tblPr>
  </w:style>
  <w:style w:type="table" w:customStyle="1" w:styleId="a9">
    <w:name w:val="a9"/>
    <w:basedOn w:val="TableNormal4"/>
    <w:tblPr>
      <w:tblStyleRowBandSize w:val="1"/>
      <w:tblStyleColBandSize w:val="1"/>
      <w:tblCellMar>
        <w:top w:w="100" w:type="dxa"/>
        <w:left w:w="100" w:type="dxa"/>
        <w:bottom w:w="100" w:type="dxa"/>
        <w:right w:w="100" w:type="dxa"/>
      </w:tblCellMar>
    </w:tblPr>
  </w:style>
  <w:style w:type="table" w:customStyle="1" w:styleId="aa">
    <w:name w:val="aa"/>
    <w:basedOn w:val="TableNormal4"/>
    <w:tblPr>
      <w:tblStyleRowBandSize w:val="1"/>
      <w:tblStyleColBandSize w:val="1"/>
      <w:tblCellMar>
        <w:top w:w="100" w:type="dxa"/>
        <w:left w:w="100" w:type="dxa"/>
        <w:bottom w:w="100" w:type="dxa"/>
        <w:right w:w="100" w:type="dxa"/>
      </w:tblCellMar>
    </w:tblPr>
  </w:style>
  <w:style w:type="table" w:customStyle="1" w:styleId="ab">
    <w:name w:val="ab"/>
    <w:basedOn w:val="TableNormal4"/>
    <w:tblPr>
      <w:tblStyleRowBandSize w:val="1"/>
      <w:tblStyleColBandSize w:val="1"/>
      <w:tblCellMar>
        <w:top w:w="100" w:type="dxa"/>
        <w:left w:w="100" w:type="dxa"/>
        <w:bottom w:w="100" w:type="dxa"/>
        <w:right w:w="100" w:type="dxa"/>
      </w:tblCellMar>
    </w:tblPr>
  </w:style>
  <w:style w:type="table" w:customStyle="1" w:styleId="ac">
    <w:name w:val="ac"/>
    <w:basedOn w:val="TableNormal3"/>
    <w:tblPr>
      <w:tblStyleRowBandSize w:val="1"/>
      <w:tblStyleColBandSize w:val="1"/>
      <w:tblCellMar>
        <w:top w:w="100" w:type="dxa"/>
        <w:left w:w="100" w:type="dxa"/>
        <w:bottom w:w="100" w:type="dxa"/>
        <w:right w:w="100" w:type="dxa"/>
      </w:tblCellMar>
    </w:tblPr>
  </w:style>
  <w:style w:type="table" w:customStyle="1" w:styleId="ad">
    <w:name w:val="ad"/>
    <w:basedOn w:val="TableNormal3"/>
    <w:tblPr>
      <w:tblStyleRowBandSize w:val="1"/>
      <w:tblStyleColBandSize w:val="1"/>
      <w:tblCellMar>
        <w:top w:w="100" w:type="dxa"/>
        <w:left w:w="100" w:type="dxa"/>
        <w:bottom w:w="100" w:type="dxa"/>
        <w:right w:w="100" w:type="dxa"/>
      </w:tblCellMar>
    </w:tblPr>
  </w:style>
  <w:style w:type="table" w:customStyle="1" w:styleId="ae">
    <w:name w:val="ae"/>
    <w:basedOn w:val="TableNormal3"/>
    <w:tblPr>
      <w:tblStyleRowBandSize w:val="1"/>
      <w:tblStyleColBandSize w:val="1"/>
      <w:tblCellMar>
        <w:top w:w="100" w:type="dxa"/>
        <w:left w:w="100" w:type="dxa"/>
        <w:bottom w:w="100" w:type="dxa"/>
        <w:right w:w="100" w:type="dxa"/>
      </w:tblCellMar>
    </w:tblPr>
  </w:style>
  <w:style w:type="paragraph" w:customStyle="1" w:styleId="Tlotextu">
    <w:name w:val="Tělo textu"/>
    <w:basedOn w:val="Normal"/>
    <w:qFormat/>
    <w:rsid w:val="0074220B"/>
    <w:pPr>
      <w:widowControl w:val="0"/>
      <w:suppressAutoHyphens/>
      <w:spacing w:after="57" w:line="240" w:lineRule="auto"/>
      <w:jc w:val="both"/>
    </w:pPr>
    <w:rPr>
      <w:rFonts w:ascii="Times New Roman" w:eastAsia="DejaVu Sans" w:hAnsi="Times New Roman" w:cs="DejaVu Sans"/>
      <w:color w:val="00000A"/>
      <w:sz w:val="24"/>
      <w:szCs w:val="24"/>
      <w:lang w:val="cs-CZ" w:eastAsia="zh-CN" w:bidi="hi-IN"/>
    </w:rPr>
  </w:style>
  <w:style w:type="character" w:customStyle="1" w:styleId="normaltextrun">
    <w:name w:val="normaltextrun"/>
    <w:basedOn w:val="DefaultParagraphFont"/>
    <w:rsid w:val="0074220B"/>
  </w:style>
  <w:style w:type="paragraph" w:styleId="ListParagraph">
    <w:name w:val="List Paragraph"/>
    <w:basedOn w:val="Normal"/>
    <w:uiPriority w:val="34"/>
    <w:qFormat/>
    <w:rsid w:val="00962621"/>
    <w:pPr>
      <w:ind w:left="720"/>
      <w:contextualSpacing/>
    </w:pPr>
  </w:style>
  <w:style w:type="paragraph" w:customStyle="1" w:styleId="Default">
    <w:name w:val="Default"/>
    <w:rsid w:val="00641DF1"/>
    <w:pPr>
      <w:autoSpaceDE w:val="0"/>
      <w:autoSpaceDN w:val="0"/>
      <w:adjustRightInd w:val="0"/>
      <w:spacing w:line="240" w:lineRule="auto"/>
    </w:pPr>
    <w:rPr>
      <w:color w:val="000000"/>
      <w:sz w:val="24"/>
      <w:szCs w:val="24"/>
      <w:lang w:val="cs-CZ"/>
    </w:rPr>
  </w:style>
  <w:style w:type="paragraph" w:styleId="BodyText">
    <w:name w:val="Body Text"/>
    <w:basedOn w:val="Normal"/>
    <w:link w:val="ZkladntextChar"/>
    <w:uiPriority w:val="1"/>
    <w:qFormat/>
    <w:rsid w:val="008E622B"/>
    <w:pPr>
      <w:widowControl w:val="0"/>
      <w:spacing w:line="240" w:lineRule="auto"/>
      <w:ind w:left="476" w:hanging="360"/>
    </w:pPr>
    <w:rPr>
      <w:rFonts w:ascii="Calibri" w:eastAsia="Calibri" w:hAnsi="Calibri" w:cstheme="minorBidi"/>
      <w:lang w:val="en-US" w:eastAsia="en-US"/>
    </w:rPr>
  </w:style>
  <w:style w:type="character" w:customStyle="1" w:styleId="ZkladntextChar">
    <w:name w:val="Základní text Char"/>
    <w:basedOn w:val="DefaultParagraphFont"/>
    <w:link w:val="BodyText"/>
    <w:uiPriority w:val="1"/>
    <w:rsid w:val="008E622B"/>
    <w:rPr>
      <w:rFonts w:ascii="Calibri" w:eastAsia="Calibri" w:hAnsi="Calibri" w:cstheme="minorBidi"/>
      <w:lang w:val="en-US" w:eastAsia="en-US"/>
    </w:rPr>
  </w:style>
  <w:style w:type="table" w:customStyle="1" w:styleId="af">
    <w:name w:val="af"/>
    <w:basedOn w:val="TableNormal2"/>
    <w:tblPr>
      <w:tblStyleRowBandSize w:val="1"/>
      <w:tblStyleColBandSize w:val="1"/>
      <w:tblCellMar>
        <w:top w:w="100" w:type="dxa"/>
        <w:left w:w="100" w:type="dxa"/>
        <w:bottom w:w="100" w:type="dxa"/>
        <w:right w:w="100" w:type="dxa"/>
      </w:tblCellMar>
    </w:tblPr>
  </w:style>
  <w:style w:type="table" w:customStyle="1" w:styleId="af0">
    <w:name w:val="af0"/>
    <w:basedOn w:val="TableNormal2"/>
    <w:tblPr>
      <w:tblStyleRowBandSize w:val="1"/>
      <w:tblStyleColBandSize w:val="1"/>
      <w:tblCellMar>
        <w:top w:w="100" w:type="dxa"/>
        <w:left w:w="100" w:type="dxa"/>
        <w:bottom w:w="100" w:type="dxa"/>
        <w:right w:w="100" w:type="dxa"/>
      </w:tblCellMar>
    </w:tblPr>
  </w:style>
  <w:style w:type="table" w:customStyle="1" w:styleId="af1">
    <w:name w:val="af1"/>
    <w:basedOn w:val="TableNormal1"/>
    <w:tblPr>
      <w:tblStyleRowBandSize w:val="1"/>
      <w:tblStyleColBandSize w:val="1"/>
      <w:tblCellMar>
        <w:top w:w="100" w:type="dxa"/>
        <w:left w:w="100" w:type="dxa"/>
        <w:bottom w:w="100" w:type="dxa"/>
        <w:right w:w="100" w:type="dxa"/>
      </w:tblCellMar>
    </w:tblPr>
  </w:style>
  <w:style w:type="table" w:customStyle="1" w:styleId="af2">
    <w:name w:val="af2"/>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ypDbW7/AbxM65Mmx6SFOKNaeBA==">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3082</Words>
  <Characters>18190</Characters>
  <Application>Microsoft Office Word</Application>
  <DocSecurity>0</DocSecurity>
  <Lines>151</Lines>
  <Paragraphs>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Osmančíková Eliška</dc:creator>
  <cp:lastModifiedBy>Vondrys Jakub</cp:lastModifiedBy>
  <cp:revision>9</cp:revision>
  <cp:lastPrinted>2025-02-28T14:34:00Z</cp:lastPrinted>
  <dcterms:created xsi:type="dcterms:W3CDTF">2025-02-19T15:06:00Z</dcterms:created>
  <dcterms:modified xsi:type="dcterms:W3CDTF">2025-03-12T10:43:00Z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459/25/SEP-SFPI</vt:lpwstr>
  </property>
  <property fmtid="{D5CDD505-2E9C-101B-9397-08002B2CF9AE}" pid="5" name="CJ_PostaDoruc_PisemnostOdpovedNa_Pisemnost">
    <vt:lpwstr>XXX-XXX-XXX</vt:lpwstr>
  </property>
  <property fmtid="{D5CDD505-2E9C-101B-9397-08002B2CF9AE}" pid="6" name="CJ_Spis_Pisemnost">
    <vt:lpwstr>26/25/SEP-SFPI</vt:lpwstr>
  </property>
  <property fmtid="{D5CDD505-2E9C-101B-9397-08002B2CF9AE}" pid="7" name="Contact_PostaOdes">
    <vt:lpwstr>{NameAddress_Contact_PostaOdes}
{FullAddress_Contact_PostaOdes}</vt:lpwstr>
  </property>
  <property fmtid="{D5CDD505-2E9C-101B-9397-08002B2CF9AE}" pid="8" name="Contact_PostaOdes_All">
    <vt:lpwstr>ROZDĚLOVNÍK...</vt:lpwstr>
  </property>
  <property fmtid="{D5CDD505-2E9C-101B-9397-08002B2CF9AE}" pid="9" name="DatumNaroz">
    <vt:lpwstr/>
  </property>
  <property fmtid="{D5CDD505-2E9C-101B-9397-08002B2CF9AE}" pid="10" name="DatumPlatnosti_PisemnostTypZpristupneniInformaciZOSZ_Pisemnost">
    <vt:lpwstr>ZOSZ_DatumPlatnosti</vt:lpwstr>
  </property>
  <property fmtid="{D5CDD505-2E9C-101B-9397-08002B2CF9AE}" pid="11" name="DatumPoriz_Pisemnost">
    <vt:lpwstr>12.3.2025</vt:lpwstr>
  </property>
  <property fmtid="{D5CDD505-2E9C-101B-9397-08002B2CF9AE}" pid="12" name="DisplayName_CisloObalky_PostaOdes">
    <vt:lpwstr>ČÍSLO OBÁLKY</vt:lpwstr>
  </property>
  <property fmtid="{D5CDD505-2E9C-101B-9397-08002B2CF9AE}" pid="13" name="DisplayName_CJCol">
    <vt:lpwstr>&lt;TABLE&gt;&lt;TR&gt;&lt;TD&gt;Č.j.:&lt;/TD&gt;&lt;TD&gt;459/25/SEP-SFPI&lt;/TD&gt;&lt;/TR&gt;&lt;TR&gt;&lt;TD&gt;&lt;/TD&gt;&lt;TD&gt;&lt;/TD&gt;&lt;/TR&gt;&lt;/TABLE&gt;</vt:lpwstr>
  </property>
  <property fmtid="{D5CDD505-2E9C-101B-9397-08002B2CF9AE}" pid="14" name="DisplayName_SlozkaStupenUtajeniCollection_Slozka_Pisemnost">
    <vt:lpwstr/>
  </property>
  <property fmtid="{D5CDD505-2E9C-101B-9397-08002B2CF9AE}" pid="15" name="DisplayName_SpisovyUzel_PoziceZodpo_Pisemnost">
    <vt:lpwstr>Sekce provozní</vt:lpwstr>
  </property>
  <property fmtid="{D5CDD505-2E9C-101B-9397-08002B2CF9AE}" pid="16" name="DisplayName_UserPoriz_Pisemnost">
    <vt:lpwstr>Jakub Vondrys</vt:lpwstr>
  </property>
  <property fmtid="{D5CDD505-2E9C-101B-9397-08002B2CF9AE}" pid="17" name="DuvodZmeny_SlozkaStupenUtajeniCollection_Slozka_Pisemnost">
    <vt:lpwstr/>
  </property>
  <property fmtid="{D5CDD505-2E9C-101B-9397-08002B2CF9AE}" pid="18" name="EC_Pisemnost">
    <vt:lpwstr>16884/25-SFPI</vt:lpwstr>
  </property>
  <property fmtid="{D5CDD505-2E9C-101B-9397-08002B2CF9AE}" pid="19" name="Key_BarCode_Pisemnost">
    <vt:lpwstr>*B000802810*</vt:lpwstr>
  </property>
  <property fmtid="{D5CDD505-2E9C-101B-9397-08002B2CF9AE}" pid="20" name="Key_BarCode_PostaOdes">
    <vt:lpwstr>11101001011</vt:lpwstr>
  </property>
  <property fmtid="{D5CDD505-2E9C-101B-9397-08002B2CF9AE}" pid="21" name="KRukam">
    <vt:lpwstr>{KRukam}</vt:lpwstr>
  </property>
  <property fmtid="{D5CDD505-2E9C-101B-9397-08002B2CF9AE}" pid="22" name="NameAddress_Contact_SpisovyUzel_PoziceZodpo_Pisemnost">
    <vt:lpwstr>ADRESÁT SU...</vt:lpwstr>
  </property>
  <property fmtid="{D5CDD505-2E9C-101B-9397-08002B2CF9AE}" pid="23" name="NamePostalAddress_Contact_PostaOdes">
    <vt:lpwstr>{NameAddress_Contact_PostaOdes}
{PostalAddress_Contact_PostaOdes}</vt:lpwstr>
  </property>
  <property fmtid="{D5CDD505-2E9C-101B-9397-08002B2CF9AE}" pid="24" name="Odkaz">
    <vt:lpwstr>ODKAZ</vt:lpwstr>
  </property>
  <property fmtid="{D5CDD505-2E9C-101B-9397-08002B2CF9AE}" pid="25" name="Password_PisemnostTypZpristupneniInformaciZOSZ_Pisemnost">
    <vt:lpwstr>ZOSZ_Password</vt:lpwstr>
  </property>
  <property fmtid="{D5CDD505-2E9C-101B-9397-08002B2CF9AE}" pid="26" name="PocetListuDokumentu_Pisemnost">
    <vt:lpwstr>1</vt:lpwstr>
  </property>
  <property fmtid="{D5CDD505-2E9C-101B-9397-08002B2CF9AE}" pid="27" name="PocetListu_Pisemnost">
    <vt:lpwstr>1</vt:lpwstr>
  </property>
  <property fmtid="{D5CDD505-2E9C-101B-9397-08002B2CF9AE}" pid="28" name="PocetPriloh_Pisemnost">
    <vt:lpwstr>0</vt:lpwstr>
  </property>
  <property fmtid="{D5CDD505-2E9C-101B-9397-08002B2CF9AE}" pid="29" name="Podpis">
    <vt:lpwstr/>
  </property>
  <property fmtid="{D5CDD505-2E9C-101B-9397-08002B2CF9AE}" pid="30" name="PoleVlastnost">
    <vt:lpwstr/>
  </property>
  <property fmtid="{D5CDD505-2E9C-101B-9397-08002B2CF9AE}" pid="31" name="PostalAddress_Contact_SpisovyUzel_PoziceZodpo_Pisemnost">
    <vt:lpwstr>ADRESA SU...</vt:lpwstr>
  </property>
  <property fmtid="{D5CDD505-2E9C-101B-9397-08002B2CF9AE}" pid="32" name="QREC_Pisemnost">
    <vt:lpwstr>16884/25-SFPI</vt:lpwstr>
  </property>
  <property fmtid="{D5CDD505-2E9C-101B-9397-08002B2CF9AE}" pid="33" name="RC">
    <vt:lpwstr/>
  </property>
  <property fmtid="{D5CDD505-2E9C-101B-9397-08002B2CF9AE}" pid="34" name="SkartacniZnakLhuta_PisemnostZnak">
    <vt:lpwstr>S/1</vt:lpwstr>
  </property>
  <property fmtid="{D5CDD505-2E9C-101B-9397-08002B2CF9AE}" pid="35" name="SmlouvaCislo">
    <vt:lpwstr>ČÍSLO SMLOUVY</vt:lpwstr>
  </property>
  <property fmtid="{D5CDD505-2E9C-101B-9397-08002B2CF9AE}" pid="36" name="SZ_Spis_Pisemnost">
    <vt:lpwstr>35/25</vt:lpwstr>
  </property>
  <property fmtid="{D5CDD505-2E9C-101B-9397-08002B2CF9AE}" pid="37" name="TEST">
    <vt:lpwstr>testovací pole</vt:lpwstr>
  </property>
  <property fmtid="{D5CDD505-2E9C-101B-9397-08002B2CF9AE}" pid="38" name="TypPrilohy_Pisemnost">
    <vt:lpwstr>TYP PŘÍLOHY</vt:lpwstr>
  </property>
  <property fmtid="{D5CDD505-2E9C-101B-9397-08002B2CF9AE}" pid="39" name="UserName_PisemnostTypZpristupneniInformaciZOSZ_Pisemnost">
    <vt:lpwstr>ZOSZ_UserName</vt:lpwstr>
  </property>
  <property fmtid="{D5CDD505-2E9C-101B-9397-08002B2CF9AE}" pid="40" name="Vec_Pisemnost">
    <vt:lpwstr>Zveřejnění Smlouvy 5/25/IND - NEMO Reporting, povodňové mapy</vt:lpwstr>
  </property>
  <property fmtid="{D5CDD505-2E9C-101B-9397-08002B2CF9AE}" pid="41" name="Zkratka_SpisovyUzel_PoziceZodpo_Pisemnost">
    <vt:lpwstr>SEP</vt:lpwstr>
  </property>
</Properties>
</file>