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02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2"/>
        <w:gridCol w:w="4491"/>
        <w:gridCol w:w="6113"/>
        <w:gridCol w:w="1715"/>
      </w:tblGrid>
      <w:tr w:rsidR="00752B29" w:rsidRPr="00752B29" w:rsidTr="00982ABA">
        <w:trPr>
          <w:trHeight w:val="420"/>
        </w:trPr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752B29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Příloha k objednávce č. 28/K/2025/NTK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B29" w:rsidRPr="00752B29" w:rsidTr="00982ABA">
        <w:trPr>
          <w:trHeight w:val="375"/>
        </w:trPr>
        <w:tc>
          <w:tcPr>
            <w:tcW w:w="1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752B2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Kuba </w:t>
            </w:r>
            <w:proofErr w:type="spellStart"/>
            <w:r w:rsidRPr="00752B2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Libri</w:t>
            </w:r>
            <w:proofErr w:type="spellEnd"/>
            <w:r w:rsidRPr="00752B2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s.r.o., Ruská 972/94, 10000 Praha 10, IČ: 29149177 DIČ: CZ29149177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752B29" w:rsidRPr="00752B29" w:rsidTr="00982ABA">
        <w:trPr>
          <w:trHeight w:val="375"/>
        </w:trPr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752B2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B29" w:rsidRPr="00752B29" w:rsidTr="00982ABA">
        <w:trPr>
          <w:trHeight w:val="375"/>
        </w:trPr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752B2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xxxxxxxxxxxxxxxxxxxxxxxx</w:t>
            </w:r>
            <w:r w:rsidRPr="00752B2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B29" w:rsidRPr="00752B29" w:rsidTr="00982ABA">
        <w:trPr>
          <w:trHeight w:val="37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752B2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10. 03. 2025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B29" w:rsidRPr="00752B29" w:rsidTr="00982ABA">
        <w:trPr>
          <w:trHeight w:val="375"/>
        </w:trPr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752B2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B29" w:rsidRPr="00752B29" w:rsidTr="00982ABA">
        <w:trPr>
          <w:trHeight w:val="375"/>
        </w:trPr>
        <w:tc>
          <w:tcPr>
            <w:tcW w:w="14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752B2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752B2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752B2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29" w:rsidRPr="00752B29" w:rsidRDefault="00752B29" w:rsidP="0075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752B29" w:rsidRPr="00752B29" w:rsidTr="00982ABA">
        <w:trPr>
          <w:trHeight w:val="735"/>
        </w:trPr>
        <w:tc>
          <w:tcPr>
            <w:tcW w:w="16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B29" w:rsidRDefault="00752B29" w:rsidP="0075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752B2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Bank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ovní spojení: ČNB PRAHA, č.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</w:t>
            </w:r>
            <w:proofErr w:type="spellEnd"/>
            <w:r w:rsidRPr="00752B2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IČ: 61387142, DIČ: CZ61387142 Zřízená Zřizovací listinou</w:t>
            </w:r>
          </w:p>
          <w:p w:rsidR="00752B29" w:rsidRDefault="00752B29" w:rsidP="0075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752B2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STK se sídlem v Praze čj. 12170/91-3 MŠMT ze dne </w:t>
            </w:r>
            <w:proofErr w:type="gramStart"/>
            <w:r w:rsidRPr="00752B2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752B29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  <w:p w:rsidR="00752B29" w:rsidRDefault="00752B29" w:rsidP="0075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  <w:tbl>
            <w:tblPr>
              <w:tblW w:w="1655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2000"/>
              <w:gridCol w:w="2009"/>
              <w:gridCol w:w="1985"/>
              <w:gridCol w:w="1727"/>
              <w:gridCol w:w="708"/>
              <w:gridCol w:w="1257"/>
              <w:gridCol w:w="204"/>
              <w:gridCol w:w="698"/>
              <w:gridCol w:w="698"/>
              <w:gridCol w:w="698"/>
              <w:gridCol w:w="698"/>
              <w:gridCol w:w="698"/>
              <w:gridCol w:w="698"/>
              <w:gridCol w:w="698"/>
              <w:gridCol w:w="698"/>
              <w:gridCol w:w="698"/>
            </w:tblGrid>
            <w:tr w:rsidR="00752B29" w:rsidRPr="00752B29" w:rsidTr="00982ABA">
              <w:trPr>
                <w:trHeight w:val="390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FFFFFF" w:fill="FFFFFF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FFFFFF" w:fill="FFFFFF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FFFFFF" w:fill="FFFFFF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FFFFFF" w:fill="FFFFFF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FFFFFF" w:fill="FFFFFF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752B29" w:rsidRPr="00752B29" w:rsidTr="00982ABA">
              <w:trPr>
                <w:trHeight w:val="390"/>
              </w:trPr>
              <w:tc>
                <w:tcPr>
                  <w:tcW w:w="4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Autor</w:t>
                  </w: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Titul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ISBN</w:t>
                  </w: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Vydavatel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Rok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FFFFFF" w:fill="FFFFFF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Cena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  <w:tr w:rsidR="00752B29" w:rsidRPr="00752B29" w:rsidTr="00982ABA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Christof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Parnreiter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Wealth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Cities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Poverty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Nations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9781788215596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Agenda Publishing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Stefan Al, Tom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Verebes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Urbanism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Reader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Design, Technology,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Culture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Future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Cities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9781350377905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Bloomsbury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Christian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Frost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Cultural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Continuity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Making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Festival,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Experience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Historicity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9781350411371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Bloomsbury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Eric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Bellin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Detailing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Conceptual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History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Detail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9781350204379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Bloomsbury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Michael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Charlesworth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Yue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Zhuang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Alasdair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Forbes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Garden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Retreat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Asia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Europe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Ways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Dwelling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Torn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9781350447387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Bloomsbury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Visual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Arts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Nanna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Verhoeff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Urban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Screens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Situations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Practices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Concepts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9789048563623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Amsterdam University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7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Rafael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Goncalves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Licursi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de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Mello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Metasurface-driven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Electronic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Warfare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9781394226672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-IEEE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8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Alex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Lidow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Michael de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Rooij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, John Glaser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GaN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Power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Devices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Efficient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Power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Conversion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9781394286959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-IEEE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9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Chaker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Abdelaziz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Kerrache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Yesin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Sahraoui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Carlos T.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Calafate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Anna Maria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Vegni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Mobile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Crowdsensing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Remote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Sensing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Smart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Cities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9783031727313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Jon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Magne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Leinaas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Classical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Mechanics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Electrodynamics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9789819800742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Scientific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11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Jon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Magne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Leinaas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Solution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Manual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Classical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Mechanics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Electrodynamics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9789819806652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Scientific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12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Mark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Wolverton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Splinters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Infinity: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Cosmic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Rays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Clash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Two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Nobel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Prize-Winning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Scientists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over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Secrets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Creation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9780262048828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13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Michelle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Francl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Steeped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Chemistry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Tea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9781839165917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Royal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Society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Chemistry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14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John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O'Donoghue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Onscreen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Chemistry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Portrayal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Chemical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Science in Film and TV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9781837672141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Royal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Society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Chemistry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15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Balu 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Ilag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Durgesh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Tripathy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Vijay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Ireddy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Understanding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Microsoft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Teams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Administration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Configure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Customize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Manage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Teams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Experience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9798868800139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16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Subhajit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Das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Causal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Inference in R: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Decipher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complex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relationships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advanced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R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techniques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data-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driven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decision-making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9781837639021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17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Soledad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Galli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Python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Feature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Engineering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Cookbook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complete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crafting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powerful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features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your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machine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models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9781835883587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18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Kirill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Kolodiazhnyi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Hands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-On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Machine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C++: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train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deploy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end-to-end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machine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deep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pipelines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9781805120575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19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Darko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Medin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Biostatistics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Python: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Apply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Python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biostatistics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hands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-on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biomedical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biotechnology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projects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9781837630967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20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Pulkit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Chadha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Data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Engineering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Databricks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Cookbook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effective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data and AI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solutions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using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Apache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Spark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Databricks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Delta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Lake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9781837633357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21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Numa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Dhamani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Maggie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Engler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Introduction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Generative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Ethical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Societal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Legal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Overview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9781633437197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Manning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22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Valentina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Alto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LLM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Powered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Applications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Create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intelligent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agents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large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language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models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9781835462317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23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Yuxi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(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Hayden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)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Liu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Python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Machine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By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Example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Unlock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machine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best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practices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real-world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use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cases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9781835085622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24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Greg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Deckler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Brett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Powell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Microsoft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Power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BI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Cookbook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Convert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raw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data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into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business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insights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updated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techniques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use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cases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best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practices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9781835464274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25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Abhinav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Krishna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Kaiser,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Vamshi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Meda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AI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Integration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Software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Development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Operations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Transformation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Through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Infusion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DevOps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Testing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, and SRE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9798868810435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26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Sean (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Chunhong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)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Mastering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Enterprise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Solution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Modeling: 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Agile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Enterprise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Solution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9798868809910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27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Richard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Khan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Glossary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Demystifying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101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Essential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Artificial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Intelligence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Terms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Everyone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9781032987347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28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Noson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S.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Yanofsky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Monoidal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Category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Theory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Unifying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Concepts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Mathematics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Physics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Computing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9780262049399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29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Chris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Bernhardt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Beautiful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Surprisingly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Simple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Ideas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behind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Digital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Revolution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Live,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Work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Communicate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9780262549776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30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Lorenzo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Forni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Preventing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Greenlash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Overcome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Opposition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Green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Policies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9781788217811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Agenda Publishing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31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Michael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Tondre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Oil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9781501386626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Bloomsbury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Academic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32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Cass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R.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Sunstein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Climate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Justice: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What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Rich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Nations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Owe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―and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Future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9780262049467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33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Todd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Stern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Landing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Paris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Climate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Agreement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Happened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Why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Matters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What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Next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9780262049146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18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34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Seyi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Stephen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Ayodeji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E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Oke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Clinton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Ohis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Aigbavboa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Opeoluwa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Akinradewo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Pelumi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E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Adetoro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Matthew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Ikuabe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Stealth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Construction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Integrating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Practices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Resilience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Sustainability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9781836081838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Emerald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35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Steve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Thompson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Automation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Manufacturing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Environment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9781836085997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Emerald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36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Rico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A. R.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Picone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Joseph L.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Garbini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Introduction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Real-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Time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Computing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Mechanical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Engineers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Lab-Based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Approach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9780262548762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37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Röbbe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Wünschiers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Computational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Biology: 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Practical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Introduction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Bio Data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Juggling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Worked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Examples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9783031703133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38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Albert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Calbet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Amateur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Plankton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Researcher's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Practical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Study Plankton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Home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9783031802478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39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David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Kreps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Arguing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About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Tastes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Modeling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Context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Experience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Change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Economic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Preferences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9780231209915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Columbia University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40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Melvyn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Kay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Olcay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Ünver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Sustainable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Development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Water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Security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Towards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Achieving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Water-Secure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9781788217538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Agenda Publishing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41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Simon Hulme,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Chris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Drew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Mauricio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Pettinato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Lucio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Entrepreneurial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Finance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9781350380974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Bloomsbury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42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Karol Marek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Klimczak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Yochanan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Shachmurove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Strategic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Response to Turbulence: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Lessons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Real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Shocks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9781035340392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Edward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Elgar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43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Ravin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Jesuthasan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Tanuj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Kapilashrami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Skills-Powered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Organization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Journey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Next-Generation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Enterprise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9780262049238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44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Cynthia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Snyder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Dionisio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Russ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J.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Martinelli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Project Management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ToolBox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Tools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Techniques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Practicing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Project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Manager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9781394222063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45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Seidman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Aviv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Gaon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Social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Legal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Impact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Autonomous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Vehicles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Future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without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Human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Driving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9781800376779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Edward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Elgar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46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Kevin G.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Bethune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John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Maeda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Nonlinear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Navigating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Design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Curiosity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Conviction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9780262049436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37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47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Michael D.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Holloway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Designed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Experiments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Science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Engineering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9781032854410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CRC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4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48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Onuralp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Yücel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Chukwunwike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Iloeje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Shafiq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Alam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Donna Post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Guillen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Fiseha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Tesfaye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Lei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Zhang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Susanna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A. C.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Hockaday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Neale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R.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Neelameggham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Nawshad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Haque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Alafara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Abdullahi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Baba, Tuan A. H.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Nguyen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Adam C.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Powell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Duhan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Zhang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Technology 2025: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Carbon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Dioxide Management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Other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Technologies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9783031806872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49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Philippe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Hamman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Nadine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Roudil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Future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Cities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Energies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Western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Europe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Scales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Actors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Social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Experiments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9783111376035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De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Gruyter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50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Minou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Nowrousian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Jason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E.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Stajich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Fungal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Genomics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9783031756658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51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Sanjay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Kumar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Brahim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ElBhiri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Advances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Sustainable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Materials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Design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Systems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9783031719134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52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Gerald B.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Folland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Real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Analysis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Modern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Techniques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Their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Applications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9780471317166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1999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53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Burkard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Polster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Shoelace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Book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Mathematical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Best (and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Worst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)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Ways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Lace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Your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Shoes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9780821839331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American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Mathematical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Society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2006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54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Marion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Roberts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Suzy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Nelson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Research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Handbook on Urban Design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9781800373464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Edward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Elgar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55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Hesam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Kamalipour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Patricia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Aelbrecht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Nastaran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Peimani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Handbook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Urban Design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Research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Methods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9780367768065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1125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56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Mario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Vanhoucke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Quest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Projects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Scarce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Resources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Seeking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Schedule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Intelligence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Through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Project Data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Discovery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9783031715068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75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57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Hannelore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Derluyn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Marc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Prat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Salt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Crystallization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Porous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Media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9781789451146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-ISTE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8D8D8" w:fill="D8D8D8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1140"/>
              </w:trPr>
              <w:tc>
                <w:tcPr>
                  <w:tcW w:w="424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58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Sourav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Ghosh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Low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Latency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Applications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C++: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Develop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complete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low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latency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trading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ecosystem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scratch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using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modern</w:t>
                  </w:r>
                  <w:proofErr w:type="spellEnd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C++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9781837639359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752B29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XXX Kč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EEAF6" w:fill="DEEAF6"/>
                  <w:noWrap/>
                  <w:vAlign w:val="center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52B29" w:rsidRPr="00752B29" w:rsidTr="00982ABA">
              <w:trPr>
                <w:trHeight w:val="300"/>
              </w:trPr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2B29" w:rsidRPr="00752B29" w:rsidRDefault="00752B29" w:rsidP="00752B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752B29" w:rsidRPr="00752B29" w:rsidRDefault="00752B29" w:rsidP="00752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5F2A77" w:rsidRDefault="00982ABA">
      <w:r>
        <w:lastRenderedPageBreak/>
        <w:t xml:space="preserve">                                                                                                                                                     </w:t>
      </w:r>
      <w:bookmarkStart w:id="0" w:name="_GoBack"/>
      <w:bookmarkEnd w:id="0"/>
      <w:r w:rsidRPr="00982ABA">
        <w:t>70 379 Kč</w:t>
      </w:r>
    </w:p>
    <w:sectPr w:rsidR="005F2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92"/>
    <w:rsid w:val="005F2A77"/>
    <w:rsid w:val="00752B29"/>
    <w:rsid w:val="00982ABA"/>
    <w:rsid w:val="009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0C09B"/>
  <w15:chartTrackingRefBased/>
  <w15:docId w15:val="{9638DE12-0CE0-4FF2-94E9-8B6F69A3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2B2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52B29"/>
    <w:rPr>
      <w:color w:val="0563C1"/>
      <w:u w:val="single"/>
    </w:rPr>
  </w:style>
  <w:style w:type="paragraph" w:customStyle="1" w:styleId="msonormal0">
    <w:name w:val="msonormal"/>
    <w:basedOn w:val="Normln"/>
    <w:rsid w:val="0075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752B29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66">
    <w:name w:val="xl66"/>
    <w:basedOn w:val="Normln"/>
    <w:rsid w:val="00752B2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67">
    <w:name w:val="xl67"/>
    <w:basedOn w:val="Normln"/>
    <w:rsid w:val="00752B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68">
    <w:name w:val="xl68"/>
    <w:basedOn w:val="Normln"/>
    <w:rsid w:val="00752B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69">
    <w:name w:val="xl69"/>
    <w:basedOn w:val="Normln"/>
    <w:rsid w:val="00752B29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eastAsia="cs-CZ"/>
    </w:rPr>
  </w:style>
  <w:style w:type="paragraph" w:customStyle="1" w:styleId="xl70">
    <w:name w:val="xl70"/>
    <w:basedOn w:val="Normln"/>
    <w:rsid w:val="00752B29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eastAsia="cs-CZ"/>
    </w:rPr>
  </w:style>
  <w:style w:type="paragraph" w:customStyle="1" w:styleId="xl71">
    <w:name w:val="xl71"/>
    <w:basedOn w:val="Normln"/>
    <w:rsid w:val="00752B2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72">
    <w:name w:val="xl72"/>
    <w:basedOn w:val="Normln"/>
    <w:rsid w:val="00752B2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3">
    <w:name w:val="xl73"/>
    <w:basedOn w:val="Normln"/>
    <w:rsid w:val="00752B29"/>
    <w:pPr>
      <w:pBdr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74">
    <w:name w:val="xl74"/>
    <w:basedOn w:val="Normln"/>
    <w:rsid w:val="00752B2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75">
    <w:name w:val="xl75"/>
    <w:basedOn w:val="Normln"/>
    <w:rsid w:val="00752B29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76">
    <w:name w:val="xl76"/>
    <w:basedOn w:val="Normln"/>
    <w:rsid w:val="00752B29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77">
    <w:name w:val="xl77"/>
    <w:basedOn w:val="Normln"/>
    <w:rsid w:val="00752B29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78">
    <w:name w:val="xl78"/>
    <w:basedOn w:val="Normln"/>
    <w:rsid w:val="00752B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79">
    <w:name w:val="xl79"/>
    <w:basedOn w:val="Normln"/>
    <w:rsid w:val="00752B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80">
    <w:name w:val="xl80"/>
    <w:basedOn w:val="Normln"/>
    <w:rsid w:val="00752B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81">
    <w:name w:val="xl81"/>
    <w:basedOn w:val="Normln"/>
    <w:rsid w:val="00752B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752B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83">
    <w:name w:val="xl83"/>
    <w:basedOn w:val="Normln"/>
    <w:rsid w:val="00752B2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84">
    <w:name w:val="xl84"/>
    <w:basedOn w:val="Normln"/>
    <w:rsid w:val="00752B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752B29"/>
    <w:pPr>
      <w:pBdr>
        <w:top w:val="single" w:sz="8" w:space="0" w:color="auto"/>
        <w:left w:val="single" w:sz="4" w:space="0" w:color="000000"/>
        <w:bottom w:val="single" w:sz="8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86">
    <w:name w:val="xl86"/>
    <w:basedOn w:val="Normln"/>
    <w:rsid w:val="00752B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1341</Words>
  <Characters>8841</Characters>
  <Application>Microsoft Office Word</Application>
  <DocSecurity>0</DocSecurity>
  <Lines>1768</Lines>
  <Paragraphs>535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3</cp:revision>
  <dcterms:created xsi:type="dcterms:W3CDTF">2025-03-11T14:17:00Z</dcterms:created>
  <dcterms:modified xsi:type="dcterms:W3CDTF">2025-03-11T14:32:00Z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4db0ef401a8fd4047edfda99f8bfdeb0fbddcb614a9c7d7cc1dd1b1b2ea879a5</vt:lpwstr>
  </property>
</Properties>
</file>