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531/2024</w:t>
      </w:r>
      <w:bookmarkEnd w:id="10"/>
      <w:bookmarkEnd w:id="11"/>
      <w:bookmarkEnd w:id="9"/>
    </w:p>
    <w:p>
      <w:pPr>
        <w:pStyle w:val="Style2"/>
        <w:keepNext/>
        <w:keepLines/>
        <w:widowControl w:val="0"/>
        <w:shd w:val="clear" w:color="auto" w:fill="auto"/>
        <w:bidi w:val="0"/>
        <w:spacing w:before="0" w:after="18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“PVN I a II - kalníkové, vzdušníkové a revizní šachty”</w:t>
      </w:r>
    </w:p>
    <w:p>
      <w:pPr>
        <w:pStyle w:val="Style12"/>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Smluvní strany:</w:t>
      </w:r>
      <w:bookmarkEnd w:id="15"/>
    </w:p>
    <w:tbl>
      <w:tblPr>
        <w:tblOverlap w:val="never"/>
        <w:jc w:val="left"/>
        <w:tblLayout w:type="fixed"/>
      </w:tblPr>
      <w:tblGrid>
        <w:gridCol w:w="2837"/>
        <w:gridCol w:w="3509"/>
      </w:tblGrid>
      <w:tr>
        <w:trPr>
          <w:trHeight w:val="869"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tc>
      </w:tr>
    </w:tbl>
    <w:p>
      <w:pPr>
        <w:pStyle w:val="Style12"/>
        <w:keepNext w:val="0"/>
        <w:keepLines w:val="0"/>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6"/>
      <w:bookmarkEnd w:id="17"/>
      <w:bookmarkEnd w:id="18"/>
      <w:bookmarkEnd w:id="19"/>
    </w:p>
    <w:p>
      <w:pPr>
        <w:widowControl w:val="0"/>
        <w:spacing w:after="419" w:line="1" w:lineRule="exact"/>
      </w:pPr>
    </w:p>
    <w:p>
      <w:pPr>
        <w:pStyle w:val="Style2"/>
        <w:keepNext/>
        <w:keepLines/>
        <w:widowControl w:val="0"/>
        <w:shd w:val="clear" w:color="auto" w:fill="auto"/>
        <w:bidi w:val="0"/>
        <w:spacing w:before="0" w:after="42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p>
    <w:p>
      <w:pPr>
        <w:pStyle w:val="Style2"/>
        <w:keepNext/>
        <w:keepLines/>
        <w:widowControl w:val="0"/>
        <w:shd w:val="clear" w:color="auto" w:fill="auto"/>
        <w:tabs>
          <w:tab w:pos="2785"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IČO:</w:t>
        <w:tab/>
        <w:t>70889988</w:t>
      </w:r>
      <w:bookmarkEnd w:id="24"/>
      <w:bookmarkEnd w:id="25"/>
      <w:bookmarkEnd w:id="26"/>
    </w:p>
    <w:p>
      <w:pPr>
        <w:pStyle w:val="Style2"/>
        <w:keepNext/>
        <w:keepLines/>
        <w:widowControl w:val="0"/>
        <w:shd w:val="clear" w:color="auto" w:fill="auto"/>
        <w:tabs>
          <w:tab w:pos="2785"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zápis v obchodním rejstříku: u Krajského soudu v Ústí nad Labem v oddílu A, vložce č. 13052</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(dále jen „objednatel“)</w:t>
      </w:r>
      <w:bookmarkEnd w:id="39"/>
      <w:bookmarkEnd w:id="40"/>
      <w:bookmarkEnd w:id="41"/>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a</w:t>
      </w:r>
      <w:bookmarkEnd w:id="42"/>
      <w:bookmarkEnd w:id="43"/>
      <w:bookmarkEnd w:id="44"/>
    </w:p>
    <w:p>
      <w:pPr>
        <w:pStyle w:val="Style2"/>
        <w:keepNext/>
        <w:keepLines/>
        <w:widowControl w:val="0"/>
        <w:shd w:val="clear" w:color="auto" w:fill="auto"/>
        <w:tabs>
          <w:tab w:pos="2785" w:val="left"/>
        </w:tabs>
        <w:bidi w:val="0"/>
        <w:spacing w:before="0" w:after="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zhotovitel:</w:t>
        <w:tab/>
        <w:t>TEBA MONTÁŽE s.r.o.</w:t>
      </w:r>
      <w:bookmarkEnd w:id="45"/>
      <w:bookmarkEnd w:id="46"/>
      <w:bookmarkEnd w:id="47"/>
    </w:p>
    <w:p>
      <w:pPr>
        <w:pStyle w:val="Style2"/>
        <w:keepNext/>
        <w:keepLines/>
        <w:widowControl w:val="0"/>
        <w:shd w:val="clear" w:color="auto" w:fill="auto"/>
        <w:tabs>
          <w:tab w:pos="2785"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sídlo</w:t>
        <w:tab/>
        <w:t>Javorová 1814, 432 01 Kadaň</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k podpisu smlouvy:</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oprávněn(i) jednat o věcech smluvních:</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oprávněn(i) jednat o věcech technických:</w:t>
      </w:r>
      <w:bookmarkEnd w:id="57"/>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stavbyvedoucí:</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manažer stavby:</w:t>
      </w:r>
      <w:bookmarkEnd w:id="64"/>
      <w:bookmarkEnd w:id="65"/>
      <w:bookmarkEnd w:id="66"/>
    </w:p>
    <w:p>
      <w:pPr>
        <w:pStyle w:val="Style2"/>
        <w:keepNext/>
        <w:keepLines/>
        <w:widowControl w:val="0"/>
        <w:shd w:val="clear" w:color="auto" w:fill="auto"/>
        <w:tabs>
          <w:tab w:pos="2785"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IČO:</w:t>
        <w:tab/>
        <w:t>02475600</w:t>
      </w:r>
      <w:bookmarkEnd w:id="67"/>
      <w:bookmarkEnd w:id="68"/>
      <w:bookmarkEnd w:id="69"/>
    </w:p>
    <w:p>
      <w:pPr>
        <w:pStyle w:val="Style2"/>
        <w:keepNext/>
        <w:keepLines/>
        <w:widowControl w:val="0"/>
        <w:shd w:val="clear" w:color="auto" w:fill="auto"/>
        <w:tabs>
          <w:tab w:pos="2785"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DIČ:</w:t>
        <w:tab/>
        <w:t>CZ02475600</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bankovní spojení:</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číslo účtu:</w:t>
      </w:r>
      <w:bookmarkEnd w:id="76"/>
      <w:bookmarkEnd w:id="77"/>
      <w:bookmarkEnd w:id="78"/>
    </w:p>
    <w:p>
      <w:pPr>
        <w:pStyle w:val="Style2"/>
        <w:keepNext/>
        <w:keepLines/>
        <w:widowControl w:val="0"/>
        <w:shd w:val="clear" w:color="auto" w:fill="auto"/>
        <w:tabs>
          <w:tab w:pos="2785"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zápis v obchodním rejstříku: u krajského soudu v Ústí nad Labem, oddíl C, vložka 33659 tel.:</w:t>
        <w:tab/>
        <w:t>e-mail:</w:t>
      </w:r>
      <w:bookmarkEnd w:id="79"/>
      <w:bookmarkEnd w:id="80"/>
      <w:bookmarkEnd w:id="81"/>
    </w:p>
    <w:p>
      <w:pPr>
        <w:pStyle w:val="Style9"/>
        <w:keepNext w:val="0"/>
        <w:keepLines w:val="0"/>
        <w:widowControl w:val="0"/>
        <w:shd w:val="clear" w:color="auto" w:fill="auto"/>
        <w:bidi w:val="0"/>
        <w:spacing w:before="0" w:after="180" w:line="240" w:lineRule="auto"/>
        <w:ind w:left="0" w:right="0" w:firstLine="0"/>
        <w:jc w:val="left"/>
      </w:pPr>
      <w:bookmarkStart w:id="82" w:name="bookmark82"/>
      <w:bookmarkStart w:id="83" w:name="bookmark83"/>
      <w:r>
        <w:rPr>
          <w:color w:val="000000"/>
          <w:spacing w:val="0"/>
          <w:w w:val="100"/>
          <w:position w:val="0"/>
          <w:shd w:val="clear" w:color="auto" w:fill="auto"/>
          <w:lang w:val="cs-CZ" w:eastAsia="cs-CZ" w:bidi="cs-CZ"/>
        </w:rPr>
        <w:t>(dále jen „zhotovitel“)</w:t>
      </w:r>
      <w:bookmarkEnd w:id="82"/>
      <w:bookmarkEnd w:id="83"/>
    </w:p>
    <w:p>
      <w:pPr>
        <w:pStyle w:val="Style9"/>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Jedná se o změnu oprávněných zástupců objednatele </w:t>
      </w:r>
      <w:r>
        <w:rPr>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0" w:line="240" w:lineRule="auto"/>
        <w:ind w:left="0" w:right="0" w:firstLine="0"/>
        <w:jc w:val="both"/>
      </w:pPr>
      <w:bookmarkStart w:id="84" w:name="bookmark84"/>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8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bidi w:val="0"/>
        <w:spacing w:before="0" w:after="460" w:line="240" w:lineRule="auto"/>
        <w:ind w:left="0" w:right="0" w:firstLine="0"/>
        <w:jc w:val="both"/>
      </w:pPr>
      <w:bookmarkStart w:id="85" w:name="bookmark85"/>
      <w:r>
        <w:rPr>
          <w:color w:val="000000"/>
          <w:spacing w:val="0"/>
          <w:w w:val="100"/>
          <w:position w:val="0"/>
          <w:shd w:val="clear" w:color="auto" w:fill="auto"/>
          <w:lang w:val="cs-CZ" w:eastAsia="cs-CZ" w:bidi="cs-CZ"/>
        </w:rPr>
        <w:t>oprávněn k podpisu smlouvy a k jednání o věcech smluvních: oprávněn jednat o věcech technických:</w:t>
      </w:r>
      <w:bookmarkEnd w:id="85"/>
    </w:p>
    <w:p>
      <w:pPr>
        <w:pStyle w:val="Style2"/>
        <w:keepNext/>
        <w:keepLines/>
        <w:widowControl w:val="0"/>
        <w:shd w:val="clear" w:color="auto" w:fill="auto"/>
        <w:bidi w:val="0"/>
        <w:spacing w:before="0" w:after="700" w:line="240" w:lineRule="auto"/>
        <w:ind w:left="0" w:right="0" w:firstLine="0"/>
        <w:jc w:val="both"/>
      </w:pPr>
      <w:bookmarkStart w:id="86" w:name="bookmark86"/>
      <w:bookmarkStart w:id="87" w:name="bookmark87"/>
      <w:bookmarkStart w:id="88" w:name="bookmark88"/>
      <w:bookmarkStart w:id="89" w:name="bookmark89"/>
      <w:bookmarkStart w:id="90" w:name="bookmark90"/>
      <w:r>
        <w:rPr>
          <w:color w:val="000000"/>
          <w:spacing w:val="0"/>
          <w:w w:val="100"/>
          <w:position w:val="0"/>
          <w:shd w:val="clear" w:color="auto" w:fill="auto"/>
          <w:lang w:val="cs-CZ" w:eastAsia="cs-CZ" w:bidi="cs-CZ"/>
        </w:rPr>
        <w:t>technický dozor objednatele:</w:t>
      </w:r>
      <w:bookmarkEnd w:id="86"/>
      <w:bookmarkEnd w:id="87"/>
      <w:bookmarkEnd w:id="88"/>
      <w:bookmarkEnd w:id="89"/>
      <w:bookmarkEnd w:id="90"/>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488" w:left="1393" w:right="1391" w:bottom="2099" w:header="1060" w:footer="3" w:gutter="0"/>
          <w:pgNumType w:start="1"/>
          <w:cols w:space="720"/>
          <w:noEndnote/>
          <w:rtlGutter w:val="0"/>
          <w:docGrid w:linePitch="360"/>
        </w:sectPr>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00" w:lineRule="exact"/>
        <w:rPr>
          <w:sz w:val="16"/>
          <w:szCs w:val="16"/>
        </w:rPr>
      </w:pPr>
    </w:p>
    <w:p>
      <w:pPr>
        <w:widowControl w:val="0"/>
        <w:spacing w:line="1" w:lineRule="exact"/>
        <w:sectPr>
          <w:footnotePr>
            <w:pos w:val="pageBottom"/>
            <w:numFmt w:val="decimal"/>
            <w:numRestart w:val="continuous"/>
          </w:footnotePr>
          <w:type w:val="continuous"/>
          <w:pgSz w:w="11909" w:h="16838"/>
          <w:pgMar w:top="1085" w:left="0" w:right="0" w:bottom="3328"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5" w:left="1394" w:right="2335" w:bottom="3328" w:header="0" w:footer="3" w:gutter="0"/>
          <w:cols w:num="2" w:space="1801"/>
          <w:noEndnote/>
          <w:rtlGutter w:val="0"/>
          <w:docGrid w:linePitch="360"/>
        </w:sectPr>
      </w:pPr>
      <w:r>
        <w:rPr>
          <w:color w:val="000000"/>
          <w:spacing w:val="0"/>
          <w:w w:val="100"/>
          <w:position w:val="0"/>
          <w:shd w:val="clear" w:color="auto" w:fill="auto"/>
          <w:lang w:val="cs-CZ" w:eastAsia="cs-CZ" w:bidi="cs-CZ"/>
        </w:rPr>
        <w:t>V Kadani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191" w:header="0" w:footer="3" w:gutter="0"/>
          <w:cols w:space="720"/>
          <w:noEndnote/>
          <w:rtlGutter w:val="0"/>
          <w:docGrid w:linePitch="360"/>
        </w:sectPr>
      </w:pPr>
    </w:p>
    <w:p>
      <w:pPr>
        <w:pStyle w:val="Style2"/>
        <w:keepNext/>
        <w:keepLines/>
        <w:widowControl w:val="0"/>
        <w:shd w:val="clear" w:color="auto" w:fill="auto"/>
        <w:bidi w:val="0"/>
        <w:spacing w:before="0" w:after="0" w:line="240" w:lineRule="auto"/>
        <w:ind w:left="0" w:right="0" w:firstLine="0"/>
        <w:jc w:val="left"/>
      </w:pPr>
      <w:bookmarkStart w:id="91" w:name="bookmark91"/>
      <w:bookmarkStart w:id="92" w:name="bookmark92"/>
      <w:bookmarkStart w:id="93" w:name="bookmark93"/>
      <w:bookmarkStart w:id="94" w:name="bookmark94"/>
      <w:r>
        <w:rPr>
          <w:color w:val="000000"/>
          <w:spacing w:val="0"/>
          <w:w w:val="100"/>
          <w:position w:val="0"/>
          <w:shd w:val="clear" w:color="auto" w:fill="auto"/>
          <w:lang w:val="cs-CZ" w:eastAsia="cs-CZ" w:bidi="cs-CZ"/>
        </w:rPr>
        <w:t>investiční ředitel</w:t>
      </w:r>
      <w:bookmarkEnd w:id="91"/>
      <w:bookmarkEnd w:id="92"/>
      <w:bookmarkEnd w:id="93"/>
      <w:bookmarkEnd w:id="94"/>
    </w:p>
    <w:p>
      <w:pPr>
        <w:pStyle w:val="Style9"/>
        <w:keepNext w:val="0"/>
        <w:keepLines w:val="0"/>
        <w:widowControl w:val="0"/>
        <w:shd w:val="clear" w:color="auto" w:fill="auto"/>
        <w:bidi w:val="0"/>
        <w:spacing w:before="0" w:after="0" w:line="240" w:lineRule="auto"/>
        <w:ind w:left="0" w:right="0" w:firstLine="0"/>
        <w:jc w:val="left"/>
      </w:pPr>
      <w:bookmarkStart w:id="95" w:name="bookmark95"/>
      <w:bookmarkStart w:id="96" w:name="bookmark96"/>
      <w:r>
        <w:rPr>
          <w:color w:val="000000"/>
          <w:spacing w:val="0"/>
          <w:w w:val="100"/>
          <w:position w:val="0"/>
          <w:shd w:val="clear" w:color="auto" w:fill="auto"/>
          <w:lang w:val="cs-CZ" w:eastAsia="cs-CZ" w:bidi="cs-CZ"/>
        </w:rPr>
        <w:t>Povodí Ohře, státní podnik</w:t>
      </w:r>
      <w:bookmarkEnd w:id="95"/>
      <w:bookmarkEnd w:id="96"/>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3180" w:bottom="1191" w:header="0" w:footer="3" w:gutter="0"/>
          <w:cols w:num="2" w:space="720" w:equalWidth="0">
            <w:col w:w="2659" w:space="2357"/>
            <w:col w:w="2318"/>
          </w:cols>
          <w:noEndnote/>
          <w:rtlGutter w:val="0"/>
          <w:docGrid w:linePitch="360"/>
        </w:sectPr>
      </w:pPr>
      <w:r>
        <w:rPr>
          <w:color w:val="000000"/>
          <w:spacing w:val="0"/>
          <w:w w:val="100"/>
          <w:position w:val="0"/>
          <w:shd w:val="clear" w:color="auto" w:fill="auto"/>
          <w:lang w:val="cs-CZ" w:eastAsia="cs-CZ" w:bidi="cs-CZ"/>
        </w:rPr>
        <w:t>TEBA MONTÁŽE s.r.o.</w:t>
      </w:r>
    </w:p>
    <w:sectPr>
      <w:footnotePr>
        <w:pos w:val="pageBottom"/>
        <w:numFmt w:val="decimal"/>
        <w:numRestart w:val="continuous"/>
      </w:footnotePr>
      <w:type w:val="continuous"/>
      <w:pgSz w:w="11909" w:h="16838"/>
      <w:pgMar w:top="1085" w:left="1394" w:right="3180" w:bottom="1191" w:header="0" w:footer="3" w:gutter="0"/>
      <w:cols w:num="2" w:space="720" w:equalWidth="0">
        <w:col w:w="2659" w:space="2357"/>
        <w:col w:w="231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5913755</wp:posOffset>
              </wp:positionH>
              <wp:positionV relativeFrom="page">
                <wp:posOffset>10192385</wp:posOffset>
              </wp:positionV>
              <wp:extent cx="749935" cy="179705"/>
              <wp:wrapNone/>
              <wp:docPr id="1" name="Shape 1"/>
              <a:graphic xmlns:a="http://schemas.openxmlformats.org/drawingml/2006/main">
                <a:graphicData uri="http://schemas.microsoft.com/office/word/2010/wordprocessingShape">
                  <wps:wsp>
                    <wps:cNvSpPr txBox="1"/>
                    <wps:spPr>
                      <a:xfrm>
                        <a:ext cx="749935"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5.65000000000003pt;margin-top:802.55000000000007pt;width:59.050000000000004pt;height:14.1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9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9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