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315AB" w14:textId="77777777" w:rsidR="00D010A7" w:rsidRDefault="0094425D" w:rsidP="0094425D">
      <w:pPr>
        <w:jc w:val="center"/>
        <w:rPr>
          <w:rFonts w:ascii="Arial" w:hAnsi="Arial" w:cs="Arial"/>
          <w:b/>
        </w:rPr>
      </w:pPr>
      <w:r w:rsidRPr="0094425D">
        <w:rPr>
          <w:rFonts w:ascii="Arial" w:hAnsi="Arial" w:cs="Arial"/>
          <w:b/>
        </w:rPr>
        <w:t>SMLOUVA O DÍLO</w:t>
      </w:r>
    </w:p>
    <w:p w14:paraId="63D30E12" w14:textId="77777777" w:rsidR="00380FCA" w:rsidRPr="00380FCA" w:rsidRDefault="00600503" w:rsidP="00380FCA">
      <w:pPr>
        <w:spacing w:after="0" w:line="360" w:lineRule="auto"/>
        <w:jc w:val="center"/>
        <w:rPr>
          <w:rFonts w:ascii="Arial" w:eastAsia="Times New Roman" w:hAnsi="Arial" w:cs="Times New Roman"/>
          <w:b/>
          <w:lang w:eastAsia="cs-CZ"/>
        </w:rPr>
      </w:pPr>
      <w:r>
        <w:rPr>
          <w:rFonts w:ascii="Arial" w:eastAsia="Times New Roman" w:hAnsi="Arial" w:cs="Times New Roman"/>
          <w:b/>
          <w:lang w:eastAsia="cs-CZ"/>
        </w:rPr>
        <w:t>Projektová dokumentace a související služby</w:t>
      </w:r>
      <w:r w:rsidR="002536CD">
        <w:rPr>
          <w:rFonts w:ascii="Arial" w:eastAsia="Times New Roman" w:hAnsi="Arial" w:cs="Times New Roman"/>
          <w:b/>
          <w:lang w:eastAsia="cs-CZ"/>
        </w:rPr>
        <w:t xml:space="preserve"> </w:t>
      </w:r>
    </w:p>
    <w:p w14:paraId="32CFB749" w14:textId="77777777" w:rsidR="00380FCA" w:rsidRPr="00380FCA" w:rsidRDefault="00380FCA" w:rsidP="00380FCA">
      <w:pPr>
        <w:spacing w:after="0" w:line="240" w:lineRule="auto"/>
        <w:rPr>
          <w:rFonts w:ascii="Arial" w:eastAsia="Times New Roman" w:hAnsi="Arial" w:cs="Times New Roman"/>
          <w:bCs/>
          <w:lang w:eastAsia="cs-CZ"/>
        </w:rPr>
      </w:pPr>
    </w:p>
    <w:p w14:paraId="65B730D4" w14:textId="77777777" w:rsidR="00380FCA" w:rsidRPr="005F4716" w:rsidRDefault="00380FCA" w:rsidP="00380FCA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5F4716">
        <w:rPr>
          <w:rFonts w:ascii="Arial" w:eastAsia="Times New Roman" w:hAnsi="Arial" w:cs="Times New Roman"/>
          <w:bCs/>
          <w:sz w:val="20"/>
          <w:szCs w:val="20"/>
          <w:lang w:eastAsia="cs-CZ"/>
        </w:rPr>
        <w:t xml:space="preserve">uzavřená podle </w:t>
      </w:r>
      <w:r w:rsidRPr="005F4716">
        <w:rPr>
          <w:rFonts w:ascii="Arial" w:eastAsia="Times New Roman" w:hAnsi="Arial" w:cs="Times New Roman"/>
          <w:sz w:val="20"/>
          <w:szCs w:val="20"/>
          <w:lang w:eastAsia="cs-CZ"/>
        </w:rPr>
        <w:t>§ 2586 a násl. zákona č. 89/2012 Sb., občanský zákoník</w:t>
      </w:r>
    </w:p>
    <w:p w14:paraId="3FD90F88" w14:textId="77777777" w:rsidR="00380FCA" w:rsidRPr="005F4716" w:rsidRDefault="00380FCA" w:rsidP="00380FCA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</w:p>
    <w:p w14:paraId="05359812" w14:textId="77777777" w:rsidR="00380FCA" w:rsidRPr="005F4716" w:rsidRDefault="00380FCA" w:rsidP="00380FCA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cs-CZ"/>
        </w:rPr>
      </w:pPr>
    </w:p>
    <w:p w14:paraId="74179ED6" w14:textId="77777777" w:rsidR="00380FCA" w:rsidRPr="005F4716" w:rsidRDefault="00380FCA" w:rsidP="00380FCA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cs-CZ"/>
        </w:rPr>
      </w:pPr>
    </w:p>
    <w:p w14:paraId="49356FB4" w14:textId="7487FA96" w:rsidR="00380FCA" w:rsidRPr="008609F6" w:rsidRDefault="00380FCA" w:rsidP="008609F6">
      <w:pPr>
        <w:tabs>
          <w:tab w:val="left" w:pos="3402"/>
        </w:tabs>
        <w:spacing w:after="0" w:line="276" w:lineRule="auto"/>
        <w:ind w:left="3402" w:hanging="3402"/>
        <w:rPr>
          <w:rFonts w:ascii="Arial" w:eastAsia="Times New Roman" w:hAnsi="Arial" w:cs="Times New Roman"/>
          <w:b/>
          <w:bCs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Times New Roman"/>
          <w:b/>
          <w:snapToGrid w:val="0"/>
          <w:sz w:val="20"/>
          <w:szCs w:val="20"/>
          <w:lang w:eastAsia="cs-CZ"/>
        </w:rPr>
        <w:t>Objednatel:</w:t>
      </w:r>
      <w:r w:rsidRPr="005F4716">
        <w:rPr>
          <w:rFonts w:ascii="Arial" w:eastAsia="Times New Roman" w:hAnsi="Arial" w:cs="Times New Roman"/>
          <w:b/>
          <w:snapToGrid w:val="0"/>
          <w:sz w:val="20"/>
          <w:szCs w:val="20"/>
          <w:lang w:eastAsia="cs-CZ"/>
        </w:rPr>
        <w:tab/>
      </w:r>
      <w:r w:rsidR="008609F6" w:rsidRPr="008609F6">
        <w:rPr>
          <w:rFonts w:ascii="Arial" w:eastAsia="Times New Roman" w:hAnsi="Arial" w:cs="Times New Roman"/>
          <w:b/>
          <w:bCs/>
          <w:snapToGrid w:val="0"/>
          <w:sz w:val="20"/>
          <w:szCs w:val="20"/>
          <w:lang w:eastAsia="cs-CZ"/>
        </w:rPr>
        <w:t>Základní škola Josefa Kajetána Tyla a Mateřská škola Písek</w:t>
      </w:r>
    </w:p>
    <w:p w14:paraId="220B1EE4" w14:textId="2A4AA90B" w:rsidR="00380FCA" w:rsidRPr="00A72093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F4716">
        <w:rPr>
          <w:rFonts w:ascii="Arial" w:eastAsia="Times New Roman" w:hAnsi="Arial" w:cs="Times New Roman"/>
          <w:sz w:val="20"/>
          <w:szCs w:val="20"/>
          <w:lang w:eastAsia="cs-CZ"/>
        </w:rPr>
        <w:t>se sídlem:</w:t>
      </w:r>
      <w:r w:rsidRPr="005F4716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="006B0DDA" w:rsidRPr="008609F6">
        <w:rPr>
          <w:rFonts w:ascii="Arial" w:hAnsi="Arial" w:cs="Arial"/>
          <w:sz w:val="20"/>
          <w:szCs w:val="20"/>
        </w:rPr>
        <w:t>Tylova 2391, 39701 Písek</w:t>
      </w:r>
    </w:p>
    <w:p w14:paraId="1FACC3C8" w14:textId="7E2E78FD" w:rsidR="00380FCA" w:rsidRPr="00A72093" w:rsidRDefault="00380FCA" w:rsidP="00420E48">
      <w:pPr>
        <w:tabs>
          <w:tab w:val="left" w:pos="3402"/>
        </w:tabs>
        <w:spacing w:after="0" w:line="276" w:lineRule="auto"/>
        <w:rPr>
          <w:rFonts w:ascii="Arial" w:eastAsia="Arial" w:hAnsi="Arial" w:cs="Arial"/>
          <w:color w:val="000000"/>
          <w:sz w:val="20"/>
          <w:szCs w:val="20"/>
          <w:lang w:eastAsia="cs-CZ"/>
        </w:rPr>
      </w:pPr>
      <w:r w:rsidRPr="00A72093">
        <w:rPr>
          <w:rFonts w:ascii="Arial" w:eastAsia="Arial" w:hAnsi="Arial" w:cs="Arial"/>
          <w:color w:val="000000"/>
          <w:sz w:val="20"/>
          <w:szCs w:val="20"/>
          <w:lang w:eastAsia="cs-CZ"/>
        </w:rPr>
        <w:t>zastoupen</w:t>
      </w:r>
      <w:r w:rsidR="00A72093" w:rsidRPr="00A72093">
        <w:rPr>
          <w:rFonts w:ascii="Arial" w:eastAsia="Arial" w:hAnsi="Arial" w:cs="Arial"/>
          <w:color w:val="000000"/>
          <w:sz w:val="20"/>
          <w:szCs w:val="20"/>
          <w:lang w:eastAsia="cs-CZ"/>
        </w:rPr>
        <w:t>á</w:t>
      </w:r>
      <w:r w:rsidRPr="00A72093">
        <w:rPr>
          <w:rFonts w:ascii="Arial" w:eastAsia="Arial" w:hAnsi="Arial" w:cs="Arial"/>
          <w:color w:val="000000"/>
          <w:sz w:val="20"/>
          <w:szCs w:val="20"/>
          <w:lang w:eastAsia="cs-CZ"/>
        </w:rPr>
        <w:t>:</w:t>
      </w:r>
      <w:r w:rsidRPr="00A72093">
        <w:rPr>
          <w:rFonts w:ascii="Arial" w:eastAsia="Arial" w:hAnsi="Arial" w:cs="Arial"/>
          <w:color w:val="000000"/>
          <w:sz w:val="20"/>
          <w:szCs w:val="20"/>
          <w:lang w:eastAsia="cs-CZ"/>
        </w:rPr>
        <w:tab/>
      </w:r>
      <w:r w:rsidR="008609F6">
        <w:t>Mgr. Bc. Koc Pavel</w:t>
      </w:r>
      <w:r w:rsidR="008609F6" w:rsidRPr="00A72093">
        <w:rPr>
          <w:rFonts w:ascii="Arial" w:hAnsi="Arial" w:cs="Arial"/>
          <w:sz w:val="20"/>
          <w:szCs w:val="20"/>
        </w:rPr>
        <w:t xml:space="preserve"> </w:t>
      </w:r>
      <w:r w:rsidR="008779C1">
        <w:rPr>
          <w:rFonts w:ascii="Arial" w:hAnsi="Arial" w:cs="Arial"/>
          <w:sz w:val="20"/>
          <w:szCs w:val="20"/>
        </w:rPr>
        <w:t>– ředitel</w:t>
      </w:r>
      <w:r w:rsidR="00A72093" w:rsidRPr="00A72093">
        <w:rPr>
          <w:rFonts w:ascii="Arial" w:hAnsi="Arial" w:cs="Arial"/>
          <w:sz w:val="20"/>
          <w:szCs w:val="20"/>
        </w:rPr>
        <w:t xml:space="preserve"> školy</w:t>
      </w:r>
    </w:p>
    <w:p w14:paraId="41DF96EA" w14:textId="347BD0E4" w:rsidR="00380FCA" w:rsidRPr="00A72093" w:rsidRDefault="00380FCA" w:rsidP="00420E48">
      <w:pPr>
        <w:tabs>
          <w:tab w:val="left" w:pos="3402"/>
        </w:tabs>
        <w:spacing w:after="0" w:line="276" w:lineRule="auto"/>
        <w:rPr>
          <w:rFonts w:ascii="Arial" w:eastAsia="Arial" w:hAnsi="Arial" w:cs="Arial"/>
          <w:color w:val="000000"/>
          <w:sz w:val="20"/>
          <w:szCs w:val="20"/>
          <w:lang w:eastAsia="cs-CZ"/>
        </w:rPr>
      </w:pPr>
      <w:r w:rsidRPr="00A72093">
        <w:rPr>
          <w:rFonts w:ascii="Arial" w:eastAsia="Arial" w:hAnsi="Arial" w:cs="Arial"/>
          <w:color w:val="000000"/>
          <w:sz w:val="20"/>
          <w:szCs w:val="20"/>
          <w:lang w:eastAsia="cs-CZ"/>
        </w:rPr>
        <w:t xml:space="preserve">IČO: </w:t>
      </w:r>
      <w:r w:rsidRPr="00A72093">
        <w:rPr>
          <w:rFonts w:ascii="Arial" w:eastAsia="Arial" w:hAnsi="Arial" w:cs="Arial"/>
          <w:color w:val="000000"/>
          <w:sz w:val="20"/>
          <w:szCs w:val="20"/>
          <w:lang w:eastAsia="cs-CZ"/>
        </w:rPr>
        <w:tab/>
      </w:r>
      <w:r w:rsidR="008609F6">
        <w:t>70890889</w:t>
      </w:r>
    </w:p>
    <w:p w14:paraId="39AD5EE2" w14:textId="6FCDF60C" w:rsidR="00380FCA" w:rsidRPr="00A72093" w:rsidRDefault="00380FCA" w:rsidP="00420E48">
      <w:pPr>
        <w:tabs>
          <w:tab w:val="left" w:pos="3402"/>
        </w:tabs>
        <w:spacing w:after="0" w:line="276" w:lineRule="auto"/>
        <w:rPr>
          <w:rFonts w:ascii="Arial" w:eastAsia="Arial" w:hAnsi="Arial" w:cs="Arial"/>
          <w:color w:val="000000"/>
          <w:sz w:val="20"/>
          <w:szCs w:val="20"/>
          <w:lang w:eastAsia="cs-CZ"/>
        </w:rPr>
      </w:pPr>
      <w:r w:rsidRPr="00A72093">
        <w:rPr>
          <w:rFonts w:ascii="Arial" w:eastAsia="Arial" w:hAnsi="Arial" w:cs="Arial"/>
          <w:color w:val="000000"/>
          <w:sz w:val="20"/>
          <w:szCs w:val="20"/>
          <w:lang w:eastAsia="cs-CZ"/>
        </w:rPr>
        <w:t>DIČ:</w:t>
      </w:r>
      <w:r w:rsidRPr="00A72093">
        <w:rPr>
          <w:rFonts w:ascii="Arial" w:eastAsia="Arial" w:hAnsi="Arial" w:cs="Arial"/>
          <w:color w:val="000000"/>
          <w:sz w:val="20"/>
          <w:szCs w:val="20"/>
          <w:lang w:eastAsia="cs-CZ"/>
        </w:rPr>
        <w:tab/>
      </w:r>
      <w:r w:rsidR="00A72093" w:rsidRPr="00A72093">
        <w:rPr>
          <w:rFonts w:ascii="Arial" w:hAnsi="Arial" w:cs="Arial"/>
          <w:sz w:val="20"/>
          <w:szCs w:val="20"/>
        </w:rPr>
        <w:t>CZ</w:t>
      </w:r>
      <w:r w:rsidR="008609F6" w:rsidRPr="008609F6">
        <w:t xml:space="preserve"> </w:t>
      </w:r>
      <w:r w:rsidR="008609F6">
        <w:t>70890889</w:t>
      </w:r>
    </w:p>
    <w:p w14:paraId="4B1DCFB4" w14:textId="77777777" w:rsidR="00380FCA" w:rsidRPr="005F4716" w:rsidRDefault="00380FCA" w:rsidP="00420E48">
      <w:pPr>
        <w:tabs>
          <w:tab w:val="left" w:pos="3402"/>
        </w:tabs>
        <w:spacing w:after="0" w:line="276" w:lineRule="auto"/>
        <w:rPr>
          <w:rFonts w:ascii="Arial" w:eastAsia="Arial" w:hAnsi="Arial" w:cs="Times New Roman"/>
          <w:color w:val="000000"/>
          <w:sz w:val="20"/>
          <w:szCs w:val="20"/>
          <w:lang w:eastAsia="cs-CZ"/>
        </w:rPr>
      </w:pPr>
      <w:r w:rsidRPr="005F4716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Bankovní spojení:</w:t>
      </w:r>
      <w:r w:rsidRPr="005F4716"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  <w:t>Komerční banka, a.s.</w:t>
      </w:r>
    </w:p>
    <w:p w14:paraId="531AE23E" w14:textId="74DEDE97" w:rsidR="008609F6" w:rsidRDefault="00380FCA" w:rsidP="00420E48">
      <w:pPr>
        <w:tabs>
          <w:tab w:val="left" w:pos="3402"/>
        </w:tabs>
        <w:spacing w:after="0" w:line="276" w:lineRule="auto"/>
        <w:rPr>
          <w:rFonts w:ascii="Arial" w:eastAsia="Arial" w:hAnsi="Arial" w:cs="Times New Roman"/>
          <w:color w:val="000000"/>
          <w:sz w:val="20"/>
          <w:szCs w:val="20"/>
          <w:lang w:eastAsia="cs-CZ"/>
        </w:rPr>
      </w:pPr>
      <w:r w:rsidRPr="005F4716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Číslo účtu:</w:t>
      </w:r>
      <w:r w:rsidRPr="005F4716"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</w:r>
      <w:r w:rsidR="008779C1">
        <w:t>757823</w:t>
      </w:r>
      <w:r w:rsidR="008609F6">
        <w:t>0277/0100</w:t>
      </w:r>
      <w:r w:rsidR="008609F6">
        <w:rPr>
          <w:rFonts w:ascii="Arial" w:eastAsia="Arial" w:hAnsi="Arial" w:cs="Times New Roman"/>
          <w:color w:val="000000"/>
          <w:sz w:val="20"/>
          <w:szCs w:val="20"/>
          <w:lang w:eastAsia="cs-CZ"/>
        </w:rPr>
        <w:t xml:space="preserve"> </w:t>
      </w:r>
    </w:p>
    <w:p w14:paraId="6A2652C8" w14:textId="050DA125" w:rsidR="00380FCA" w:rsidRDefault="009C679B" w:rsidP="008609F6">
      <w:pPr>
        <w:tabs>
          <w:tab w:val="left" w:pos="3402"/>
        </w:tabs>
        <w:spacing w:after="0" w:line="276" w:lineRule="auto"/>
      </w:pPr>
      <w:r>
        <w:rPr>
          <w:rFonts w:ascii="Arial" w:eastAsia="Arial" w:hAnsi="Arial" w:cs="Times New Roman"/>
          <w:color w:val="000000"/>
          <w:sz w:val="20"/>
          <w:szCs w:val="20"/>
          <w:lang w:eastAsia="cs-CZ"/>
        </w:rPr>
        <w:t>Kontakt</w:t>
      </w:r>
      <w:r w:rsidR="00380FCA" w:rsidRPr="005F4716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:</w:t>
      </w:r>
      <w:r w:rsidR="00BA17F6"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</w:r>
      <w:r w:rsidR="008609F6">
        <w:t>382 215 104</w:t>
      </w:r>
    </w:p>
    <w:p w14:paraId="084962C4" w14:textId="77777777" w:rsidR="008609F6" w:rsidRPr="005F4716" w:rsidRDefault="008609F6" w:rsidP="008609F6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</w:pPr>
    </w:p>
    <w:p w14:paraId="5B429F57" w14:textId="77777777" w:rsidR="00380FCA" w:rsidRPr="005F4716" w:rsidRDefault="00380FCA" w:rsidP="00420E48">
      <w:pPr>
        <w:spacing w:after="0" w:line="276" w:lineRule="auto"/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  <w:t>a</w:t>
      </w:r>
      <w:bookmarkStart w:id="0" w:name="_GoBack"/>
      <w:bookmarkEnd w:id="0"/>
    </w:p>
    <w:p w14:paraId="25E7C0E5" w14:textId="77777777" w:rsidR="00380FCA" w:rsidRPr="005F4716" w:rsidRDefault="00380FCA" w:rsidP="00420E48">
      <w:pPr>
        <w:spacing w:after="0" w:line="276" w:lineRule="auto"/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</w:pPr>
    </w:p>
    <w:p w14:paraId="46DFE76F" w14:textId="14C2E445" w:rsidR="00380FCA" w:rsidRPr="008779C1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b/>
          <w:bCs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Times New Roman"/>
          <w:b/>
          <w:bCs/>
          <w:snapToGrid w:val="0"/>
          <w:sz w:val="20"/>
          <w:szCs w:val="20"/>
          <w:lang w:eastAsia="cs-CZ"/>
        </w:rPr>
        <w:t>Zhotovitel:</w:t>
      </w:r>
      <w:r w:rsidRPr="005F4716">
        <w:rPr>
          <w:rFonts w:ascii="Arial" w:eastAsia="Times New Roman" w:hAnsi="Arial" w:cs="Times New Roman"/>
          <w:b/>
          <w:bCs/>
          <w:snapToGrid w:val="0"/>
          <w:sz w:val="20"/>
          <w:szCs w:val="20"/>
          <w:lang w:eastAsia="cs-CZ"/>
        </w:rPr>
        <w:tab/>
      </w:r>
      <w:r w:rsidR="006B0DDA" w:rsidRPr="006B0DDA">
        <w:rPr>
          <w:rFonts w:ascii="Arial" w:eastAsia="Times New Roman" w:hAnsi="Arial" w:cs="Times New Roman"/>
          <w:b/>
          <w:bCs/>
          <w:snapToGrid w:val="0"/>
          <w:sz w:val="20"/>
          <w:szCs w:val="20"/>
          <w:lang w:eastAsia="cs-CZ"/>
        </w:rPr>
        <w:t>KASÍK – PROJKA s.r.o.</w:t>
      </w:r>
    </w:p>
    <w:p w14:paraId="16BE69CA" w14:textId="4F83BAC9" w:rsidR="00380FCA" w:rsidRPr="005F4716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bCs/>
          <w:sz w:val="20"/>
          <w:szCs w:val="20"/>
          <w:lang w:eastAsia="cs-CZ"/>
        </w:rPr>
      </w:pPr>
      <w:r w:rsidRPr="005F4716">
        <w:rPr>
          <w:rFonts w:ascii="Arial" w:eastAsia="Times New Roman" w:hAnsi="Arial" w:cs="Times New Roman"/>
          <w:bCs/>
          <w:sz w:val="20"/>
          <w:szCs w:val="20"/>
          <w:lang w:eastAsia="cs-CZ"/>
        </w:rPr>
        <w:t>se sídlem:</w:t>
      </w:r>
      <w:r w:rsidRPr="005F4716">
        <w:rPr>
          <w:rFonts w:ascii="Arial" w:eastAsia="Times New Roman" w:hAnsi="Arial" w:cs="Times New Roman"/>
          <w:bCs/>
          <w:sz w:val="20"/>
          <w:szCs w:val="20"/>
          <w:lang w:eastAsia="cs-CZ"/>
        </w:rPr>
        <w:tab/>
      </w:r>
      <w:r w:rsidR="006B0DDA" w:rsidRPr="006B0DDA">
        <w:rPr>
          <w:rFonts w:ascii="Arial" w:eastAsia="Times New Roman" w:hAnsi="Arial" w:cs="Times New Roman"/>
          <w:bCs/>
          <w:sz w:val="20"/>
          <w:szCs w:val="20"/>
          <w:lang w:eastAsia="cs-CZ"/>
        </w:rPr>
        <w:t>J. Mukařovského 2301</w:t>
      </w:r>
      <w:r w:rsidR="006B0DDA">
        <w:rPr>
          <w:rFonts w:ascii="Arial" w:eastAsia="Times New Roman" w:hAnsi="Arial" w:cs="Times New Roman"/>
          <w:bCs/>
          <w:sz w:val="20"/>
          <w:szCs w:val="20"/>
          <w:lang w:eastAsia="cs-CZ"/>
        </w:rPr>
        <w:t xml:space="preserve">, </w:t>
      </w:r>
      <w:r w:rsidR="006B0DDA" w:rsidRPr="006B0DDA">
        <w:rPr>
          <w:rFonts w:ascii="Arial" w:eastAsia="Times New Roman" w:hAnsi="Arial" w:cs="Times New Roman"/>
          <w:bCs/>
          <w:sz w:val="20"/>
          <w:szCs w:val="20"/>
          <w:lang w:eastAsia="cs-CZ"/>
        </w:rPr>
        <w:t>397 01 Písek</w:t>
      </w:r>
    </w:p>
    <w:p w14:paraId="21ED2368" w14:textId="6991BE3B" w:rsidR="00380FCA" w:rsidRPr="005F4716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  <w:t xml:space="preserve">zastoupený: </w:t>
      </w:r>
      <w:r w:rsidRPr="005F4716"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  <w:tab/>
      </w:r>
      <w:r w:rsidR="006B0DDA"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  <w:t>Ing. Petr Kasík</w:t>
      </w:r>
      <w:r w:rsidR="009C679B" w:rsidRPr="008779C1"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  <w:t xml:space="preserve"> </w:t>
      </w:r>
      <w:r w:rsidR="006B0DDA" w:rsidRPr="008779C1"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  <w:t>- jednatel</w:t>
      </w:r>
    </w:p>
    <w:p w14:paraId="21740907" w14:textId="503C0160" w:rsidR="00380FCA" w:rsidRPr="005F4716" w:rsidRDefault="00380FCA" w:rsidP="00420E48">
      <w:pPr>
        <w:tabs>
          <w:tab w:val="left" w:pos="3402"/>
        </w:tabs>
        <w:spacing w:after="0" w:line="276" w:lineRule="auto"/>
        <w:rPr>
          <w:rFonts w:ascii="Arial" w:eastAsia="Arial" w:hAnsi="Arial" w:cs="Times New Roman"/>
          <w:color w:val="000000"/>
          <w:sz w:val="20"/>
          <w:szCs w:val="20"/>
          <w:lang w:eastAsia="cs-CZ"/>
        </w:rPr>
      </w:pPr>
      <w:r w:rsidRPr="005F4716">
        <w:rPr>
          <w:rFonts w:ascii="Arial" w:eastAsia="Arial" w:hAnsi="Arial" w:cs="Times New Roman"/>
          <w:color w:val="000000"/>
          <w:sz w:val="20"/>
          <w:szCs w:val="20"/>
          <w:lang w:eastAsia="cs-CZ"/>
        </w:rPr>
        <w:t xml:space="preserve">IČO: </w:t>
      </w:r>
      <w:r w:rsidRPr="005F4716"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</w:r>
      <w:r w:rsidR="006B0DDA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28082664</w:t>
      </w:r>
    </w:p>
    <w:p w14:paraId="7B8B0684" w14:textId="290DACF9" w:rsidR="00380FCA" w:rsidRPr="005F4716" w:rsidRDefault="00380FCA" w:rsidP="00420E48">
      <w:pPr>
        <w:tabs>
          <w:tab w:val="left" w:pos="3402"/>
        </w:tabs>
        <w:spacing w:after="0" w:line="276" w:lineRule="auto"/>
        <w:rPr>
          <w:rFonts w:ascii="Arial" w:eastAsia="Arial" w:hAnsi="Arial" w:cs="Times New Roman"/>
          <w:color w:val="000000"/>
          <w:sz w:val="20"/>
          <w:szCs w:val="20"/>
          <w:lang w:eastAsia="cs-CZ"/>
        </w:rPr>
      </w:pPr>
      <w:r w:rsidRPr="005F4716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DIČ:</w:t>
      </w:r>
      <w:r w:rsidRPr="005F4716"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</w:r>
      <w:r w:rsidR="006B0DDA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CZ 28082664</w:t>
      </w:r>
    </w:p>
    <w:p w14:paraId="1F85DFE7" w14:textId="6A794988" w:rsidR="00380FCA" w:rsidRPr="008779C1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Times New Roman"/>
          <w:bCs/>
          <w:sz w:val="20"/>
          <w:szCs w:val="20"/>
          <w:lang w:eastAsia="cs-CZ"/>
        </w:rPr>
        <w:t>Bankovní spojení:</w:t>
      </w:r>
      <w:r w:rsidRPr="005F4716">
        <w:rPr>
          <w:rFonts w:ascii="Arial" w:eastAsia="Times New Roman" w:hAnsi="Arial" w:cs="Times New Roman"/>
          <w:bCs/>
          <w:sz w:val="20"/>
          <w:szCs w:val="20"/>
          <w:lang w:eastAsia="cs-CZ"/>
        </w:rPr>
        <w:tab/>
      </w:r>
      <w:r w:rsidR="006B0DDA" w:rsidRPr="006B0DDA">
        <w:rPr>
          <w:rFonts w:ascii="Arial" w:eastAsia="Times New Roman" w:hAnsi="Arial" w:cs="Times New Roman"/>
          <w:bCs/>
          <w:sz w:val="20"/>
          <w:szCs w:val="20"/>
          <w:lang w:eastAsia="cs-CZ"/>
        </w:rPr>
        <w:t>ČSOB PÍSEK</w:t>
      </w:r>
      <w:r w:rsidR="009C679B" w:rsidRPr="008779C1"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  <w:t xml:space="preserve"> </w:t>
      </w:r>
    </w:p>
    <w:p w14:paraId="6DEB74C3" w14:textId="6993E3A9" w:rsidR="00380FCA" w:rsidRPr="005F4716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bCs/>
          <w:sz w:val="20"/>
          <w:szCs w:val="20"/>
          <w:lang w:eastAsia="cs-CZ"/>
        </w:rPr>
      </w:pPr>
      <w:r w:rsidRPr="005F4716">
        <w:rPr>
          <w:rFonts w:ascii="Arial" w:eastAsia="Times New Roman" w:hAnsi="Arial" w:cs="Times New Roman"/>
          <w:sz w:val="20"/>
          <w:szCs w:val="20"/>
          <w:lang w:eastAsia="cs-CZ"/>
        </w:rPr>
        <w:t>Číslo účtu:</w:t>
      </w:r>
      <w:r w:rsidRPr="005F4716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="006B0DDA" w:rsidRPr="006B0DDA">
        <w:rPr>
          <w:rFonts w:ascii="Arial" w:eastAsia="Times New Roman" w:hAnsi="Arial" w:cs="Times New Roman"/>
          <w:sz w:val="20"/>
          <w:szCs w:val="20"/>
          <w:lang w:eastAsia="cs-CZ"/>
        </w:rPr>
        <w:t>220783182/0300</w:t>
      </w:r>
    </w:p>
    <w:p w14:paraId="7CEB407E" w14:textId="76C13D51" w:rsidR="00380FCA" w:rsidRPr="005F4716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bCs/>
          <w:sz w:val="20"/>
          <w:szCs w:val="20"/>
          <w:lang w:val="en-US" w:eastAsia="cs-CZ"/>
        </w:rPr>
      </w:pPr>
      <w:r w:rsidRPr="005F4716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Zástupce ve věcech technických:</w:t>
      </w:r>
      <w:r w:rsidRPr="005F4716"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</w:r>
      <w:r w:rsidR="006B0DDA"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  <w:t>František Kasík</w:t>
      </w:r>
      <w:r w:rsidR="0055657B"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  <w:t xml:space="preserve"> - jednatel</w:t>
      </w:r>
    </w:p>
    <w:p w14:paraId="68161217" w14:textId="1B27AB67" w:rsidR="00380FCA" w:rsidRDefault="00380FCA" w:rsidP="009C679B">
      <w:pPr>
        <w:tabs>
          <w:tab w:val="left" w:pos="3119"/>
        </w:tabs>
        <w:spacing w:after="0" w:line="276" w:lineRule="auto"/>
        <w:ind w:left="3402" w:hanging="3402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5F4716">
        <w:rPr>
          <w:rFonts w:ascii="Arial" w:eastAsia="Times New Roman" w:hAnsi="Arial" w:cs="Times New Roman"/>
          <w:sz w:val="20"/>
          <w:szCs w:val="20"/>
          <w:lang w:eastAsia="cs-CZ"/>
        </w:rPr>
        <w:t xml:space="preserve">Registrační údaje: </w:t>
      </w:r>
      <w:r w:rsidR="009C679B">
        <w:rPr>
          <w:rFonts w:ascii="Arial" w:eastAsia="Times New Roman" w:hAnsi="Arial" w:cs="Times New Roman"/>
          <w:sz w:val="20"/>
          <w:szCs w:val="20"/>
          <w:lang w:eastAsia="cs-CZ"/>
        </w:rPr>
        <w:tab/>
        <w:t xml:space="preserve">     </w:t>
      </w:r>
    </w:p>
    <w:p w14:paraId="5BE75E84" w14:textId="77777777" w:rsidR="00140B98" w:rsidRPr="005F4716" w:rsidRDefault="00140B98" w:rsidP="009C679B">
      <w:pPr>
        <w:tabs>
          <w:tab w:val="left" w:pos="3119"/>
        </w:tabs>
        <w:spacing w:after="0" w:line="276" w:lineRule="auto"/>
        <w:ind w:left="3402" w:hanging="3402"/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</w:pPr>
    </w:p>
    <w:p w14:paraId="31C0E0FC" w14:textId="77777777" w:rsidR="00380FCA" w:rsidRPr="005F4716" w:rsidRDefault="00380FCA" w:rsidP="00420E48">
      <w:pPr>
        <w:spacing w:after="0" w:line="276" w:lineRule="auto"/>
        <w:rPr>
          <w:rFonts w:ascii="Arial" w:eastAsia="Times New Roman" w:hAnsi="Arial" w:cs="Times New Roman"/>
          <w:snapToGrid w:val="0"/>
          <w:sz w:val="20"/>
          <w:szCs w:val="20"/>
          <w:lang w:eastAsia="cs-CZ"/>
        </w:rPr>
      </w:pPr>
    </w:p>
    <w:p w14:paraId="4F83FB36" w14:textId="77777777" w:rsidR="006146EB" w:rsidRPr="005F4716" w:rsidRDefault="00380FCA" w:rsidP="00380FC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Times New Roman"/>
          <w:snapToGrid w:val="0"/>
          <w:sz w:val="20"/>
          <w:szCs w:val="20"/>
          <w:lang w:eastAsia="cs-CZ"/>
        </w:rPr>
        <w:t xml:space="preserve">uzavírají tuto smlouvu o dílo (dále jen 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"</w:t>
      </w:r>
      <w:r w:rsidRPr="005F4716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>smlouva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")</w:t>
      </w:r>
    </w:p>
    <w:p w14:paraId="15493464" w14:textId="77777777" w:rsidR="00380FCA" w:rsidRPr="00380FCA" w:rsidRDefault="00380FCA" w:rsidP="00380FCA">
      <w:pPr>
        <w:spacing w:after="0" w:line="240" w:lineRule="auto"/>
        <w:rPr>
          <w:rFonts w:ascii="Arial" w:eastAsia="Times New Roman" w:hAnsi="Arial" w:cs="Times New Roman"/>
          <w:snapToGrid w:val="0"/>
          <w:lang w:eastAsia="cs-CZ"/>
        </w:rPr>
      </w:pPr>
    </w:p>
    <w:p w14:paraId="346B97C7" w14:textId="77777777" w:rsidR="00380FCA" w:rsidRPr="00380FCA" w:rsidRDefault="00380FCA" w:rsidP="00380FCA">
      <w:pPr>
        <w:spacing w:after="0" w:line="240" w:lineRule="auto"/>
        <w:rPr>
          <w:rFonts w:ascii="Arial" w:eastAsia="Times New Roman" w:hAnsi="Arial" w:cs="Times New Roman"/>
          <w:snapToGrid w:val="0"/>
          <w:sz w:val="20"/>
          <w:szCs w:val="24"/>
          <w:lang w:eastAsia="cs-CZ"/>
        </w:rPr>
      </w:pPr>
    </w:p>
    <w:p w14:paraId="1EAA70A8" w14:textId="77777777" w:rsidR="00380FCA" w:rsidRPr="005F4716" w:rsidRDefault="007715C0" w:rsidP="007E6885">
      <w:pPr>
        <w:numPr>
          <w:ilvl w:val="0"/>
          <w:numId w:val="34"/>
        </w:num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b/>
          <w:sz w:val="20"/>
          <w:szCs w:val="20"/>
          <w:lang w:eastAsia="cs-CZ"/>
        </w:rPr>
        <w:t>Úvodní ustanovení</w:t>
      </w:r>
      <w:r w:rsidR="002536CD" w:rsidRPr="005F471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</w:p>
    <w:p w14:paraId="0BB09BD3" w14:textId="77777777" w:rsidR="00E256F7" w:rsidRPr="005F4716" w:rsidRDefault="002536CD" w:rsidP="00E256F7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Touto smlouvou o dílo se zhotovitel zavazuje k provedení díla a objednatel se zavazuje k jeho převzetí a zaplacení dohodnuté ceny za jeho provedení, za předpokladu dodržení všech podmínek výslovně v této smlouvě sjednaných.</w:t>
      </w:r>
    </w:p>
    <w:p w14:paraId="1156A960" w14:textId="77777777" w:rsidR="00E256F7" w:rsidRPr="005F4716" w:rsidRDefault="002536CD" w:rsidP="00E256F7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Zhotovitel </w:t>
      </w:r>
      <w:r w:rsidR="00CC12CE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se uzavřením této smlouvy o dílo zavazuje na svůj náklad a na své nebezpečí odborně provést pro objednatele dílo spočívající ve vypracování projektové dokumentace a v poskytnutí souvisejících služeb. Zhotovitel 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prohlašuje</w:t>
      </w:r>
      <w:r w:rsidR="00CC12CE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že je </w:t>
      </w:r>
      <w:r w:rsidR="00600503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autorizovanou osobou 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</w:t>
      </w:r>
      <w:r w:rsidR="00600503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oprávněním potřebným k provedení projekčních prací, které jsou předmětem smlouvy, a že disponuje zkušenostmi a</w:t>
      </w:r>
      <w:r w:rsid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technickým</w:t>
      </w:r>
      <w:r w:rsidR="00600503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i 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prostředky</w:t>
      </w:r>
      <w:r w:rsidR="00600503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ezbytnými k vyhotovení předmětu plnění této smlouvy, v</w:t>
      </w:r>
      <w:r w:rsidR="00533468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rozsahu, kvalitě a</w:t>
      </w:r>
      <w:r w:rsidR="00420E48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termínu touto smlouvou dohodnutých.</w:t>
      </w:r>
      <w:r w:rsidR="00F43FBD" w:rsidRPr="005F4716">
        <w:rPr>
          <w:rFonts w:ascii="Arial" w:hAnsi="Arial" w:cs="Arial"/>
          <w:sz w:val="20"/>
          <w:szCs w:val="20"/>
        </w:rPr>
        <w:t xml:space="preserve"> </w:t>
      </w:r>
    </w:p>
    <w:p w14:paraId="44AC726F" w14:textId="77777777" w:rsidR="00E256F7" w:rsidRPr="005F4716" w:rsidRDefault="00E256F7" w:rsidP="00F43FBD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F4716">
        <w:rPr>
          <w:rFonts w:ascii="Arial" w:hAnsi="Arial" w:cs="Arial"/>
          <w:sz w:val="20"/>
          <w:szCs w:val="20"/>
          <w:lang w:val="x-none"/>
        </w:rPr>
        <w:t>Zhotovitel odpovídá za správnost, úplnost a bezpečnost stavby provedené podle jím zpracované projektové dokumentace a za proveditelnost stavby podle jím zpracované projektové dokumentace. Zhotovitel prohlašuje, že je oprávněný a odborně způsobilý provádět činnosti dle této smlouvy.</w:t>
      </w:r>
    </w:p>
    <w:p w14:paraId="26AEECC2" w14:textId="77777777" w:rsidR="004F4317" w:rsidRPr="005F4716" w:rsidRDefault="00F43FBD" w:rsidP="00852625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Objednatel je v nezbytném rozsahu povinen poskytnout zhotoviteli součinnost pro plnění smlouvy, zejména se zavazuje poskytnout zhotoviteli na vyžádání </w:t>
      </w:r>
      <w:r w:rsidR="004F4317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nezbytné 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podklady</w:t>
      </w:r>
      <w:r w:rsidR="004F4317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14:paraId="1FBD9F8D" w14:textId="77777777" w:rsidR="0094425D" w:rsidRPr="005F4716" w:rsidRDefault="002536CD" w:rsidP="00852625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Objednatel prohlašuje, že má dostatečné finanční prostředky na plnou úhradu ceny díla.</w:t>
      </w:r>
    </w:p>
    <w:p w14:paraId="489EAC3B" w14:textId="77777777" w:rsidR="00E256F7" w:rsidRPr="005F4716" w:rsidRDefault="00E256F7" w:rsidP="00E256F7">
      <w:pPr>
        <w:spacing w:after="120" w:line="240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0A421C44" w14:textId="77777777" w:rsidR="002D4596" w:rsidRPr="005F4716" w:rsidRDefault="002D4596" w:rsidP="007715C0">
      <w:pPr>
        <w:numPr>
          <w:ilvl w:val="0"/>
          <w:numId w:val="34"/>
        </w:num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Předmět </w:t>
      </w:r>
      <w:r w:rsidR="004C1132" w:rsidRPr="005F4716">
        <w:rPr>
          <w:rFonts w:ascii="Arial" w:eastAsia="Times New Roman" w:hAnsi="Arial" w:cs="Arial"/>
          <w:b/>
          <w:sz w:val="20"/>
          <w:szCs w:val="20"/>
          <w:lang w:eastAsia="cs-CZ"/>
        </w:rPr>
        <w:t>díla</w:t>
      </w:r>
      <w:r w:rsidRPr="005F471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</w:p>
    <w:p w14:paraId="25432576" w14:textId="14A3A0DD" w:rsidR="00600503" w:rsidRDefault="00600503" w:rsidP="006B0DDA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Předmětem díla je zpracování projektové dokumentace na stavbu: </w:t>
      </w:r>
      <w:r w:rsidR="009C679B" w:rsidRPr="00D16D2D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cs-CZ"/>
        </w:rPr>
        <w:t>„</w:t>
      </w:r>
      <w:r w:rsidR="006B0DDA" w:rsidRPr="006B0DDA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cs-CZ"/>
        </w:rPr>
        <w:t>Snížení energetické náročnosti objektu 11. MŠ Na Ryšavce 241 Písek</w:t>
      </w:r>
      <w:r w:rsidR="00A72093" w:rsidRPr="00D16D2D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cs-CZ"/>
        </w:rPr>
        <w:t>“</w:t>
      </w:r>
      <w:r w:rsidR="00A7209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</w:t>
      </w:r>
      <w:r w:rsid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související služby v tomto rozsahu: </w:t>
      </w:r>
    </w:p>
    <w:p w14:paraId="4859C604" w14:textId="77777777" w:rsidR="00A72093" w:rsidRDefault="00A72093" w:rsidP="00A72093">
      <w:p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4A412776" w14:textId="05FC8D53" w:rsidR="00A72093" w:rsidRPr="00A72093" w:rsidRDefault="00A72093" w:rsidP="00A7209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Zpracování projektové studie stavebního a technologického řešení zateplení objektu </w:t>
      </w:r>
      <w:r w:rsidR="008609F6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11</w:t>
      </w:r>
      <w:r w:rsidR="00140B98" w:rsidRPr="00140B98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. MŠ </w:t>
      </w:r>
      <w:r w:rsidR="008609F6" w:rsidRPr="008609F6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Na Ryšavce 241 Písek</w:t>
      </w:r>
      <w:r>
        <w:rPr>
          <w:rFonts w:ascii="Arial" w:hAnsi="Arial" w:cs="Arial"/>
          <w:sz w:val="20"/>
          <w:szCs w:val="20"/>
        </w:rPr>
        <w:t xml:space="preserve">. Projektová studie bude realizována minimálně v rozsahu a podrobnostech dle závazné struktury definované Státním fondem životního prostředí </w:t>
      </w:r>
      <w:r w:rsidRPr="00A72093">
        <w:rPr>
          <w:rFonts w:ascii="Arial" w:hAnsi="Arial" w:cs="Arial"/>
          <w:sz w:val="20"/>
          <w:szCs w:val="20"/>
          <w:highlight w:val="magenta"/>
        </w:rPr>
        <w:t>PŘÍLOHA 1</w:t>
      </w:r>
      <w:r>
        <w:rPr>
          <w:rFonts w:ascii="Arial" w:hAnsi="Arial" w:cs="Arial"/>
          <w:sz w:val="20"/>
          <w:szCs w:val="20"/>
        </w:rPr>
        <w:t xml:space="preserve">, která bude přílohou žádosti o poskytnutí dotace v rámci 70. Výzvy OPŽP. Technické řešení nuceného větrání učeben bude navrženo v souladu s Metodickým pokynem pro návrh větrání škol vydaným Státním fondem životního prostředí </w:t>
      </w:r>
      <w:r w:rsidRPr="00A72093">
        <w:rPr>
          <w:rFonts w:ascii="Arial" w:hAnsi="Arial" w:cs="Arial"/>
          <w:sz w:val="20"/>
          <w:szCs w:val="20"/>
          <w:highlight w:val="magenta"/>
        </w:rPr>
        <w:t>PŘÍLOHA 2</w:t>
      </w:r>
      <w:r>
        <w:rPr>
          <w:rFonts w:ascii="Arial" w:hAnsi="Arial" w:cs="Arial"/>
          <w:sz w:val="20"/>
          <w:szCs w:val="20"/>
        </w:rPr>
        <w:t xml:space="preserve">. Podkladem pro návrh energetických opatření a jejich rozsah bude odborný posudek energetického auditora firmy TESPORA </w:t>
      </w:r>
      <w:proofErr w:type="spellStart"/>
      <w:r>
        <w:rPr>
          <w:rFonts w:ascii="Arial" w:hAnsi="Arial" w:cs="Arial"/>
          <w:sz w:val="20"/>
          <w:szCs w:val="20"/>
        </w:rPr>
        <w:t>Profi</w:t>
      </w:r>
      <w:proofErr w:type="spellEnd"/>
      <w:r>
        <w:rPr>
          <w:rFonts w:ascii="Arial" w:hAnsi="Arial" w:cs="Arial"/>
          <w:sz w:val="20"/>
          <w:szCs w:val="20"/>
        </w:rPr>
        <w:t xml:space="preserve">, s.r.o. Součástí projektové studie bude oceněný soupis stavebních prací a dodávek v podrobnostech podle vyhlášky 230/2012 Sb. a v obdobné formě jak je uvedeno v odstavci 2.4. </w:t>
      </w:r>
    </w:p>
    <w:p w14:paraId="7E678CA7" w14:textId="77777777" w:rsidR="00A72093" w:rsidRPr="00A72093" w:rsidRDefault="00A72093" w:rsidP="00A72093">
      <w:pPr>
        <w:pStyle w:val="Odstavecseseznamem"/>
        <w:autoSpaceDE w:val="0"/>
        <w:autoSpaceDN w:val="0"/>
        <w:adjustRightInd w:val="0"/>
        <w:spacing w:before="60" w:after="0" w:line="240" w:lineRule="auto"/>
        <w:ind w:left="927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3D8F0DBB" w14:textId="2BB89094" w:rsidR="00A72093" w:rsidRPr="00A72093" w:rsidRDefault="00A72093" w:rsidP="00A7209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 xml:space="preserve">Zpracování dokumentace pro zadání stavebních prací v podrobnostech dokumentace pro provedení stavby včetně výkazu výměr a kompletní inženýrské činnosti pro zajištění všech opatření stavebního úřadu potřebných k realizaci stavby. Činnost bude zahrnovat i spolupráci při výběru dodavatele stavby a autorský dozor při realizaci stavby.   </w:t>
      </w:r>
    </w:p>
    <w:p w14:paraId="4525EA1A" w14:textId="628F5701" w:rsidR="005F4716" w:rsidRDefault="005F4716" w:rsidP="00A72093">
      <w:p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5A92D2AB" w14:textId="06360C28" w:rsidR="00CC4D0C" w:rsidRPr="00F17ABF" w:rsidRDefault="00CC4D0C" w:rsidP="00CC4D0C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Projektová dokumentace </w:t>
      </w:r>
      <w:r w:rsidR="00A7209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podle odstavce </w:t>
      </w:r>
      <w:proofErr w:type="gramStart"/>
      <w:r w:rsidR="00A7209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2.1. b) využitá</w:t>
      </w:r>
      <w:proofErr w:type="gramEnd"/>
      <w:r w:rsidR="00A7209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i </w:t>
      </w:r>
      <w:r w:rsidR="00E0448F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pro stavební řízení 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bude zpracována </w:t>
      </w:r>
      <w:r w:rsidR="00DC5ECC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 souladu se zákonem č. 183/2006 Sb., o územním plánování a stavebním řádu, ve znění pozdějších předpisů, a 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podle vyhlášky č. 499/2006 Sb., o dokumentaci staveb, ve znění pozdějších předpisů,</w:t>
      </w:r>
      <w:r w:rsidR="00DC5ECC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 bude obsahovat všechny součásti a podklady potřebné pro vydání stavebního povolení</w:t>
      </w:r>
      <w:r w:rsidR="00692C1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pokud bude k realizaci stavby vyžadováno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  <w:r w:rsidR="00B220AF" w:rsidRPr="00F17ABF">
        <w:rPr>
          <w:rFonts w:ascii="Arial" w:eastAsia="Times New Roman" w:hAnsi="Arial" w:cs="Arial"/>
          <w:sz w:val="20"/>
          <w:szCs w:val="20"/>
          <w:lang w:eastAsia="cs-CZ"/>
        </w:rPr>
        <w:t>Projektová dokumentace musí splňovat i náležitosti dle vyhl</w:t>
      </w:r>
      <w:r w:rsidR="00F17ABF">
        <w:rPr>
          <w:rFonts w:ascii="Arial" w:eastAsia="Times New Roman" w:hAnsi="Arial" w:cs="Arial"/>
          <w:sz w:val="20"/>
          <w:szCs w:val="20"/>
          <w:lang w:eastAsia="cs-CZ"/>
        </w:rPr>
        <w:t xml:space="preserve">ášky </w:t>
      </w:r>
      <w:r w:rsidR="00B220AF" w:rsidRPr="00F17ABF">
        <w:rPr>
          <w:rFonts w:ascii="Arial" w:eastAsia="Times New Roman" w:hAnsi="Arial" w:cs="Arial"/>
          <w:sz w:val="20"/>
          <w:szCs w:val="20"/>
          <w:lang w:eastAsia="cs-CZ"/>
        </w:rPr>
        <w:t>č. 169/2016 Sb., neboť bude sloužit objednateli pro zadání veřejné zakázky.</w:t>
      </w:r>
    </w:p>
    <w:p w14:paraId="4DA8C130" w14:textId="77777777" w:rsidR="00CC4D0C" w:rsidRPr="005F4716" w:rsidRDefault="00CC4D0C" w:rsidP="00CC4D0C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Zhotovitel předá objednateli projektovou dokumentaci v listinné podobě v šesti vyhotoveních a</w:t>
      </w:r>
      <w:r w:rsid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</w:t>
      </w:r>
      <w:r w:rsid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jednom vyhotovení v elektronické podobě na CD ve formátu </w:t>
      </w:r>
      <w:proofErr w:type="spellStart"/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pdf</w:t>
      </w:r>
      <w:proofErr w:type="spellEnd"/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</w:t>
      </w:r>
      <w:proofErr w:type="spellStart"/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dwg</w:t>
      </w:r>
      <w:proofErr w:type="spellEnd"/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případně v jiném běžně podporovaném formátu.</w:t>
      </w:r>
      <w:r w:rsidR="00DC5ECC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14:paraId="5E082AD3" w14:textId="77777777" w:rsidR="006146EB" w:rsidRPr="005F4716" w:rsidRDefault="00CC4D0C" w:rsidP="006146EB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Projektová dokumentace pro zadání stavby v podrobnosti pro provádění stavby bude obsahovat soupis prací a výkaz výměr ve formátu </w:t>
      </w:r>
      <w:proofErr w:type="spellStart"/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xls</w:t>
      </w:r>
      <w:proofErr w:type="spellEnd"/>
      <w:r w:rsidR="008F5AF0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N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eoceněný soupis prací </w:t>
      </w:r>
      <w:r w:rsidR="008F5AF0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 listinné podobě 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bude součástí každého </w:t>
      </w:r>
      <w:r w:rsidR="008F5AF0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vyhotovení 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projektové dokumentace. </w:t>
      </w:r>
      <w:r w:rsidR="008F5AF0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Dále zhotovitel vypracuje oceněný soupis prací, včetně krycího listu, </w:t>
      </w:r>
      <w:r w:rsidR="00CC12CE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 cenami uvedenými </w:t>
      </w:r>
      <w:r w:rsidR="008F5AF0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 Kč bez DPH, samostatné DPH v Kč a </w:t>
      </w:r>
      <w:r w:rsidR="00CC12CE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 cenami uvedenými </w:t>
      </w:r>
      <w:r w:rsidR="008F5AF0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 Kč včetně DPH, dle aktuální cenové soustavy, pro stanovení předpokládané hodnoty stavby. U každého objektu bude uveden u rekapitulace objektů šestimístný číselný kód zatřídění dle </w:t>
      </w:r>
      <w:r w:rsidR="00CC12CE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</w:t>
      </w:r>
      <w:r w:rsidR="008F5AF0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lasifikace stavebních děl (CZ-CC).</w:t>
      </w:r>
      <w:r w:rsidR="00DC5ECC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7B29B5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Výrobky a dodávky budou podrobně popsány a</w:t>
      </w:r>
      <w:r w:rsid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="007B29B5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budou uvedeny jejich technické a fyzikální vlastnosti tak, aby uchazeč o realizaci mohl podle uvedených vlastností vybrat vhodný výrobek, resp. dodávku. </w:t>
      </w:r>
      <w:r w:rsidR="00DC5ECC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Soupis prací </w:t>
      </w:r>
      <w:r w:rsidR="00EE04A1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bude obsahovat sloupec s odkazem na typ použité cenové soustavy ve tvaru "</w:t>
      </w:r>
      <w:proofErr w:type="spellStart"/>
      <w:r w:rsidR="00EE04A1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rok_typ</w:t>
      </w:r>
      <w:proofErr w:type="spellEnd"/>
      <w:r w:rsidR="00EE04A1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cenové soustavy"</w:t>
      </w:r>
      <w:r w:rsidR="00DC5ECC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EE04A1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(např. "2015_OTSKP" nebo "CS_ÚRS_2015_01" nebo "RTS_DATA_2016/I"). </w:t>
      </w:r>
      <w:r w:rsidR="008F5AF0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Objednatel si vyhrazuje právo požádat zhotovitele v případě potřeby o bezplatnou aktualizaci soupisu prací. O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ceněný soupis prací </w:t>
      </w:r>
      <w:r w:rsidR="008F5AF0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 listinné podobě 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bude </w:t>
      </w:r>
      <w:r w:rsidR="00CC12CE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objednateli 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předán ve dvou vyhotoveních samostatně</w:t>
      </w:r>
      <w:r w:rsidR="008F5AF0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Zhotovitel bere na vědomí, že tuto projektovou dokumentaci použije objednatel pro výběr dodavatele stavby</w:t>
      </w:r>
      <w:r w:rsidR="006146EB" w:rsidRPr="005F4716">
        <w:rPr>
          <w:sz w:val="20"/>
          <w:szCs w:val="20"/>
        </w:rPr>
        <w:t>.</w:t>
      </w:r>
    </w:p>
    <w:p w14:paraId="7A5FB911" w14:textId="782B87C7" w:rsidR="006146EB" w:rsidRPr="005F4716" w:rsidRDefault="00CC4D0C" w:rsidP="006146EB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Součástí projektové dokumentace </w:t>
      </w:r>
      <w:r w:rsidR="00A7209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podle odst. </w:t>
      </w:r>
      <w:proofErr w:type="gramStart"/>
      <w:r w:rsidR="00A7209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2.1. b) 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bude</w:t>
      </w:r>
      <w:proofErr w:type="gramEnd"/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dopravně-inženýrské opatření pro realizaci stavby, pro případné zvláštní užívání a uzavírky pozemních komunikací s umístěním dopravního značení, tzn. pro stanovení místní a přechodné úpravy provozu na pozemních komunikacích</w:t>
      </w:r>
      <w:r w:rsidR="00492814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 době provádění stavby dle požadavku Policie ČR, vlastníka pozemní komunikace a příslušného správního úřadu dle zák. č. 13/1997 Sb., o</w:t>
      </w:r>
      <w:r w:rsidR="00492814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pozemních komunikacích, ve znění pozdějších předpisů, a dalších souvisejících předpisů.</w:t>
      </w:r>
      <w:r w:rsidR="006146EB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14:paraId="454BA7E7" w14:textId="77777777" w:rsidR="00E256F7" w:rsidRPr="005F4716" w:rsidRDefault="00E256F7" w:rsidP="00E256F7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Zhotovitel je povinen provést i práce a činnosti výše výslovně neuvedené (průzkumy, studie, polohopisné a výškopisné zaměření apod.), o nichž ví nebo podle svých odborných zkušeností vědět má, že jsou nezbytné pro řádné plnění předmětu této smlouvy.</w:t>
      </w:r>
    </w:p>
    <w:p w14:paraId="027523F6" w14:textId="417F037E" w:rsidR="0033021C" w:rsidRPr="005F4716" w:rsidRDefault="00CC4D0C" w:rsidP="00D21142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Součástí projektové dokumentace </w:t>
      </w:r>
      <w:r w:rsidR="00A7209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podle odst. </w:t>
      </w:r>
      <w:proofErr w:type="gramStart"/>
      <w:r w:rsidR="00A7209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2.1. b) 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bude</w:t>
      </w:r>
      <w:proofErr w:type="gramEnd"/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posouzení, zda pro realizaci stavby ve smyslu ustanovení zákona č. 309/2006 Sb., kterým se upravují další požadavky bezpečnosti a</w:t>
      </w:r>
      <w:r w:rsidR="00492814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ochrany zdraví při práci v pracovněprávních vztazích a o zajištění bezpečnosti a</w:t>
      </w:r>
      <w:r w:rsidR="006146EB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ochrany zdraví při činnosti nebo poskytování služeb mimo pracovněprávní vztahy (zákon o zajištění dalších podmínek bezpečnosti a ochrany zdraví při práci), ve znění pozdějších předpisů, musí být určen koordinátor bezpečnosti a ochrany zdraví při práci na staveništi a zda vzniká povinnost zpracovat plán bezpečnosti a ochrany zdraví při práci na staveništi. Součástí dokumentace budou podmínky pro zajištění bezpečnosti a</w:t>
      </w:r>
      <w:r w:rsidR="006146EB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ochrany zdraví při práci.</w:t>
      </w:r>
    </w:p>
    <w:p w14:paraId="62F13C14" w14:textId="1C9C88D8" w:rsidR="005F4716" w:rsidRPr="005F4716" w:rsidRDefault="005F4716" w:rsidP="005F4716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 xml:space="preserve">Projektová dokumentace </w:t>
      </w:r>
      <w:r w:rsidR="00A7209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podle odst. </w:t>
      </w:r>
      <w:proofErr w:type="gramStart"/>
      <w:r w:rsidR="00A7209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2.1. b) 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bude</w:t>
      </w:r>
      <w:proofErr w:type="gramEnd"/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obsahovat zakreslení veškerých podzemních a nadzemních sítí, nacházejících se v zájmovém území, zjištění stavu stávajících inženýrských sítí u jejich správců a v případě potřeby bude projektová dokumentace řešit přeložky těchto sítí. </w:t>
      </w:r>
    </w:p>
    <w:p w14:paraId="5B9AAF72" w14:textId="77777777" w:rsidR="0033021C" w:rsidRPr="005F4716" w:rsidRDefault="0033021C" w:rsidP="0033021C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Spolupráce s objednatelem při výběru dodavatele stavby zahrnuje zodpovězení dodatečných dotazů uchazečů k projektové dokumentaci stavby včetně soupisu prací a výkazů výměr, a to ve lhůtě dvou pracovních dnů od doručení dotazu objednatelem. Za doručení dotazu objednatelem se považuje i doručení dotazu prostřednictvím elektronické pošty (e-mailem). </w:t>
      </w:r>
    </w:p>
    <w:p w14:paraId="584993A3" w14:textId="77777777" w:rsidR="0033021C" w:rsidRPr="005F4716" w:rsidRDefault="0033021C" w:rsidP="00E8679D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Spolupráce při výběru dodavatele stavby zahrnuje účast na jednáních hodnotící komise, kontrolu oceněných soupisů prací v nabídkách uchazečů a kontrolu oceněného soupisu prací vítězné nabídky před uzavřením smlouvy</w:t>
      </w:r>
      <w:r w:rsidR="00E8679D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dále posouzení případných zdůvodnění mimořádně nízké nabídkové ceny do tří pracovních dnů od doručení dotazu objednatelem. Za doručení dotazu objednatelem se považuje i doručení dotazu prostřednictvím elektronické pošty (e-mailem).</w:t>
      </w:r>
      <w:r w:rsidR="00CC4D0C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14:paraId="19B1AB49" w14:textId="4390D929" w:rsidR="00E0448F" w:rsidRPr="005F4716" w:rsidRDefault="00E0448F" w:rsidP="007B29B5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Provádění inženýrské činnosti zhotovitelem zahrnuje veškeré činnosti a práce nutné k</w:t>
      </w:r>
      <w:r w:rsidR="00E8679D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zajištění pravomocného stavebního povolení či jiného potřebného opatření stavebního úřadu, z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ejména zajištění všech po</w:t>
      </w:r>
      <w:r w:rsidR="00E8679D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žadovaných závazných 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stanovisek</w:t>
      </w:r>
      <w:r w:rsidR="00E8679D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dotčených orgánů,</w:t>
      </w:r>
      <w:r w:rsidR="007B29B5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zajištění souhlasů a jiných bezrozporných stanovisek účastníků řízení a dále jednání se správními úřady k zahájení a vedení správních řízen, a to včetně nákladů s tím spojených (tzn. poštovné, kolkovné, dopravné, apod.).</w:t>
      </w:r>
    </w:p>
    <w:p w14:paraId="5004C58B" w14:textId="77777777" w:rsidR="007111FE" w:rsidRPr="005F4716" w:rsidRDefault="00CC4D0C" w:rsidP="007111FE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Autorský dozor při realizaci stavby bude vykonáván zhotovitelem průběžně po celou dobu zhotovování stavby až do jejího dokončení, tj. do předání a převzetí stavby objednatelem. Prováděním autorského dozoru při realizaci stavby se rozumí:</w:t>
      </w:r>
    </w:p>
    <w:p w14:paraId="621B3DE9" w14:textId="77777777" w:rsidR="007111FE" w:rsidRPr="005F4716" w:rsidRDefault="00CC4D0C" w:rsidP="007111FE">
      <w:pPr>
        <w:numPr>
          <w:ilvl w:val="0"/>
          <w:numId w:val="46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kontrola provádění díla v souladu s</w:t>
      </w:r>
      <w:r w:rsidR="007111FE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projektovou dokumentací</w:t>
      </w:r>
      <w:r w:rsidR="007111FE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ověřenou stavebním úřadem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r w:rsidR="007111FE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podmínkami smlouvy, doplňky a změnami projektové dokumentace, které budou schváleny objednatelem a dodatečně ověřeny stavebním úřadem, pokud je takového schválení třeba;</w:t>
      </w:r>
    </w:p>
    <w:p w14:paraId="4A22FA5F" w14:textId="77777777" w:rsidR="007111FE" w:rsidRPr="005F4716" w:rsidRDefault="00CC4D0C" w:rsidP="007111FE">
      <w:pPr>
        <w:numPr>
          <w:ilvl w:val="0"/>
          <w:numId w:val="46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účast na veřejnoprávním řízení a jednání s dotčenými orgány, kontrola při vytyčování stavby, poskytování vysvětlení k projektové dokumentaci na stavbě, povolování změn a odchylek od schváleného projektu, kontrola technologie navržených částí stavby, účast na kontrolních dnech, dozor nad průběhem zkoušek prováděných na stavbě, zaznamenávání zjištění a</w:t>
      </w:r>
      <w:r w:rsid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požadavků do stavebního deníku, doplňování detailů a dalších specifikací, které je třeba předem dohodnout</w:t>
      </w:r>
    </w:p>
    <w:p w14:paraId="3AEBE97A" w14:textId="77777777" w:rsidR="00CC4D0C" w:rsidRPr="005F4716" w:rsidRDefault="007111FE" w:rsidP="007111FE">
      <w:pPr>
        <w:numPr>
          <w:ilvl w:val="0"/>
          <w:numId w:val="46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 žádost objednatele posouzení a odsouhlasení případných návrhů dodavatele stavby na změny schválené projektové dokumentace a na odchylky od ní, které byly vyvolány v</w:t>
      </w:r>
      <w:r w:rsidR="007B29B5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ivem okolností vzniklých v průběhu </w:t>
      </w:r>
      <w:r w:rsidR="007B29B5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realizace díla</w:t>
      </w:r>
      <w:r w:rsidR="00CC4D0C"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14:paraId="0768B46E" w14:textId="77777777" w:rsidR="004C1132" w:rsidRPr="005F4716" w:rsidRDefault="004C1132" w:rsidP="007715C0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F4716">
        <w:rPr>
          <w:rFonts w:ascii="Arial" w:eastAsia="Calibri" w:hAnsi="Arial" w:cs="Arial"/>
          <w:sz w:val="20"/>
          <w:szCs w:val="20"/>
        </w:rPr>
        <w:t xml:space="preserve">Dojde-li při realizaci předmětu díla k jakýmkoliv změnám, doplňkům nebo rozšíření předmětu díla na základě požadavků objednatele, uzavřou obě strany dodatek ke smlouvě, ve kterém dohodnou úpravu ceny a termínu předání díla. </w:t>
      </w:r>
    </w:p>
    <w:p w14:paraId="56DEA1E6" w14:textId="77777777" w:rsidR="004A608E" w:rsidRPr="005F4716" w:rsidRDefault="004A608E" w:rsidP="004A608E">
      <w:pPr>
        <w:autoSpaceDE w:val="0"/>
        <w:autoSpaceDN w:val="0"/>
        <w:adjustRightInd w:val="0"/>
        <w:spacing w:before="60" w:after="0" w:line="276" w:lineRule="auto"/>
        <w:ind w:left="4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35F5C866" w14:textId="77777777" w:rsidR="00DA2824" w:rsidRPr="005F4716" w:rsidRDefault="004C1132" w:rsidP="007E6885">
      <w:pPr>
        <w:numPr>
          <w:ilvl w:val="0"/>
          <w:numId w:val="34"/>
        </w:num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Termíny plnění </w:t>
      </w:r>
      <w:r w:rsidR="007E6885" w:rsidRPr="005F471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</w:p>
    <w:p w14:paraId="3115D4B6" w14:textId="77777777" w:rsidR="007E6885" w:rsidRPr="005F4716" w:rsidRDefault="00DA2824" w:rsidP="00DA2824">
      <w:pPr>
        <w:numPr>
          <w:ilvl w:val="1"/>
          <w:numId w:val="34"/>
        </w:num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z w:val="20"/>
          <w:szCs w:val="20"/>
          <w:lang w:eastAsia="cs-CZ"/>
        </w:rPr>
        <w:t>Zhotovitel se zavazuje provést a předat sjednané dílo v těchto termínech:</w:t>
      </w:r>
    </w:p>
    <w:p w14:paraId="23D3ACC6" w14:textId="215F262E" w:rsidR="00A72093" w:rsidRDefault="00A72093" w:rsidP="00A72093">
      <w:pPr>
        <w:pStyle w:val="Odstavecseseznamem"/>
        <w:numPr>
          <w:ilvl w:val="2"/>
          <w:numId w:val="34"/>
        </w:num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7209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Projektová studie stavebního a technologického řešení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 rozsahu </w:t>
      </w:r>
      <w:r w:rsidRPr="00A7209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dle odst. </w:t>
      </w:r>
      <w:proofErr w:type="gramStart"/>
      <w:r w:rsidRPr="00A7209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2.1.a)</w:t>
      </w:r>
      <w:proofErr w:type="gramEnd"/>
    </w:p>
    <w:p w14:paraId="6868EF91" w14:textId="77777777" w:rsidR="00A72093" w:rsidRDefault="00A72093" w:rsidP="00A72093">
      <w:pPr>
        <w:pStyle w:val="Odstavecseseznamem"/>
        <w:ind w:left="567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1CBB7A8D" w14:textId="67ADE6A0" w:rsidR="00A72093" w:rsidRPr="00A72093" w:rsidRDefault="00A72093" w:rsidP="00A72093">
      <w:pPr>
        <w:pStyle w:val="Odstavecseseznamem"/>
        <w:ind w:left="567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cs-CZ"/>
        </w:rPr>
      </w:pPr>
      <w:r w:rsidRPr="00A72093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do </w:t>
      </w:r>
      <w:proofErr w:type="gramStart"/>
      <w:r w:rsidRPr="00A72093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15.9.2017</w:t>
      </w:r>
      <w:proofErr w:type="gramEnd"/>
    </w:p>
    <w:p w14:paraId="54EB732A" w14:textId="77777777" w:rsidR="00A72093" w:rsidRPr="00A72093" w:rsidRDefault="00A72093" w:rsidP="00A72093">
      <w:pPr>
        <w:pStyle w:val="Odstavecseseznamem"/>
        <w:ind w:left="567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D8E13EC" w14:textId="730524B6" w:rsidR="00DA2824" w:rsidRDefault="00A72093" w:rsidP="00A72093">
      <w:pPr>
        <w:pStyle w:val="Odstavecseseznamem"/>
        <w:numPr>
          <w:ilvl w:val="2"/>
          <w:numId w:val="34"/>
        </w:num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Zpracování dokumentace v rozsahu dle odst. </w:t>
      </w:r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2.1.b)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771E08C5" w14:textId="77777777" w:rsidR="00A72093" w:rsidRDefault="00A72093" w:rsidP="00A72093">
      <w:pPr>
        <w:pStyle w:val="Odstavecseseznamem"/>
        <w:ind w:left="567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33778C7" w14:textId="490D3C6F" w:rsidR="00A72093" w:rsidRDefault="00A72093" w:rsidP="00A72093">
      <w:pPr>
        <w:pStyle w:val="Odstavecseseznamem"/>
        <w:ind w:left="567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72093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do 30 dnů od písemné výzvy objednatele zhotoviteli</w:t>
      </w:r>
    </w:p>
    <w:p w14:paraId="564356FD" w14:textId="02210D70" w:rsidR="00A72093" w:rsidRDefault="00A72093" w:rsidP="00A72093">
      <w:pPr>
        <w:pStyle w:val="Odstavecseseznamem"/>
        <w:ind w:left="56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na základě obdržení kladného rozhodnutí o poskytnutí dotace na realizaci projektu dle této smlouvy </w:t>
      </w:r>
    </w:p>
    <w:p w14:paraId="706D17A0" w14:textId="77777777" w:rsidR="00A72093" w:rsidRDefault="00A72093" w:rsidP="00A72093">
      <w:pPr>
        <w:pStyle w:val="Odstavecseseznamem"/>
        <w:ind w:left="567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612B7B2" w14:textId="1BD44863" w:rsidR="00A72093" w:rsidRPr="00A72093" w:rsidRDefault="00A72093" w:rsidP="00A72093">
      <w:pPr>
        <w:pStyle w:val="Odstavecseseznamem"/>
        <w:numPr>
          <w:ilvl w:val="2"/>
          <w:numId w:val="34"/>
        </w:num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Provádění komplexní inženýrské činnosti </w:t>
      </w:r>
    </w:p>
    <w:p w14:paraId="34624F72" w14:textId="627D0384" w:rsidR="0055459E" w:rsidRPr="00A72093" w:rsidRDefault="00A72093" w:rsidP="00A72093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  <w:r w:rsidRPr="00A72093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do získání potřebného pravomocného povolení </w:t>
      </w:r>
      <w:r w:rsidR="00692C19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nebo opatření </w:t>
      </w:r>
      <w:r w:rsidRPr="00A72093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stavebního úřadu</w:t>
      </w:r>
    </w:p>
    <w:p w14:paraId="39E9B689" w14:textId="77777777" w:rsidR="00A72093" w:rsidRPr="005F4716" w:rsidRDefault="00A72093" w:rsidP="006146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194A7ED" w14:textId="77777777" w:rsidR="0055459E" w:rsidRPr="005F4716" w:rsidRDefault="0055459E" w:rsidP="0055459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3C3135A" w14:textId="77777777" w:rsidR="00A72093" w:rsidRDefault="00A72093" w:rsidP="00A72093">
      <w:pPr>
        <w:pStyle w:val="Odstavecseseznamem"/>
        <w:numPr>
          <w:ilvl w:val="2"/>
          <w:numId w:val="34"/>
        </w:num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="006146EB" w:rsidRPr="005F4716">
        <w:rPr>
          <w:rFonts w:ascii="Arial" w:eastAsia="Times New Roman" w:hAnsi="Arial" w:cs="Arial"/>
          <w:sz w:val="20"/>
          <w:szCs w:val="20"/>
          <w:lang w:eastAsia="cs-CZ"/>
        </w:rPr>
        <w:t>polupráce při výběru dodavatele stavby</w:t>
      </w:r>
    </w:p>
    <w:p w14:paraId="7B8354B0" w14:textId="77777777" w:rsidR="00A72093" w:rsidRDefault="00A72093" w:rsidP="00A72093">
      <w:pPr>
        <w:pStyle w:val="Odstavecseseznamem"/>
        <w:ind w:left="567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854EFFA" w14:textId="34BD6821" w:rsidR="00A72093" w:rsidRPr="00A72093" w:rsidRDefault="00A72093" w:rsidP="00A72093">
      <w:pPr>
        <w:pStyle w:val="Odstavecseseznamem"/>
        <w:ind w:left="567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d</w:t>
      </w:r>
      <w:r w:rsidRPr="00A72093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o podpisu smlouvy s dodavatelem realizace stavby</w:t>
      </w:r>
    </w:p>
    <w:p w14:paraId="62FD0EF2" w14:textId="0142E416" w:rsidR="00A72093" w:rsidRDefault="0055459E" w:rsidP="00A72093">
      <w:pPr>
        <w:pStyle w:val="Odstavecseseznamem"/>
        <w:numPr>
          <w:ilvl w:val="2"/>
          <w:numId w:val="34"/>
        </w:numPr>
        <w:rPr>
          <w:rFonts w:ascii="Arial" w:eastAsia="Times New Roman" w:hAnsi="Arial" w:cs="Arial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72093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A72093" w:rsidRPr="005F4716">
        <w:rPr>
          <w:rFonts w:ascii="Arial" w:eastAsia="Times New Roman" w:hAnsi="Arial" w:cs="Arial"/>
          <w:sz w:val="20"/>
          <w:szCs w:val="20"/>
          <w:lang w:eastAsia="cs-CZ"/>
        </w:rPr>
        <w:t>ýkon autorského dozoru při realizaci stavby</w:t>
      </w:r>
    </w:p>
    <w:p w14:paraId="4EFB00B2" w14:textId="1229E204" w:rsidR="006146EB" w:rsidRPr="00A72093" w:rsidRDefault="00A72093" w:rsidP="0055459E">
      <w:pPr>
        <w:spacing w:after="0" w:line="240" w:lineRule="auto"/>
        <w:ind w:left="6372" w:hanging="5805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d</w:t>
      </w:r>
      <w:r w:rsidRPr="00A72093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o vydání kolaudačního souhlasu respektive do odstranění případných vad a nedodělků</w:t>
      </w:r>
      <w:r w:rsidR="0055459E" w:rsidRPr="00A7209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</w:p>
    <w:p w14:paraId="58C2A00B" w14:textId="77777777" w:rsidR="000177F8" w:rsidRPr="005F4716" w:rsidRDefault="002D4596" w:rsidP="000177F8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z w:val="20"/>
          <w:szCs w:val="20"/>
          <w:lang w:eastAsia="cs-CZ"/>
        </w:rPr>
        <w:t>Dílo se považuje za dokončené jeho předáním a převzetím bez vad a nedodělků, o čemž</w:t>
      </w:r>
      <w:r w:rsidRPr="005F4716">
        <w:rPr>
          <w:rFonts w:ascii="Arial" w:eastAsia="Times New Roman" w:hAnsi="Arial" w:cs="Arial"/>
          <w:color w:val="00B050"/>
          <w:sz w:val="20"/>
          <w:szCs w:val="20"/>
          <w:lang w:eastAsia="cs-CZ"/>
        </w:rPr>
        <w:t xml:space="preserve"> </w:t>
      </w:r>
      <w:r w:rsidRPr="005F4716">
        <w:rPr>
          <w:rFonts w:ascii="Arial" w:eastAsia="Times New Roman" w:hAnsi="Arial" w:cs="Arial"/>
          <w:sz w:val="20"/>
          <w:szCs w:val="20"/>
          <w:lang w:eastAsia="cs-CZ"/>
        </w:rPr>
        <w:t xml:space="preserve">se </w:t>
      </w:r>
      <w:r w:rsidR="004F4317" w:rsidRPr="005F4716">
        <w:rPr>
          <w:rFonts w:ascii="Arial" w:eastAsia="Times New Roman" w:hAnsi="Arial" w:cs="Arial"/>
          <w:sz w:val="20"/>
          <w:szCs w:val="20"/>
          <w:lang w:eastAsia="cs-CZ"/>
        </w:rPr>
        <w:t xml:space="preserve">sepíše </w:t>
      </w:r>
      <w:r w:rsidRPr="005F4716">
        <w:rPr>
          <w:rFonts w:ascii="Arial" w:eastAsia="Times New Roman" w:hAnsi="Arial" w:cs="Arial"/>
          <w:sz w:val="20"/>
          <w:szCs w:val="20"/>
          <w:lang w:eastAsia="cs-CZ"/>
        </w:rPr>
        <w:t>písemný protokol, který podepíší objednatel a zhotovitel. Tento protokol, v</w:t>
      </w:r>
      <w:r w:rsidR="00785B12" w:rsidRPr="005F4716">
        <w:rPr>
          <w:rFonts w:ascii="Arial" w:eastAsia="Times New Roman" w:hAnsi="Arial" w:cs="Arial"/>
          <w:sz w:val="20"/>
          <w:szCs w:val="20"/>
          <w:lang w:eastAsia="cs-CZ"/>
        </w:rPr>
        <w:t xml:space="preserve"> němž </w:t>
      </w:r>
      <w:r w:rsidRPr="005F4716">
        <w:rPr>
          <w:rFonts w:ascii="Arial" w:eastAsia="Times New Roman" w:hAnsi="Arial" w:cs="Arial"/>
          <w:sz w:val="20"/>
          <w:szCs w:val="20"/>
          <w:lang w:eastAsia="cs-CZ"/>
        </w:rPr>
        <w:t>objednatel výslovně prohlásí, že dílo přejímá, je</w:t>
      </w:r>
      <w:r w:rsidR="00CE5B40" w:rsidRPr="005F4716">
        <w:rPr>
          <w:rFonts w:ascii="Arial" w:eastAsia="Times New Roman" w:hAnsi="Arial" w:cs="Arial"/>
          <w:sz w:val="20"/>
          <w:szCs w:val="20"/>
          <w:lang w:eastAsia="cs-CZ"/>
        </w:rPr>
        <w:t xml:space="preserve"> rozhodující skutečností pro </w:t>
      </w:r>
      <w:r w:rsidR="00874844" w:rsidRPr="005F4716">
        <w:rPr>
          <w:rFonts w:ascii="Arial" w:eastAsia="Times New Roman" w:hAnsi="Arial" w:cs="Arial"/>
          <w:sz w:val="20"/>
          <w:szCs w:val="20"/>
          <w:lang w:eastAsia="cs-CZ"/>
        </w:rPr>
        <w:t>splnění termínu dokončení díla.</w:t>
      </w:r>
      <w:r w:rsidR="00705253" w:rsidRPr="005F471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3D82BB7C" w14:textId="77777777" w:rsidR="00FB3420" w:rsidRPr="005F4716" w:rsidRDefault="002D4596" w:rsidP="000177F8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z w:val="20"/>
          <w:szCs w:val="20"/>
          <w:lang w:eastAsia="cs-CZ"/>
        </w:rPr>
        <w:t xml:space="preserve">Termín dokončení </w:t>
      </w:r>
      <w:r w:rsidR="00785B12" w:rsidRPr="005F4716">
        <w:rPr>
          <w:rFonts w:ascii="Arial" w:eastAsia="Times New Roman" w:hAnsi="Arial" w:cs="Arial"/>
          <w:sz w:val="20"/>
          <w:szCs w:val="20"/>
          <w:lang w:eastAsia="cs-CZ"/>
        </w:rPr>
        <w:t xml:space="preserve">díla </w:t>
      </w:r>
      <w:r w:rsidRPr="005F4716">
        <w:rPr>
          <w:rFonts w:ascii="Arial" w:eastAsia="Times New Roman" w:hAnsi="Arial" w:cs="Arial"/>
          <w:sz w:val="20"/>
          <w:szCs w:val="20"/>
          <w:lang w:eastAsia="cs-CZ"/>
        </w:rPr>
        <w:t xml:space="preserve">stanovený v odst. </w:t>
      </w:r>
      <w:r w:rsidR="004A608E" w:rsidRPr="005F4716"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Pr="005F4716">
        <w:rPr>
          <w:rFonts w:ascii="Arial" w:eastAsia="Times New Roman" w:hAnsi="Arial" w:cs="Arial"/>
          <w:sz w:val="20"/>
          <w:szCs w:val="20"/>
          <w:lang w:eastAsia="cs-CZ"/>
        </w:rPr>
        <w:t>.1 tohoto článku smlouvy o dílo může být prodloužen z</w:t>
      </w:r>
      <w:r w:rsidR="000177F8" w:rsidRPr="005F4716">
        <w:rPr>
          <w:rFonts w:ascii="Arial" w:eastAsia="Times New Roman" w:hAnsi="Arial" w:cs="Arial"/>
          <w:sz w:val="20"/>
          <w:szCs w:val="20"/>
          <w:lang w:eastAsia="cs-CZ"/>
        </w:rPr>
        <w:t xml:space="preserve"> důvodu </w:t>
      </w:r>
      <w:r w:rsidRPr="005F4716">
        <w:rPr>
          <w:rFonts w:ascii="Arial" w:eastAsia="Times New Roman" w:hAnsi="Arial" w:cs="Arial"/>
          <w:sz w:val="20"/>
          <w:szCs w:val="20"/>
          <w:lang w:eastAsia="cs-CZ"/>
        </w:rPr>
        <w:t>přerušení nebo zastavení pro</w:t>
      </w:r>
      <w:r w:rsidR="000177F8" w:rsidRPr="005F4716">
        <w:rPr>
          <w:rFonts w:ascii="Arial" w:eastAsia="Times New Roman" w:hAnsi="Arial" w:cs="Arial"/>
          <w:sz w:val="20"/>
          <w:szCs w:val="20"/>
          <w:lang w:eastAsia="cs-CZ"/>
        </w:rPr>
        <w:t xml:space="preserve">jektových prací </w:t>
      </w:r>
      <w:r w:rsidR="008D50C9" w:rsidRPr="005F4716">
        <w:rPr>
          <w:rFonts w:ascii="Arial" w:eastAsia="Times New Roman" w:hAnsi="Arial" w:cs="Arial"/>
          <w:sz w:val="20"/>
          <w:szCs w:val="20"/>
          <w:lang w:eastAsia="cs-CZ"/>
        </w:rPr>
        <w:t xml:space="preserve">a realizace stavby </w:t>
      </w:r>
      <w:r w:rsidRPr="005F4716">
        <w:rPr>
          <w:rFonts w:ascii="Arial" w:eastAsia="Times New Roman" w:hAnsi="Arial" w:cs="Arial"/>
          <w:sz w:val="20"/>
          <w:szCs w:val="20"/>
          <w:lang w:eastAsia="cs-CZ"/>
        </w:rPr>
        <w:t>vyvolané objednatelem. V tomto případě se prodlužují termíny o dobu prodlení objednatele</w:t>
      </w:r>
      <w:r w:rsidR="000177F8" w:rsidRPr="005F4716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5B5F56B1" w14:textId="77777777" w:rsidR="007B29B5" w:rsidRPr="00A72093" w:rsidRDefault="007B29B5" w:rsidP="000177F8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z w:val="20"/>
          <w:szCs w:val="20"/>
          <w:lang w:eastAsia="cs-CZ"/>
        </w:rPr>
        <w:t xml:space="preserve">Zhotovitel bude provádět </w:t>
      </w:r>
      <w:r w:rsidR="009A7A23" w:rsidRPr="005F4716">
        <w:rPr>
          <w:rFonts w:ascii="Arial" w:eastAsia="Times New Roman" w:hAnsi="Arial" w:cs="Arial"/>
          <w:sz w:val="20"/>
          <w:szCs w:val="20"/>
          <w:lang w:eastAsia="cs-CZ"/>
        </w:rPr>
        <w:t xml:space="preserve">autorský dozor při realizaci stavby ode dne předání staveniště </w:t>
      </w:r>
      <w:r w:rsidR="00DA2824" w:rsidRPr="005F4716">
        <w:rPr>
          <w:rFonts w:ascii="Arial" w:eastAsia="Times New Roman" w:hAnsi="Arial" w:cs="Arial"/>
          <w:sz w:val="20"/>
          <w:szCs w:val="20"/>
          <w:lang w:eastAsia="cs-CZ"/>
        </w:rPr>
        <w:t xml:space="preserve">dodavateli stavby </w:t>
      </w:r>
      <w:r w:rsidR="009A7A23" w:rsidRPr="005F4716">
        <w:rPr>
          <w:rFonts w:ascii="Arial" w:eastAsia="Times New Roman" w:hAnsi="Arial" w:cs="Arial"/>
          <w:sz w:val="20"/>
          <w:szCs w:val="20"/>
          <w:lang w:eastAsia="cs-CZ"/>
        </w:rPr>
        <w:t xml:space="preserve">do vydání kolaudačního souhlasu s užíváním stavby, je-li tohoto souhlasu třeba, případně až do doby odstranění vad a nedodělků zjištěných při předání a převzetí dokončené stavby.  </w:t>
      </w:r>
      <w:r w:rsidRPr="005F471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6BD07889" w14:textId="71F9291E" w:rsidR="00A72093" w:rsidRPr="005F4716" w:rsidRDefault="00A72093" w:rsidP="000177F8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V případě, že objednatel neobdrží kladné stanovisko o poskytnutí dotace na realizaci projektu dle této smlouvy, nebude zhotovitel provádět činnosti dle odst. </w:t>
      </w:r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 xml:space="preserve">2.1. b) </w:t>
      </w:r>
      <w:r w:rsidR="00207867">
        <w:rPr>
          <w:rFonts w:ascii="Arial" w:eastAsia="Times New Roman" w:hAnsi="Arial" w:cs="Arial"/>
          <w:sz w:val="20"/>
          <w:szCs w:val="20"/>
          <w:lang w:eastAsia="cs-CZ"/>
        </w:rPr>
        <w:t>včetně</w:t>
      </w:r>
      <w:proofErr w:type="gramEnd"/>
      <w:r w:rsidR="00207867">
        <w:rPr>
          <w:rFonts w:ascii="Arial" w:eastAsia="Times New Roman" w:hAnsi="Arial" w:cs="Arial"/>
          <w:sz w:val="20"/>
          <w:szCs w:val="20"/>
          <w:lang w:eastAsia="cs-CZ"/>
        </w:rPr>
        <w:t xml:space="preserve"> souvisejících nebo navazujících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dle této smlouvy a plnění smlouvy tím končí. </w:t>
      </w:r>
    </w:p>
    <w:p w14:paraId="738DAB8D" w14:textId="77777777" w:rsidR="00FB3420" w:rsidRPr="005F4716" w:rsidRDefault="00FB3420" w:rsidP="00FB3420">
      <w:pPr>
        <w:pStyle w:val="Odstavecseseznamem"/>
        <w:autoSpaceDE w:val="0"/>
        <w:autoSpaceDN w:val="0"/>
        <w:adjustRightInd w:val="0"/>
        <w:spacing w:before="60" w:line="240" w:lineRule="auto"/>
        <w:ind w:left="927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1CFB259A" w14:textId="77777777" w:rsidR="00C26DE3" w:rsidRPr="005F4716" w:rsidRDefault="00C26DE3" w:rsidP="00C26DE3">
      <w:pPr>
        <w:numPr>
          <w:ilvl w:val="0"/>
          <w:numId w:val="34"/>
        </w:num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Cena díla  </w:t>
      </w:r>
    </w:p>
    <w:p w14:paraId="69DE55A4" w14:textId="11B67327" w:rsidR="00FA5D62" w:rsidRPr="005F4716" w:rsidRDefault="00E0448F" w:rsidP="00FA5D62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Podkladem pro uzavření této smlouvy o dílo je cenová nabídka zhotovitele ze dne </w:t>
      </w:r>
      <w:proofErr w:type="gramStart"/>
      <w:r w:rsidR="008609F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25</w:t>
      </w:r>
      <w:r w:rsidR="007E6C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  <w:r w:rsidR="008609F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7</w:t>
      </w:r>
      <w:r w:rsidR="007E6C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.2017</w:t>
      </w:r>
      <w:proofErr w:type="gramEnd"/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která je přílohou této smlouvy</w:t>
      </w:r>
      <w:r w:rsidR="00AA3B20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AA3B20" w:rsidRPr="00AA3B20">
        <w:rPr>
          <w:rFonts w:ascii="Arial" w:eastAsia="Times New Roman" w:hAnsi="Arial" w:cs="Arial"/>
          <w:snapToGrid w:val="0"/>
          <w:sz w:val="20"/>
          <w:szCs w:val="20"/>
          <w:highlight w:val="magenta"/>
          <w:lang w:eastAsia="cs-CZ"/>
        </w:rPr>
        <w:t>PŘÍLOHA 3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 Zhotovitel prohlašuje, že dílo podle této smlouvy provede v</w:t>
      </w:r>
      <w:r w:rsid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dohodnuté lhůtě a za dohod</w:t>
      </w:r>
      <w:r w:rsidR="00FA5D62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nutou cenu dle cenové nabídky.</w:t>
      </w:r>
    </w:p>
    <w:p w14:paraId="11886679" w14:textId="77777777" w:rsidR="008D50C9" w:rsidRPr="005F4716" w:rsidRDefault="003E4F67" w:rsidP="00FA5D62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Nabídková cena je uvedena jako nejvýše přípustná a je platná do doby celkového dokončení a</w:t>
      </w:r>
      <w:r w:rsid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předání díla</w:t>
      </w:r>
      <w:r w:rsidR="008D50C9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a do doby ukončení poskytování souvisejících služeb: </w:t>
      </w:r>
    </w:p>
    <w:p w14:paraId="38CFE708" w14:textId="77777777" w:rsidR="005F4716" w:rsidRPr="005F4716" w:rsidRDefault="005F4716" w:rsidP="005F4716">
      <w:p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tbl>
      <w:tblPr>
        <w:tblStyle w:val="Mkatabulky"/>
        <w:tblW w:w="9101" w:type="dxa"/>
        <w:jc w:val="center"/>
        <w:tblLook w:val="04A0" w:firstRow="1" w:lastRow="0" w:firstColumn="1" w:lastColumn="0" w:noHBand="0" w:noVBand="1"/>
      </w:tblPr>
      <w:tblGrid>
        <w:gridCol w:w="4248"/>
        <w:gridCol w:w="1706"/>
        <w:gridCol w:w="1588"/>
        <w:gridCol w:w="1559"/>
      </w:tblGrid>
      <w:tr w:rsidR="008D50C9" w:rsidRPr="008124F5" w14:paraId="73FBECC6" w14:textId="77777777" w:rsidTr="00FA5D62">
        <w:trPr>
          <w:trHeight w:val="376"/>
          <w:jc w:val="center"/>
        </w:trPr>
        <w:tc>
          <w:tcPr>
            <w:tcW w:w="9101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1ADEE4CA" w14:textId="77777777" w:rsidR="008D50C9" w:rsidRPr="005F4716" w:rsidRDefault="008D50C9" w:rsidP="00D459EC">
            <w:pPr>
              <w:pStyle w:val="Textkomente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716">
              <w:rPr>
                <w:rFonts w:ascii="Arial" w:hAnsi="Arial" w:cs="Arial"/>
                <w:b/>
                <w:sz w:val="18"/>
                <w:szCs w:val="18"/>
              </w:rPr>
              <w:t>Cena v Kč</w:t>
            </w:r>
          </w:p>
        </w:tc>
      </w:tr>
      <w:tr w:rsidR="008D50C9" w:rsidRPr="008124F5" w14:paraId="3BA342A3" w14:textId="77777777" w:rsidTr="007E6CA4">
        <w:trPr>
          <w:trHeight w:val="392"/>
          <w:jc w:val="center"/>
        </w:trPr>
        <w:tc>
          <w:tcPr>
            <w:tcW w:w="4248" w:type="dxa"/>
            <w:shd w:val="clear" w:color="auto" w:fill="FFFFFF" w:themeFill="background1"/>
          </w:tcPr>
          <w:p w14:paraId="22B76E81" w14:textId="77777777" w:rsidR="008D50C9" w:rsidRPr="008124F5" w:rsidRDefault="008D50C9" w:rsidP="00D459EC">
            <w:pPr>
              <w:pStyle w:val="Textkomente1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72170707" w14:textId="77777777" w:rsidR="008D50C9" w:rsidRPr="005F4716" w:rsidRDefault="008D50C9" w:rsidP="007E6CA4">
            <w:pPr>
              <w:pStyle w:val="Textkomente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716">
              <w:rPr>
                <w:rFonts w:ascii="Arial" w:hAnsi="Arial" w:cs="Arial"/>
                <w:sz w:val="18"/>
                <w:szCs w:val="18"/>
              </w:rPr>
              <w:t>Cena bez DPH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78759246" w14:textId="77777777" w:rsidR="008D50C9" w:rsidRPr="005F4716" w:rsidRDefault="008D50C9" w:rsidP="007E6CA4">
            <w:pPr>
              <w:pStyle w:val="Textkomente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716">
              <w:rPr>
                <w:rFonts w:ascii="Arial" w:hAnsi="Arial" w:cs="Arial"/>
                <w:sz w:val="18"/>
                <w:szCs w:val="18"/>
              </w:rPr>
              <w:t>DPH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17975A6" w14:textId="77777777" w:rsidR="008D50C9" w:rsidRPr="005F4716" w:rsidRDefault="008D50C9" w:rsidP="007E6CA4">
            <w:pPr>
              <w:pStyle w:val="Textkomente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716">
              <w:rPr>
                <w:rFonts w:ascii="Arial" w:hAnsi="Arial" w:cs="Arial"/>
                <w:sz w:val="18"/>
                <w:szCs w:val="18"/>
              </w:rPr>
              <w:t>Cena vč. DPH</w:t>
            </w:r>
          </w:p>
        </w:tc>
      </w:tr>
      <w:tr w:rsidR="008D50C9" w:rsidRPr="008124F5" w14:paraId="54BA4116" w14:textId="77777777" w:rsidTr="0021227B">
        <w:trPr>
          <w:trHeight w:val="321"/>
          <w:jc w:val="center"/>
        </w:trPr>
        <w:tc>
          <w:tcPr>
            <w:tcW w:w="4248" w:type="dxa"/>
            <w:shd w:val="clear" w:color="auto" w:fill="FFFFFF" w:themeFill="background1"/>
            <w:vAlign w:val="center"/>
          </w:tcPr>
          <w:p w14:paraId="01403F2F" w14:textId="2C85ED76" w:rsidR="008D50C9" w:rsidRPr="005F4716" w:rsidRDefault="00A72093" w:rsidP="004F43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Zpracování dokumentace dle odst.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2.1. a)</w:t>
            </w:r>
            <w:proofErr w:type="gramEnd"/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18C4AAFE" w14:textId="1A87EE37" w:rsidR="008D50C9" w:rsidRPr="007B5732" w:rsidRDefault="0042646A" w:rsidP="00B0524C">
            <w:pPr>
              <w:jc w:val="right"/>
              <w:rPr>
                <w:highlight w:val="yellow"/>
              </w:rPr>
            </w:pPr>
            <w:r w:rsidRPr="000C1DD8">
              <w:t>90.000,- Kč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4BE09F9A" w14:textId="11879C68" w:rsidR="008D50C9" w:rsidRPr="007E6CA4" w:rsidRDefault="0042646A" w:rsidP="00B0524C">
            <w:pPr>
              <w:jc w:val="right"/>
            </w:pPr>
            <w:r>
              <w:t>18.900,- Kč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357A74F" w14:textId="1D77A1D1" w:rsidR="008D50C9" w:rsidRPr="007E6CA4" w:rsidRDefault="0042646A" w:rsidP="00B0524C">
            <w:pPr>
              <w:jc w:val="right"/>
            </w:pPr>
            <w:r>
              <w:t>108.900,- Kč</w:t>
            </w:r>
          </w:p>
        </w:tc>
      </w:tr>
      <w:tr w:rsidR="00DF2CE2" w:rsidRPr="008124F5" w14:paraId="15E5C9F1" w14:textId="77777777" w:rsidTr="0021227B">
        <w:trPr>
          <w:trHeight w:val="412"/>
          <w:jc w:val="center"/>
        </w:trPr>
        <w:tc>
          <w:tcPr>
            <w:tcW w:w="4248" w:type="dxa"/>
            <w:shd w:val="clear" w:color="auto" w:fill="FFFFFF" w:themeFill="background1"/>
            <w:vAlign w:val="center"/>
          </w:tcPr>
          <w:p w14:paraId="085FDC76" w14:textId="18A90D59" w:rsidR="00DF2CE2" w:rsidRPr="005F4716" w:rsidRDefault="00A72093" w:rsidP="00A720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Zpracování dokumentace dle odst.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2.1. b) a inženýrské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činnosti dle odst. 2.5 až 2.11. 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60994AD2" w14:textId="6BCA82CD" w:rsidR="00DF2CE2" w:rsidRPr="007E6CA4" w:rsidRDefault="0042646A" w:rsidP="007E6CA4">
            <w:pPr>
              <w:jc w:val="right"/>
            </w:pPr>
            <w:r>
              <w:t>20.000,- Kč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73D83DB7" w14:textId="5308F5F9" w:rsidR="00DF2CE2" w:rsidRPr="007E6CA4" w:rsidRDefault="0042646A" w:rsidP="007E6CA4">
            <w:pPr>
              <w:jc w:val="right"/>
            </w:pPr>
            <w:r>
              <w:t>4.200,- Kč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9C4971B" w14:textId="19D122E8" w:rsidR="00DF2CE2" w:rsidRPr="007E6CA4" w:rsidRDefault="0042646A" w:rsidP="007E6CA4">
            <w:pPr>
              <w:jc w:val="right"/>
            </w:pPr>
            <w:r>
              <w:t>24.200,- Kč</w:t>
            </w:r>
          </w:p>
        </w:tc>
      </w:tr>
      <w:tr w:rsidR="00DF2CE2" w:rsidRPr="008124F5" w14:paraId="43E99E0D" w14:textId="77777777" w:rsidTr="0021227B">
        <w:trPr>
          <w:trHeight w:val="309"/>
          <w:jc w:val="center"/>
        </w:trPr>
        <w:tc>
          <w:tcPr>
            <w:tcW w:w="4248" w:type="dxa"/>
            <w:shd w:val="clear" w:color="auto" w:fill="FFFFFF" w:themeFill="background1"/>
            <w:vAlign w:val="center"/>
          </w:tcPr>
          <w:p w14:paraId="563F52D2" w14:textId="2F960D83" w:rsidR="00DF2CE2" w:rsidRPr="005F4716" w:rsidRDefault="00A72093" w:rsidP="004F43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="00FA5D62" w:rsidRPr="005F4716">
              <w:rPr>
                <w:rFonts w:ascii="Arial" w:hAnsi="Arial" w:cs="Arial"/>
                <w:sz w:val="18"/>
                <w:szCs w:val="18"/>
              </w:rPr>
              <w:t xml:space="preserve">ýkon autorského dozoru  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56592724" w14:textId="0734E2C5" w:rsidR="00DF2CE2" w:rsidRPr="007E6CA4" w:rsidRDefault="0042646A" w:rsidP="007E6CA4">
            <w:pPr>
              <w:jc w:val="right"/>
            </w:pPr>
            <w:r>
              <w:t>8.000,- Kč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353F7CA6" w14:textId="12EC53CB" w:rsidR="00DF2CE2" w:rsidRPr="007E6CA4" w:rsidRDefault="0042646A" w:rsidP="007E6CA4">
            <w:pPr>
              <w:jc w:val="right"/>
            </w:pPr>
            <w:r>
              <w:t>1.680,- Kč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F9DCDB6" w14:textId="0F575D61" w:rsidR="00DF2CE2" w:rsidRPr="007E6CA4" w:rsidRDefault="0042646A" w:rsidP="007E6CA4">
            <w:pPr>
              <w:jc w:val="right"/>
            </w:pPr>
            <w:r>
              <w:t>9.680,- Kč</w:t>
            </w:r>
          </w:p>
        </w:tc>
      </w:tr>
      <w:tr w:rsidR="00DF2CE2" w:rsidRPr="008124F5" w14:paraId="1DE8AB5A" w14:textId="77777777" w:rsidTr="0021227B">
        <w:trPr>
          <w:trHeight w:val="33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137E1" w14:textId="77777777" w:rsidR="00DF2CE2" w:rsidRPr="005F4716" w:rsidRDefault="00DF2CE2" w:rsidP="00774056">
            <w:pPr>
              <w:pStyle w:val="Textkomente1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F4716">
              <w:rPr>
                <w:rFonts w:ascii="Arial" w:hAnsi="Arial" w:cs="Arial"/>
                <w:b/>
                <w:sz w:val="18"/>
                <w:szCs w:val="18"/>
              </w:rPr>
              <w:t xml:space="preserve">CENA CELKEM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9A6CD" w14:textId="25A6026B" w:rsidR="00DF2CE2" w:rsidRPr="007E6CA4" w:rsidRDefault="0042646A" w:rsidP="00B0524C">
            <w:pPr>
              <w:jc w:val="right"/>
              <w:rPr>
                <w:b/>
              </w:rPr>
            </w:pPr>
            <w:r>
              <w:rPr>
                <w:b/>
              </w:rPr>
              <w:t>118.000,- Kč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0EE40" w14:textId="6CB794D7" w:rsidR="00DF2CE2" w:rsidRPr="007E6CA4" w:rsidRDefault="0042646A" w:rsidP="00B0524C">
            <w:pPr>
              <w:jc w:val="right"/>
              <w:rPr>
                <w:b/>
              </w:rPr>
            </w:pPr>
            <w:r>
              <w:rPr>
                <w:b/>
              </w:rPr>
              <w:t>24.780,-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0D6AE" w14:textId="59D5F15E" w:rsidR="00DF2CE2" w:rsidRPr="007E6CA4" w:rsidRDefault="0042646A" w:rsidP="00B0524C">
            <w:pPr>
              <w:jc w:val="right"/>
              <w:rPr>
                <w:b/>
              </w:rPr>
            </w:pPr>
            <w:r>
              <w:rPr>
                <w:b/>
              </w:rPr>
              <w:t>142.780,- Kč</w:t>
            </w:r>
          </w:p>
        </w:tc>
      </w:tr>
    </w:tbl>
    <w:p w14:paraId="020262E2" w14:textId="77777777" w:rsidR="003E4F67" w:rsidRDefault="003E4F67" w:rsidP="00FA5D62">
      <w:pPr>
        <w:spacing w:after="120" w:line="240" w:lineRule="auto"/>
        <w:ind w:left="567" w:right="-2"/>
        <w:jc w:val="both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" w:eastAsia="Times New Roman" w:hAnsi="Arial" w:cs="Arial"/>
          <w:snapToGrid w:val="0"/>
          <w:lang w:eastAsia="cs-CZ"/>
        </w:rPr>
        <w:t xml:space="preserve"> </w:t>
      </w:r>
    </w:p>
    <w:p w14:paraId="265F8829" w14:textId="199DD7F8" w:rsidR="00F17ABF" w:rsidRPr="007E6CA4" w:rsidRDefault="00451ACF" w:rsidP="007E6CA4">
      <w:pPr>
        <w:numPr>
          <w:ilvl w:val="1"/>
          <w:numId w:val="34"/>
        </w:numPr>
        <w:spacing w:after="24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  <w:r w:rsidRPr="007E6C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Změna ceny, ať zvýšení či snížení, je možná jen tehdy, dojde-li, a to pouze z požadavku objednatele, ke změně předmětu díla. Za změnu předmětu díla se v tomto směru považuje taková změna, při které dojde </w:t>
      </w:r>
      <w:proofErr w:type="gramStart"/>
      <w:r w:rsidRPr="007E6C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ke</w:t>
      </w:r>
      <w:proofErr w:type="gramEnd"/>
      <w:r w:rsidRPr="007E6C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z</w:t>
      </w:r>
      <w:r w:rsidR="00492814" w:rsidRPr="007E6C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úžení nebo rozšířen</w:t>
      </w:r>
      <w:r w:rsidR="00492814" w:rsidRPr="007E6CA4">
        <w:rPr>
          <w:rFonts w:ascii="Arial" w:eastAsia="Times New Roman" w:hAnsi="Arial" w:cs="Arial"/>
          <w:snapToGrid w:val="0"/>
          <w:lang w:eastAsia="cs-CZ"/>
        </w:rPr>
        <w:t xml:space="preserve">í </w:t>
      </w:r>
      <w:r w:rsidR="00492814" w:rsidRPr="007E6C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požadovaných stupňů projektové dokumentace nebo rozsahu </w:t>
      </w:r>
      <w:r w:rsidR="00F74CFF" w:rsidRPr="007E6C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poskytovaných </w:t>
      </w:r>
      <w:r w:rsidR="00492814" w:rsidRPr="007E6C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služeb.</w:t>
      </w:r>
    </w:p>
    <w:p w14:paraId="20415FF7" w14:textId="77777777" w:rsidR="003E4F67" w:rsidRPr="005F4716" w:rsidRDefault="00451ACF" w:rsidP="003E4F67">
      <w:pPr>
        <w:numPr>
          <w:ilvl w:val="0"/>
          <w:numId w:val="34"/>
        </w:num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b/>
          <w:sz w:val="20"/>
          <w:szCs w:val="20"/>
          <w:lang w:eastAsia="cs-CZ"/>
        </w:rPr>
        <w:t>Platební podmínky</w:t>
      </w:r>
      <w:r w:rsidR="003E4F67" w:rsidRPr="005F471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</w:p>
    <w:p w14:paraId="070B4992" w14:textId="77777777" w:rsidR="001E73A5" w:rsidRPr="005F4716" w:rsidRDefault="002D4596" w:rsidP="001E73A5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Faktura (daňový doklad) bude objednateli </w:t>
      </w:r>
      <w:r w:rsidR="004C1132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předána 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 listinné podobě v</w:t>
      </w:r>
      <w:r w:rsidR="006E52A7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e dvou 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výtiscích a</w:t>
      </w:r>
      <w:r w:rsidR="006E52A7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bude obsahovat všechny náležitosti daňového dokladu podle zákona č. 235/2004 Sb., o dani z přidané hodnoty, ve znění pozdějších předpisů</w:t>
      </w:r>
      <w:r w:rsidR="006E52A7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, </w:t>
      </w:r>
      <w:r w:rsidR="004C1132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rovněž 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skutečnosti uvedené v</w:t>
      </w:r>
      <w:r w:rsidR="004C1132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§</w:t>
      </w:r>
      <w:r w:rsidR="006E52A7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435 občanského zákoníku</w:t>
      </w:r>
      <w:r w:rsidR="000177F8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57121A6A" w14:textId="77777777" w:rsidR="001E73A5" w:rsidRPr="005F4716" w:rsidRDefault="001E73A5" w:rsidP="001E73A5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120" w:line="240" w:lineRule="auto"/>
        <w:ind w:right="-2"/>
        <w:jc w:val="both"/>
        <w:rPr>
          <w:rFonts w:ascii="Arial" w:eastAsia="Calibri" w:hAnsi="Arial" w:cs="Arial"/>
          <w:snapToGrid w:val="0"/>
          <w:sz w:val="20"/>
          <w:szCs w:val="20"/>
          <w:lang w:eastAsia="x-none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</w:t>
      </w:r>
      <w:r w:rsidR="00CE5B40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rávo na zaplacení ceny díla vzniká provedením díla. Je-li dílo přejímáno po částech, vzniká právo na zaplacení ceny za každou část při jejím provedení.</w:t>
      </w:r>
    </w:p>
    <w:p w14:paraId="6C8C2D12" w14:textId="77777777" w:rsidR="001E73A5" w:rsidRPr="005F4716" w:rsidRDefault="002D4596" w:rsidP="001E73A5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120" w:line="240" w:lineRule="auto"/>
        <w:ind w:right="-2"/>
        <w:jc w:val="both"/>
        <w:rPr>
          <w:rFonts w:ascii="Arial" w:eastAsia="Calibri" w:hAnsi="Arial" w:cs="Arial"/>
          <w:snapToGrid w:val="0"/>
          <w:sz w:val="20"/>
          <w:szCs w:val="20"/>
          <w:lang w:eastAsia="x-none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Nedojde-li mezi oběma stranami k dohodě při odsouhlasení množství nebo druhu provedených </w:t>
      </w:r>
      <w:r w:rsidR="00774056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činností a dodaných služeb, 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je zhotovitel oprávněn fakturovat pouze </w:t>
      </w:r>
      <w:r w:rsidR="00774056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činnosti a služby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u kterých nedošlo k rozporu. Pokud bude faktura zhotovitele obsahovat i</w:t>
      </w:r>
      <w:r w:rsidR="00774056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neodsouhlasené </w:t>
      </w:r>
      <w:r w:rsidR="00774056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činnosti a služby, 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je objednatel oprávněn uhradit pouze tu část faktury, se kterou souhlasí. Na zbývající část faktury nemůže zhotovitel uplatňovat žádné majetkové sankce, vyplývající z peněžitého dluhu objednatele.</w:t>
      </w:r>
    </w:p>
    <w:p w14:paraId="58AA0034" w14:textId="463F803E" w:rsidR="001E73A5" w:rsidRPr="005F4716" w:rsidRDefault="002D4596" w:rsidP="001E73A5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120" w:line="240" w:lineRule="auto"/>
        <w:ind w:right="-2"/>
        <w:jc w:val="both"/>
        <w:rPr>
          <w:rFonts w:ascii="Arial" w:eastAsia="Calibri" w:hAnsi="Arial" w:cs="Arial"/>
          <w:snapToGrid w:val="0"/>
          <w:sz w:val="20"/>
          <w:szCs w:val="20"/>
          <w:lang w:eastAsia="x-none"/>
        </w:rPr>
      </w:pPr>
      <w:r w:rsidRPr="005F4716">
        <w:rPr>
          <w:rFonts w:ascii="Arial" w:eastAsia="Times New Roman" w:hAnsi="Arial" w:cs="Arial"/>
          <w:sz w:val="20"/>
          <w:szCs w:val="20"/>
          <w:lang w:eastAsia="cs-CZ"/>
        </w:rPr>
        <w:t xml:space="preserve">Splatnost faktur je stanovena na </w:t>
      </w:r>
      <w:r w:rsidR="00F17ABF">
        <w:rPr>
          <w:rFonts w:ascii="Arial" w:eastAsia="Times New Roman" w:hAnsi="Arial" w:cs="Arial"/>
          <w:sz w:val="20"/>
          <w:szCs w:val="20"/>
          <w:lang w:eastAsia="cs-CZ"/>
        </w:rPr>
        <w:t>30</w:t>
      </w:r>
      <w:r w:rsidR="004C1132" w:rsidRPr="005F471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5F4716">
        <w:rPr>
          <w:rFonts w:ascii="Arial" w:eastAsia="Times New Roman" w:hAnsi="Arial" w:cs="Arial"/>
          <w:sz w:val="20"/>
          <w:szCs w:val="20"/>
          <w:lang w:eastAsia="cs-CZ"/>
        </w:rPr>
        <w:t>kalendářních dnů ode dne doručení faktury objednateli.</w:t>
      </w:r>
    </w:p>
    <w:p w14:paraId="0CD69DB1" w14:textId="77777777" w:rsidR="00BA0444" w:rsidRPr="005F4716" w:rsidRDefault="002D4596" w:rsidP="00BA0444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120" w:line="240" w:lineRule="auto"/>
        <w:ind w:right="-2"/>
        <w:jc w:val="both"/>
        <w:rPr>
          <w:rFonts w:ascii="Arial" w:eastAsia="Times New Roman" w:hAnsi="Arial" w:cs="Arial"/>
          <w:sz w:val="20"/>
          <w:szCs w:val="20"/>
          <w:lang w:val="x-none" w:eastAsia="cs-CZ"/>
        </w:rPr>
      </w:pPr>
      <w:r w:rsidRPr="005F4716">
        <w:rPr>
          <w:rFonts w:ascii="Arial" w:eastAsia="Calibri" w:hAnsi="Arial" w:cs="Arial"/>
          <w:snapToGrid w:val="0"/>
          <w:color w:val="000000"/>
          <w:sz w:val="20"/>
          <w:szCs w:val="20"/>
          <w:lang w:val="x-none" w:eastAsia="x-none"/>
        </w:rPr>
        <w:t xml:space="preserve">Smluvní </w:t>
      </w:r>
      <w:r w:rsidRPr="005F4716">
        <w:rPr>
          <w:rFonts w:ascii="Arial" w:eastAsia="Calibri" w:hAnsi="Arial" w:cs="Arial"/>
          <w:snapToGrid w:val="0"/>
          <w:sz w:val="20"/>
          <w:szCs w:val="20"/>
          <w:lang w:val="x-none" w:eastAsia="x-none"/>
        </w:rPr>
        <w:t xml:space="preserve">strany berou na vědomí, že zaplacením se rozumí </w:t>
      </w:r>
      <w:r w:rsidRPr="005F4716">
        <w:rPr>
          <w:rFonts w:ascii="Arial" w:eastAsia="Calibri" w:hAnsi="Arial" w:cs="Arial"/>
          <w:snapToGrid w:val="0"/>
          <w:sz w:val="20"/>
          <w:szCs w:val="20"/>
          <w:lang w:eastAsia="x-none"/>
        </w:rPr>
        <w:t xml:space="preserve">odepsání </w:t>
      </w:r>
      <w:r w:rsidRPr="005F4716">
        <w:rPr>
          <w:rFonts w:ascii="Arial" w:eastAsia="Calibri" w:hAnsi="Arial" w:cs="Arial"/>
          <w:snapToGrid w:val="0"/>
          <w:sz w:val="20"/>
          <w:szCs w:val="20"/>
          <w:lang w:val="x-none" w:eastAsia="x-none"/>
        </w:rPr>
        <w:t>dlužné</w:t>
      </w:r>
      <w:r w:rsidRPr="005F4716">
        <w:rPr>
          <w:rFonts w:ascii="Arial" w:eastAsia="Calibri" w:hAnsi="Arial" w:cs="Arial"/>
          <w:snapToGrid w:val="0"/>
          <w:sz w:val="20"/>
          <w:szCs w:val="20"/>
          <w:lang w:eastAsia="x-none"/>
        </w:rPr>
        <w:t xml:space="preserve"> </w:t>
      </w:r>
      <w:r w:rsidRPr="005F4716">
        <w:rPr>
          <w:rFonts w:ascii="Arial" w:eastAsia="Calibri" w:hAnsi="Arial" w:cs="Arial"/>
          <w:snapToGrid w:val="0"/>
          <w:sz w:val="20"/>
          <w:szCs w:val="20"/>
          <w:lang w:val="x-none" w:eastAsia="x-none"/>
        </w:rPr>
        <w:t xml:space="preserve">částky </w:t>
      </w:r>
      <w:r w:rsidRPr="005F4716">
        <w:rPr>
          <w:rFonts w:ascii="Arial" w:eastAsia="Calibri" w:hAnsi="Arial" w:cs="Arial"/>
          <w:snapToGrid w:val="0"/>
          <w:sz w:val="20"/>
          <w:szCs w:val="20"/>
          <w:lang w:eastAsia="x-none"/>
        </w:rPr>
        <w:t>z účtu objednatele.</w:t>
      </w:r>
      <w:r w:rsidR="001E73A5" w:rsidRPr="005F471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206C37C4" w14:textId="39F756B3" w:rsidR="00BA0444" w:rsidRPr="00F17ABF" w:rsidRDefault="00BA0444" w:rsidP="007E6CA4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cs-CZ"/>
        </w:rPr>
      </w:pPr>
      <w:r w:rsidRPr="005F4716">
        <w:rPr>
          <w:rFonts w:ascii="Arial" w:eastAsia="Times New Roman" w:hAnsi="Arial" w:cs="Arial"/>
          <w:sz w:val="20"/>
          <w:szCs w:val="20"/>
          <w:lang w:eastAsia="cs-CZ"/>
        </w:rPr>
        <w:t>Pokud faktura neobsahuje všechny zákonem a smlouvou stanovené náležitosti, je objednatel oprávněn ji do data splatnosti vrátit s tím, že zhotovitel je poté povinen vystavit novou fakturu s</w:t>
      </w:r>
      <w:r w:rsidR="005F4716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sz w:val="20"/>
          <w:szCs w:val="20"/>
          <w:lang w:eastAsia="cs-CZ"/>
        </w:rPr>
        <w:t>novým termínem splatnosti. V takovém případě není objednatel v prodlení s úhradou.</w:t>
      </w:r>
    </w:p>
    <w:p w14:paraId="72A410F9" w14:textId="77777777" w:rsidR="001E73A5" w:rsidRPr="005F4716" w:rsidRDefault="001E73A5" w:rsidP="001E73A5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ind w:right="-2"/>
        <w:jc w:val="both"/>
        <w:rPr>
          <w:rFonts w:ascii="Arial" w:eastAsia="Calibri" w:hAnsi="Arial" w:cs="Arial"/>
          <w:snapToGrid w:val="0"/>
          <w:sz w:val="20"/>
          <w:szCs w:val="20"/>
          <w:lang w:eastAsia="x-none"/>
        </w:rPr>
      </w:pPr>
      <w:r w:rsidRPr="005F4716">
        <w:rPr>
          <w:rFonts w:ascii="Arial" w:eastAsia="Times New Roman" w:hAnsi="Arial" w:cs="Arial"/>
          <w:b/>
          <w:sz w:val="20"/>
          <w:szCs w:val="20"/>
          <w:lang w:eastAsia="cs-CZ"/>
        </w:rPr>
        <w:t>Záruka za jakost a vady</w:t>
      </w:r>
    </w:p>
    <w:p w14:paraId="1B2C1832" w14:textId="77777777" w:rsidR="001E73A5" w:rsidRPr="005F4716" w:rsidRDefault="001E73A5" w:rsidP="001E73A5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120" w:line="240" w:lineRule="auto"/>
        <w:ind w:right="-2"/>
        <w:jc w:val="both"/>
        <w:rPr>
          <w:rFonts w:ascii="Arial" w:eastAsia="Calibri" w:hAnsi="Arial" w:cs="Arial"/>
          <w:snapToGrid w:val="0"/>
          <w:sz w:val="20"/>
          <w:szCs w:val="20"/>
          <w:lang w:eastAsia="x-none"/>
        </w:rPr>
      </w:pPr>
      <w:r w:rsidRPr="005F4716">
        <w:rPr>
          <w:rFonts w:ascii="Arial" w:eastAsia="Calibri" w:hAnsi="Arial" w:cs="Arial"/>
          <w:snapToGrid w:val="0"/>
          <w:sz w:val="20"/>
          <w:szCs w:val="20"/>
          <w:lang w:eastAsia="x-none"/>
        </w:rPr>
        <w:t xml:space="preserve">Zhotovitel </w:t>
      </w:r>
      <w:r w:rsidR="00870278" w:rsidRPr="005F4716">
        <w:rPr>
          <w:rFonts w:ascii="Arial" w:eastAsia="Calibri" w:hAnsi="Arial" w:cs="Arial"/>
          <w:snapToGrid w:val="0"/>
          <w:sz w:val="20"/>
          <w:szCs w:val="20"/>
          <w:lang w:eastAsia="x-none"/>
        </w:rPr>
        <w:t xml:space="preserve">poskytuje </w:t>
      </w:r>
      <w:r w:rsidRPr="005F4716">
        <w:rPr>
          <w:rFonts w:ascii="Arial" w:eastAsia="Calibri" w:hAnsi="Arial" w:cs="Arial"/>
          <w:snapToGrid w:val="0"/>
          <w:sz w:val="20"/>
          <w:szCs w:val="20"/>
          <w:lang w:eastAsia="x-none"/>
        </w:rPr>
        <w:t>objednateli záruku za jakost a vady předaného díla. Zhotovitel zejména zaručuje, že dílo bude způsobilé k užití pro účel stanovený v této smlouvě a </w:t>
      </w:r>
      <w:r w:rsidR="00870278" w:rsidRPr="005F4716">
        <w:rPr>
          <w:rFonts w:ascii="Arial" w:eastAsia="Calibri" w:hAnsi="Arial" w:cs="Arial"/>
          <w:snapToGrid w:val="0"/>
          <w:sz w:val="20"/>
          <w:szCs w:val="20"/>
          <w:lang w:eastAsia="x-none"/>
        </w:rPr>
        <w:t xml:space="preserve">že </w:t>
      </w:r>
      <w:r w:rsidRPr="005F4716">
        <w:rPr>
          <w:rFonts w:ascii="Arial" w:eastAsia="Calibri" w:hAnsi="Arial" w:cs="Arial"/>
          <w:snapToGrid w:val="0"/>
          <w:sz w:val="20"/>
          <w:szCs w:val="20"/>
          <w:lang w:eastAsia="x-none"/>
        </w:rPr>
        <w:t>bude odpovídat požadavkům platných právních předpisů a norem.</w:t>
      </w:r>
    </w:p>
    <w:p w14:paraId="05A8F3D5" w14:textId="77777777" w:rsidR="001E73A5" w:rsidRPr="005F4716" w:rsidRDefault="001E73A5" w:rsidP="001E73A5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napToGrid w:val="0"/>
          <w:sz w:val="20"/>
          <w:szCs w:val="20"/>
          <w:lang w:eastAsia="x-none"/>
        </w:rPr>
      </w:pPr>
      <w:bookmarkStart w:id="1" w:name="_Ref376528927"/>
      <w:r w:rsidRPr="005F4716">
        <w:rPr>
          <w:rFonts w:ascii="Arial" w:eastAsia="Calibri" w:hAnsi="Arial" w:cs="Arial"/>
          <w:snapToGrid w:val="0"/>
          <w:sz w:val="20"/>
          <w:szCs w:val="20"/>
          <w:lang w:eastAsia="x-none"/>
        </w:rPr>
        <w:t>Zhotovitel je povinen vady díla odstranit bezplatně v dohodnuté lhůtě, nejpozději do 30 dnů od doručení reklamace.</w:t>
      </w:r>
      <w:bookmarkEnd w:id="1"/>
    </w:p>
    <w:p w14:paraId="16B653C6" w14:textId="4BF03BD1" w:rsidR="001E73A5" w:rsidRPr="007E6CA4" w:rsidRDefault="001E73A5" w:rsidP="007E6CA4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240" w:line="240" w:lineRule="auto"/>
        <w:jc w:val="both"/>
        <w:rPr>
          <w:rFonts w:ascii="Arial" w:eastAsia="Calibri" w:hAnsi="Arial" w:cs="Arial"/>
          <w:snapToGrid w:val="0"/>
          <w:sz w:val="20"/>
          <w:szCs w:val="20"/>
          <w:lang w:eastAsia="x-none"/>
        </w:rPr>
      </w:pPr>
      <w:r w:rsidRPr="007E6CA4">
        <w:rPr>
          <w:rFonts w:ascii="Arial" w:eastAsia="Calibri" w:hAnsi="Arial" w:cs="Arial"/>
          <w:snapToGrid w:val="0"/>
          <w:sz w:val="20"/>
          <w:szCs w:val="20"/>
          <w:lang w:eastAsia="x-none"/>
        </w:rPr>
        <w:t xml:space="preserve">Dílo má vady, pokud neodpovídá kvalitou či rozsahem podmínkám stanoveným ve smlouvě a požadavkům právních předpisů a norem platných a účinných v době zhotovení díla, vztahujících se k plnění předmětu smlouvy. </w:t>
      </w:r>
    </w:p>
    <w:p w14:paraId="6BB88761" w14:textId="77777777" w:rsidR="001E73A5" w:rsidRPr="005F4716" w:rsidRDefault="001E73A5" w:rsidP="001E73A5">
      <w:pPr>
        <w:numPr>
          <w:ilvl w:val="0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>Licenční ujednání</w:t>
      </w:r>
    </w:p>
    <w:p w14:paraId="212E73C6" w14:textId="77777777" w:rsidR="001E73A5" w:rsidRPr="005F4716" w:rsidRDefault="001E73A5" w:rsidP="001E73A5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Vzhledem k tomu, že součástí díla dle této smlouvy je i plnění, které může naplňovat znaky autorského díla ve smyslu zákona č. 121/2000 Sb., o právu autorském, o právech souvisejících s právem autorským a o změně některých zákonů o právu autorském (autorský zákon), ve znění pozdějších předpisů, či předmětu chráněného průmyslovým vlastnictvím (dále jen „předmět ochrany“), je k těmto součástem díla poskytována licence za podmínek sjednaných v tomto článku smlouvy.</w:t>
      </w:r>
    </w:p>
    <w:p w14:paraId="0E1C3D30" w14:textId="77777777" w:rsidR="001E73A5" w:rsidRPr="005F4716" w:rsidRDefault="001E73A5" w:rsidP="001E73A5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prohlašuje, že je oprávněn vykonávat svým jménem a na svůj účet majetková práva k</w:t>
      </w:r>
      <w:r w:rsid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předmětu ochrany a že je oprávněn k jeho užití udělit objednateli licenci.</w:t>
      </w:r>
    </w:p>
    <w:p w14:paraId="6C640E23" w14:textId="77777777" w:rsidR="001E73A5" w:rsidRPr="005F4716" w:rsidRDefault="001E73A5" w:rsidP="001E73A5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poskytuje objednateli nevýhradní oprávnění ke všem v úvahu přicházejícím způsobům užití předmětu ochrany a bez jakéhokoli omezení, a to zejména pokud jde o územní, časový nebo množstevní rozsah užití.</w:t>
      </w:r>
    </w:p>
    <w:p w14:paraId="557F3B4A" w14:textId="77777777" w:rsidR="00F74CFF" w:rsidRPr="005F4716" w:rsidRDefault="001E73A5" w:rsidP="001E73A5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Odměna za poskytnutí této licence je zahrnuta v ceně </w:t>
      </w:r>
      <w:r w:rsidR="00F74CFF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díla dle čl. 4 této smlouvy.</w:t>
      </w:r>
    </w:p>
    <w:p w14:paraId="18C621A7" w14:textId="373FBD32" w:rsidR="00F74CFF" w:rsidRPr="007E6CA4" w:rsidRDefault="001E73A5" w:rsidP="007E6CA4">
      <w:pPr>
        <w:numPr>
          <w:ilvl w:val="1"/>
          <w:numId w:val="34"/>
        </w:numPr>
        <w:spacing w:after="24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7E6C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Objednatel je oprávněn práva tvořící součást licence zcela nebo zčásti jako podlicenci poskytnout třetí osob</w:t>
      </w:r>
      <w:r w:rsidR="00F74CFF" w:rsidRPr="007E6C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ě</w:t>
      </w:r>
      <w:r w:rsidR="00A72093" w:rsidRPr="007E6C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např. poskytovateli dotace</w:t>
      </w:r>
      <w:r w:rsidR="00F74CFF" w:rsidRPr="007E6C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0405C0BD" w14:textId="77777777" w:rsidR="00874844" w:rsidRPr="005F4716" w:rsidRDefault="00F74CFF" w:rsidP="006D7AB2">
      <w:pPr>
        <w:numPr>
          <w:ilvl w:val="0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>Smluvní pokuty, náhrada škody a odstoupení od smlouvy</w:t>
      </w:r>
      <w:r w:rsidR="00705253" w:rsidRPr="005F4716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 xml:space="preserve"> </w:t>
      </w:r>
      <w:r w:rsidR="00874844" w:rsidRPr="005F4716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 xml:space="preserve"> </w:t>
      </w:r>
    </w:p>
    <w:p w14:paraId="6BBFC78F" w14:textId="77777777" w:rsidR="00F74CFF" w:rsidRPr="005F4716" w:rsidRDefault="00F74CFF" w:rsidP="00F74CFF">
      <w:pPr>
        <w:numPr>
          <w:ilvl w:val="1"/>
          <w:numId w:val="34"/>
        </w:numPr>
        <w:spacing w:line="240" w:lineRule="auto"/>
        <w:jc w:val="both"/>
        <w:rPr>
          <w:rFonts w:ascii="Arial" w:hAnsi="Arial" w:cs="Arial"/>
          <w:snapToGrid w:val="0"/>
          <w:sz w:val="20"/>
          <w:szCs w:val="20"/>
          <w:lang w:eastAsia="cs-CZ"/>
        </w:rPr>
      </w:pPr>
      <w:r w:rsidRPr="005F4716">
        <w:rPr>
          <w:rFonts w:ascii="Arial" w:hAnsi="Arial" w:cs="Arial"/>
          <w:snapToGrid w:val="0"/>
          <w:sz w:val="20"/>
          <w:szCs w:val="20"/>
          <w:lang w:eastAsia="cs-CZ"/>
        </w:rPr>
        <w:t>Je-li zhotovitel v prodlení s předáním projektové dokumentace či její části v termínu dle čl. 3 této smlouvy, uhradí objednateli smluvní pokutu ve výši 0,2 % z ceny díla či jeho části za každý, byť i</w:t>
      </w:r>
      <w:r w:rsidR="005F4716">
        <w:rPr>
          <w:rFonts w:ascii="Arial" w:hAnsi="Arial" w:cs="Arial"/>
          <w:snapToGrid w:val="0"/>
          <w:sz w:val="20"/>
          <w:szCs w:val="20"/>
          <w:lang w:eastAsia="cs-CZ"/>
        </w:rPr>
        <w:t> </w:t>
      </w:r>
      <w:r w:rsidRPr="005F4716">
        <w:rPr>
          <w:rFonts w:ascii="Arial" w:hAnsi="Arial" w:cs="Arial"/>
          <w:snapToGrid w:val="0"/>
          <w:sz w:val="20"/>
          <w:szCs w:val="20"/>
          <w:lang w:eastAsia="cs-CZ"/>
        </w:rPr>
        <w:t>jen započatý den prodlení.</w:t>
      </w:r>
    </w:p>
    <w:p w14:paraId="37579BEE" w14:textId="19A04E0A" w:rsidR="00BA0444" w:rsidRPr="005F4716" w:rsidRDefault="00F74CFF" w:rsidP="00BA0444">
      <w:pPr>
        <w:numPr>
          <w:ilvl w:val="1"/>
          <w:numId w:val="34"/>
        </w:numPr>
        <w:spacing w:line="240" w:lineRule="auto"/>
        <w:jc w:val="both"/>
        <w:rPr>
          <w:rFonts w:ascii="Arial" w:hAnsi="Arial" w:cs="Arial"/>
          <w:snapToGrid w:val="0"/>
          <w:sz w:val="20"/>
          <w:szCs w:val="20"/>
          <w:lang w:eastAsia="cs-CZ"/>
        </w:rPr>
      </w:pPr>
      <w:r w:rsidRPr="005F4716">
        <w:rPr>
          <w:rFonts w:ascii="Arial" w:hAnsi="Arial" w:cs="Arial"/>
          <w:snapToGrid w:val="0"/>
          <w:sz w:val="20"/>
          <w:szCs w:val="20"/>
          <w:lang w:eastAsia="cs-CZ"/>
        </w:rPr>
        <w:t>Je-li zhotovitel v prodlení oproti lhůtě plnění u kterékoliv ostatní činnosti sjednané touto smlouvou, uhradí objednateli smluvní pokutu ve výši 2</w:t>
      </w:r>
      <w:r w:rsidR="00140B98">
        <w:rPr>
          <w:rFonts w:ascii="Arial" w:hAnsi="Arial" w:cs="Arial"/>
          <w:snapToGrid w:val="0"/>
          <w:sz w:val="20"/>
          <w:szCs w:val="20"/>
          <w:lang w:eastAsia="cs-CZ"/>
        </w:rPr>
        <w:t xml:space="preserve"> </w:t>
      </w:r>
      <w:r w:rsidRPr="005F4716">
        <w:rPr>
          <w:rFonts w:ascii="Arial" w:hAnsi="Arial" w:cs="Arial"/>
          <w:snapToGrid w:val="0"/>
          <w:sz w:val="20"/>
          <w:szCs w:val="20"/>
          <w:lang w:eastAsia="cs-CZ"/>
        </w:rPr>
        <w:t>000,- Kč za každý, byť i jen započatý den prodlení.</w:t>
      </w:r>
    </w:p>
    <w:p w14:paraId="3705D15A" w14:textId="77777777" w:rsidR="00BA0444" w:rsidRPr="005F4716" w:rsidRDefault="00F74CFF" w:rsidP="00BA0444">
      <w:pPr>
        <w:numPr>
          <w:ilvl w:val="1"/>
          <w:numId w:val="34"/>
        </w:numPr>
        <w:spacing w:line="240" w:lineRule="auto"/>
        <w:jc w:val="both"/>
        <w:rPr>
          <w:rFonts w:ascii="Arial" w:hAnsi="Arial" w:cs="Arial"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Je-li zhotovitel v prodlení s odstraněním vad</w:t>
      </w:r>
      <w:r w:rsidR="00BA0444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dle čl. 6 této smlouvy, u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hradí objednateli smluvní pokutu ve výši 0,2 % z ceny </w:t>
      </w:r>
      <w:r w:rsidR="00BA0444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díla 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či jeho části za každý</w:t>
      </w:r>
      <w:r w:rsidR="00BA0444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, 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byť i jen započatý den prodlení.</w:t>
      </w:r>
    </w:p>
    <w:p w14:paraId="753D4601" w14:textId="77777777" w:rsidR="00870278" w:rsidRPr="005F4716" w:rsidRDefault="00870278" w:rsidP="00870278">
      <w:pPr>
        <w:numPr>
          <w:ilvl w:val="1"/>
          <w:numId w:val="34"/>
        </w:numPr>
        <w:spacing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Smluvní strany se dohodly, že objednatel zaplatí zhotoviteli smluvní pokutu za prodlení s</w:t>
      </w:r>
      <w:r w:rsid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termínem splatnosti faktur ve výši 0,1 % z dlužné částky za každý den prodlení. Tato smluvní pokuta v sobě obsahuje i úrok z prodlení, který nebude (nastane-li prodlení) zvlášť účtován.</w:t>
      </w:r>
    </w:p>
    <w:p w14:paraId="4AB38C2C" w14:textId="77777777" w:rsidR="00BA0444" w:rsidRPr="005F4716" w:rsidRDefault="00BA0444" w:rsidP="00F74CFF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</w:t>
      </w:r>
      <w:r w:rsidR="00F74CFF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šechny smluvní pokuty jsou splatné do 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14</w:t>
      </w:r>
      <w:r w:rsidR="00F74CFF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870278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kalendářních </w:t>
      </w:r>
      <w:r w:rsidR="00F74CFF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dnů od</w:t>
      </w:r>
      <w:r w:rsidR="00870278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e dne doručení výzvy k úhradě smluvní pokuty druhé straně. </w:t>
      </w:r>
      <w:r w:rsidR="00F74CFF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65155EE8" w14:textId="77777777" w:rsidR="00870278" w:rsidRPr="005F4716" w:rsidRDefault="00870278" w:rsidP="00870278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Smluvní strany jsou oprávněny požadovat při porušení povinnosti, na kterou se vztahuje smluvní pokuta, vedle smluvní pokuty i plnou náhradu škody, která jim vznikla porušením takové povinnosti.</w:t>
      </w:r>
    </w:p>
    <w:p w14:paraId="7FE6CBD6" w14:textId="77777777" w:rsidR="00870278" w:rsidRPr="005F4716" w:rsidRDefault="00870278" w:rsidP="00870278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Povinnost zaplatit smluvní pokutu může vzniknout i opakovaně, její celková výše není omezena.</w:t>
      </w:r>
    </w:p>
    <w:p w14:paraId="5426BD9D" w14:textId="77777777" w:rsidR="00BA0444" w:rsidRPr="005F4716" w:rsidRDefault="00F74CFF" w:rsidP="00BA0444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Žádná ze smluvních stran nemá povinnost nahradit škodu způsobenou porušením svých povinností vyplývajících z této </w:t>
      </w:r>
      <w:r w:rsidR="00BA0444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mlouvy a není v prodlení, bránila-li jí v jejich splnění některá z</w:t>
      </w:r>
      <w:r w:rsid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překážek vylučujících povinnost k náhradě škody ve smyslu § 2913 odst.</w:t>
      </w:r>
      <w:r w:rsidR="00BA0444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2 občanského zákoníku.</w:t>
      </w:r>
    </w:p>
    <w:p w14:paraId="6D450706" w14:textId="742212D2" w:rsidR="00BA0444" w:rsidRPr="005F4716" w:rsidRDefault="00F74CFF" w:rsidP="00BA0444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Objednatel si vyhrazuje právo na odstoupení od smlouvy v případě, že zhotovitel bude v prodlení s plněním smlouvy z důvodů na straně zhotovitele déle než </w:t>
      </w:r>
      <w:r w:rsidR="00A72093" w:rsidRPr="007E6C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3 </w:t>
      </w:r>
      <w:r w:rsidR="00C06D76" w:rsidRPr="007E6C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kalendářní </w:t>
      </w:r>
      <w:r w:rsidR="00A72093" w:rsidRPr="007E6C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dny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A7209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v případě plnění dle odst. </w:t>
      </w:r>
      <w:proofErr w:type="gramStart"/>
      <w:r w:rsidR="00A7209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2.1. a) a 15</w:t>
      </w:r>
      <w:proofErr w:type="gramEnd"/>
      <w:r w:rsidR="00A7209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C06D7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kalendářních </w:t>
      </w:r>
      <w:r w:rsidR="00A7209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dnů v případě plnění dle odst. 2.1. b) 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nebo bude </w:t>
      </w:r>
      <w:r w:rsidR="00BA0444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činnosti a</w:t>
      </w:r>
      <w:r w:rsid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="00BA0444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služby 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poskytovat nekvalitně v rozporu s platnými předpisy nebo touto smlouvou, i když byl na tuto skutečnost objednatelem písemně upozorněn.</w:t>
      </w:r>
    </w:p>
    <w:p w14:paraId="0C2B6CF7" w14:textId="77777777" w:rsidR="00BA0444" w:rsidRPr="005F4716" w:rsidRDefault="00852625" w:rsidP="00FB342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Smluvní strany jsou oprávněny k jednostrannému odstoupení od této smlouvy v případech, že jedna ze smluvních stran neplní podmínky této smlouvy, byla-li na tuto skutečnost upozorněna a</w:t>
      </w:r>
      <w:r w:rsid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nesjednala</w:t>
      </w:r>
      <w:r w:rsidR="00785B12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-li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nápravu ani v dostatečné poskytnuté lhůtě.</w:t>
      </w:r>
    </w:p>
    <w:p w14:paraId="78FFF5E7" w14:textId="77777777" w:rsidR="00FB3420" w:rsidRPr="005F4716" w:rsidRDefault="004E0E2A" w:rsidP="00FB342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Objednatel může odstoupit od smlouvy (z důvodu hrubého neplnění smluvních závazků zhotovitelem) především pokud:</w:t>
      </w:r>
    </w:p>
    <w:p w14:paraId="0E898546" w14:textId="77777777" w:rsidR="00870278" w:rsidRDefault="00870278" w:rsidP="00870278">
      <w:pPr>
        <w:numPr>
          <w:ilvl w:val="0"/>
          <w:numId w:val="42"/>
        </w:numPr>
        <w:spacing w:after="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provádí činnosti nebo poskytuje služby nekvalitně, nebo v rozporu s platnými předpisy nebo touto smlouvou;</w:t>
      </w:r>
    </w:p>
    <w:p w14:paraId="4CCA86B3" w14:textId="77777777" w:rsidR="005F4716" w:rsidRPr="005F4716" w:rsidRDefault="005F4716" w:rsidP="005F4716">
      <w:pPr>
        <w:spacing w:after="0" w:line="240" w:lineRule="auto"/>
        <w:ind w:left="927" w:right="-2"/>
        <w:jc w:val="both"/>
        <w:rPr>
          <w:rFonts w:ascii="Arial" w:eastAsia="Times New Roman" w:hAnsi="Arial" w:cs="Arial"/>
          <w:snapToGrid w:val="0"/>
          <w:sz w:val="10"/>
          <w:szCs w:val="10"/>
          <w:lang w:eastAsia="cs-CZ"/>
        </w:rPr>
      </w:pPr>
    </w:p>
    <w:p w14:paraId="109E6AAE" w14:textId="759CDD7A" w:rsidR="00FB3420" w:rsidRPr="005F4716" w:rsidRDefault="004E0E2A" w:rsidP="00870278">
      <w:pPr>
        <w:numPr>
          <w:ilvl w:val="0"/>
          <w:numId w:val="42"/>
        </w:numPr>
        <w:spacing w:after="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zhotovitel je v podstatném prodlení s prováděním díla, přičemž za podstatné prodlení se považuje doba delší než </w:t>
      </w:r>
      <w:r w:rsidR="00A7209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3 kalendářní dny u plnění dle odst. 2.1.a) a 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15 kalendářních dnů </w:t>
      </w:r>
      <w:r w:rsidR="00A7209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v případě plnění dle odst. </w:t>
      </w:r>
      <w:proofErr w:type="gramStart"/>
      <w:r w:rsidR="00A7209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2.1. b) 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oproti</w:t>
      </w:r>
      <w:proofErr w:type="gramEnd"/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časovému harmonogramu p</w:t>
      </w:r>
      <w:r w:rsidR="00774056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rov</w:t>
      </w:r>
      <w:r w:rsidR="00E256F7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ádění </w:t>
      </w:r>
      <w:r w:rsidR="00774056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projekčních prací a </w:t>
      </w:r>
      <w:r w:rsidR="00E256F7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výkonu </w:t>
      </w:r>
      <w:r w:rsidR="00774056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souvisejících služeb </w:t>
      </w:r>
    </w:p>
    <w:p w14:paraId="286F4D09" w14:textId="77777777" w:rsidR="005F4716" w:rsidRPr="005F4716" w:rsidRDefault="005F4716" w:rsidP="005F4716">
      <w:pPr>
        <w:pStyle w:val="Odstavecseseznamem"/>
        <w:spacing w:after="0" w:line="240" w:lineRule="auto"/>
        <w:ind w:left="927" w:right="-2"/>
        <w:jc w:val="both"/>
        <w:rPr>
          <w:rFonts w:ascii="Arial" w:eastAsia="Times New Roman" w:hAnsi="Arial" w:cs="Arial"/>
          <w:snapToGrid w:val="0"/>
          <w:sz w:val="10"/>
          <w:szCs w:val="10"/>
          <w:lang w:eastAsia="cs-CZ"/>
        </w:rPr>
      </w:pPr>
    </w:p>
    <w:p w14:paraId="50EB121C" w14:textId="77777777" w:rsidR="00FB3420" w:rsidRPr="005F4716" w:rsidRDefault="004E0E2A" w:rsidP="00870278">
      <w:pPr>
        <w:pStyle w:val="Odstavecseseznamem"/>
        <w:numPr>
          <w:ilvl w:val="0"/>
          <w:numId w:val="42"/>
        </w:numPr>
        <w:spacing w:after="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nedbá pokynů objednatele pro provádění díla ani přes písemné upozornění;</w:t>
      </w:r>
    </w:p>
    <w:p w14:paraId="65228CB8" w14:textId="77777777" w:rsidR="005F4716" w:rsidRPr="005F4716" w:rsidRDefault="005F4716" w:rsidP="005F4716">
      <w:pPr>
        <w:pStyle w:val="Odstavecseseznamem"/>
        <w:spacing w:after="120" w:line="240" w:lineRule="auto"/>
        <w:ind w:left="927" w:right="-2"/>
        <w:jc w:val="both"/>
        <w:rPr>
          <w:rFonts w:ascii="Arial" w:eastAsia="Times New Roman" w:hAnsi="Arial" w:cs="Arial"/>
          <w:snapToGrid w:val="0"/>
          <w:sz w:val="10"/>
          <w:szCs w:val="10"/>
          <w:lang w:eastAsia="cs-CZ"/>
        </w:rPr>
      </w:pPr>
    </w:p>
    <w:p w14:paraId="797D52CB" w14:textId="77777777" w:rsidR="004E0E2A" w:rsidRPr="005F4716" w:rsidRDefault="004E0E2A" w:rsidP="00FB3420">
      <w:pPr>
        <w:pStyle w:val="Odstavecseseznamem"/>
        <w:numPr>
          <w:ilvl w:val="0"/>
          <w:numId w:val="42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bylo-li rozhodnuto o úpadku zhotovitele v insolvenčním řízení.</w:t>
      </w:r>
    </w:p>
    <w:p w14:paraId="57DE41C9" w14:textId="77777777" w:rsidR="00C65B26" w:rsidRPr="005F4716" w:rsidRDefault="004E0E2A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může odstoupit od smlouvy (z důvodu hrubého neplnění smluvních závazků objednatelem) především pokud:</w:t>
      </w:r>
    </w:p>
    <w:p w14:paraId="048EA898" w14:textId="77777777" w:rsidR="004E0E2A" w:rsidRPr="005F4716" w:rsidRDefault="004E0E2A" w:rsidP="00C65B26">
      <w:pPr>
        <w:pStyle w:val="Odstavecseseznamem"/>
        <w:numPr>
          <w:ilvl w:val="0"/>
          <w:numId w:val="42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objednatel je v prodlení s placením podle této smlouvy delším než 60 dnů, avšak teprve poté, kdy na hrubé neplnění smluvních závazků objednatele předem písemně upozornil a poskytl přiměřenou lhůtu k nápravě.</w:t>
      </w:r>
    </w:p>
    <w:p w14:paraId="6FE68A42" w14:textId="77777777" w:rsidR="00C65B26" w:rsidRPr="005F4716" w:rsidRDefault="004E0E2A" w:rsidP="007B5732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Odstoupením od smlouvy zanikají všechna práva a povinnosti stran ze smlouvy, s výjimkou nároku na náhradu škody vzniklé porušením smlouvy a nároku na sjednané smluvní pokuty.</w:t>
      </w:r>
    </w:p>
    <w:p w14:paraId="7A530B45" w14:textId="77777777" w:rsidR="00870278" w:rsidRPr="005F4716" w:rsidRDefault="00D21142" w:rsidP="007B5732">
      <w:pPr>
        <w:numPr>
          <w:ilvl w:val="1"/>
          <w:numId w:val="34"/>
        </w:numPr>
        <w:spacing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Objednatel si vyhrazuje právo, aby mu zhotovitel na vyzvání předložil rozpracovanou projektovou dokumentaci k posouzení.</w:t>
      </w:r>
      <w:r w:rsidR="00870278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5EE45BA9" w14:textId="77777777" w:rsidR="00870278" w:rsidRPr="005F4716" w:rsidRDefault="00870278" w:rsidP="007B5732">
      <w:pPr>
        <w:numPr>
          <w:ilvl w:val="1"/>
          <w:numId w:val="34"/>
        </w:numPr>
        <w:spacing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Objednatel se zavazuje převzít dokončené dílo, pokud dílo nevykazuje vady a nedodělky. O</w:t>
      </w:r>
      <w:r w:rsidR="005F4716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předání díla bude vyhotoven písemný protokol, v němž obě strany uvedou mimo jiné zjištěné vady a nedodělky, jakož i lhůty pro jejich odstranění. </w:t>
      </w:r>
    </w:p>
    <w:p w14:paraId="799D5D80" w14:textId="717A309B" w:rsidR="00E256F7" w:rsidRPr="005F4716" w:rsidRDefault="002D4596" w:rsidP="007B5732">
      <w:pPr>
        <w:numPr>
          <w:ilvl w:val="1"/>
          <w:numId w:val="34"/>
        </w:numPr>
        <w:spacing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prohlašuje, že má uzavřenou platnou a účinnou pojistnou smlouvu, jejímž předmětem je pojištění odpovědnosti za škodu způsobenou třetím osobám s minimální pojistnou částkou</w:t>
      </w:r>
      <w:r w:rsidR="00806E0B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9C679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500.000,- </w:t>
      </w:r>
      <w:r w:rsidR="00806E0B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Kč. 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Tuto pojistnou smlouvu bude zhotovitel udržovat v platnosti po celou dobu platnosti této smlouvy o dílo. Ověřenou kopii pojistné smlouvy předá zhotovitel objednateli ke kontrole ne</w:t>
      </w:r>
      <w:r w:rsidR="00E256F7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jpozději ke dni zahájení plnění. </w:t>
      </w:r>
    </w:p>
    <w:p w14:paraId="2518E20D" w14:textId="77777777" w:rsidR="00FF3F4A" w:rsidRPr="005F4716" w:rsidRDefault="00E256F7" w:rsidP="007B5732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</w:t>
      </w:r>
      <w:r w:rsidR="009A7A23" w:rsidRPr="005F4716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 průběhu zhotovování díla, není zhotovitel oprávněn poskytovat výsledky činnosti jiným osobám. Zhotovitel se zavazuje během plnění smlouvy i po </w:t>
      </w:r>
      <w:r w:rsidR="0021227B" w:rsidRPr="005F4716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p</w:t>
      </w:r>
      <w:r w:rsidR="009A7A23" w:rsidRPr="005F4716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ředání </w:t>
      </w:r>
      <w:r w:rsidR="0021227B" w:rsidRPr="005F4716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díla </w:t>
      </w:r>
      <w:r w:rsidR="009A7A23" w:rsidRPr="005F4716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objednateli, zachovávat mlčenlivost o</w:t>
      </w:r>
      <w:r w:rsidRPr="005F4716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 </w:t>
      </w:r>
      <w:r w:rsidR="009A7A23" w:rsidRPr="005F4716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všech skutečnostech, o kterých se dozví od objednatele</w:t>
      </w:r>
      <w:r w:rsidR="0021227B" w:rsidRPr="005F4716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 v </w:t>
      </w:r>
      <w:r w:rsidR="009A7A23" w:rsidRPr="005F4716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souvislosti s plněním smlouvy (se zhotovením díla). Povinnost mlčenlivosti se vztahuje i </w:t>
      </w:r>
      <w:r w:rsidR="0021227B" w:rsidRPr="005F4716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na </w:t>
      </w:r>
      <w:r w:rsidR="009A7A23" w:rsidRPr="005F4716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zaměstnance zhotovitele a</w:t>
      </w:r>
      <w:r w:rsidR="005F4716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 </w:t>
      </w:r>
      <w:r w:rsidR="009A7A23" w:rsidRPr="005F4716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na všechny další osoby, které zhotovitel k plnění předmětu smlouvy zmocnil.</w:t>
      </w:r>
    </w:p>
    <w:p w14:paraId="3B23228B" w14:textId="248673E1" w:rsidR="00C65B26" w:rsidRPr="007E6CA4" w:rsidRDefault="009A7A23" w:rsidP="007E6CA4">
      <w:pPr>
        <w:numPr>
          <w:ilvl w:val="1"/>
          <w:numId w:val="34"/>
        </w:numPr>
        <w:spacing w:after="24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7E6CA4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4DF0FB4C" w14:textId="77777777" w:rsidR="00E650F6" w:rsidRPr="005F4716" w:rsidRDefault="000A0F4E" w:rsidP="00E650F6">
      <w:pPr>
        <w:pStyle w:val="Odstavecseseznamem"/>
        <w:numPr>
          <w:ilvl w:val="0"/>
          <w:numId w:val="34"/>
        </w:num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5F4716">
        <w:rPr>
          <w:rFonts w:ascii="Arial" w:eastAsia="Calibri" w:hAnsi="Arial" w:cs="Arial"/>
          <w:b/>
          <w:sz w:val="20"/>
          <w:szCs w:val="20"/>
        </w:rPr>
        <w:t>Z</w:t>
      </w:r>
      <w:r w:rsidR="00E650F6" w:rsidRPr="005F4716">
        <w:rPr>
          <w:rFonts w:ascii="Arial" w:eastAsia="Calibri" w:hAnsi="Arial" w:cs="Arial"/>
          <w:b/>
          <w:sz w:val="20"/>
          <w:szCs w:val="20"/>
        </w:rPr>
        <w:t>ávěrečná ustanovení</w:t>
      </w:r>
    </w:p>
    <w:p w14:paraId="30E5736B" w14:textId="77777777" w:rsidR="00C65B26" w:rsidRPr="005F4716" w:rsidRDefault="00C65B26" w:rsidP="00C65B26">
      <w:pPr>
        <w:numPr>
          <w:ilvl w:val="1"/>
          <w:numId w:val="34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5F4716">
        <w:rPr>
          <w:rFonts w:ascii="Arial" w:eastAsia="Calibri" w:hAnsi="Arial" w:cs="Arial"/>
          <w:bCs/>
          <w:sz w:val="20"/>
          <w:szCs w:val="20"/>
        </w:rPr>
        <w:t xml:space="preserve">Smlouva nabývá </w:t>
      </w:r>
      <w:r w:rsidR="002D4596" w:rsidRPr="005F4716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platnosti a účinnosti dnem jejího podpis</w:t>
      </w:r>
      <w:r w:rsidR="00E650F6" w:rsidRPr="005F4716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u zástupci obou smluvních stran.</w:t>
      </w:r>
    </w:p>
    <w:p w14:paraId="6D899D6B" w14:textId="77777777" w:rsidR="00C65B26" w:rsidRPr="005F4716" w:rsidRDefault="00694A2D" w:rsidP="00C65B26">
      <w:pPr>
        <w:numPr>
          <w:ilvl w:val="1"/>
          <w:numId w:val="34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5F4716">
        <w:rPr>
          <w:rFonts w:ascii="Arial" w:hAnsi="Arial" w:cs="Arial"/>
          <w:snapToGrid w:val="0"/>
          <w:color w:val="000000"/>
          <w:sz w:val="20"/>
          <w:szCs w:val="20"/>
        </w:rPr>
        <w:t xml:space="preserve">Práva a povinnosti smluvních stran touto smlouvou výslovně neupravená se řídí příslušnými ustanoveními občanského zákoníku a </w:t>
      </w:r>
      <w:r w:rsidR="00C65B26" w:rsidRPr="005F4716">
        <w:rPr>
          <w:rFonts w:ascii="Arial" w:hAnsi="Arial" w:cs="Arial"/>
          <w:snapToGrid w:val="0"/>
          <w:color w:val="000000"/>
          <w:sz w:val="20"/>
          <w:szCs w:val="20"/>
        </w:rPr>
        <w:t>souvisejícími právními předpisy.</w:t>
      </w:r>
    </w:p>
    <w:p w14:paraId="536911FF" w14:textId="77777777" w:rsidR="00C65B26" w:rsidRPr="005F4716" w:rsidRDefault="002D4596" w:rsidP="00C65B26">
      <w:pPr>
        <w:numPr>
          <w:ilvl w:val="1"/>
          <w:numId w:val="34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5F4716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Tato smlouva je vyhotovena ve čtyřech stejnopisech, z nichž každý má platnost originálu a každá ze smluvních stran o</w:t>
      </w:r>
      <w:r w:rsidR="00694A2D" w:rsidRPr="005F4716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bdrží po dvou výtiscích smlouvy.</w:t>
      </w:r>
    </w:p>
    <w:p w14:paraId="00E454DC" w14:textId="404BFF67" w:rsidR="00C65B26" w:rsidRPr="005F4716" w:rsidRDefault="002D4596" w:rsidP="00C65B26">
      <w:pPr>
        <w:numPr>
          <w:ilvl w:val="1"/>
          <w:numId w:val="34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Smluvní strany výslovně souhlasí s tím, že tato smlouva, včetně příloh a dodatků, může být bez jakéhokoliv omezení zveřejněna na oficiálních internetových stránkách </w:t>
      </w:r>
      <w:r w:rsidR="00A7209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objednatele 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 příslušném profilu zadavatele. Souhlas se zveřejněním se týká i případných osobních údajů uvedených v této smlouvě, kdy je tento odstavec smluvními stranami brán jako souhlas se zpracováním osobních údajů ve smyslu zákona č. 101/2000 Sb., o</w:t>
      </w:r>
      <w:r w:rsidR="00C65B26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ochraně osobních údajů a o změně některých zákonů, ve znění pozdějších předpisů, a tedy město Písek má mimo jiné právo uchovávat a zveřejňovat osobní údaje v této smlouvě obsažené.</w:t>
      </w:r>
    </w:p>
    <w:p w14:paraId="52981AA4" w14:textId="77777777" w:rsidR="00C65B26" w:rsidRPr="005F4716" w:rsidRDefault="002D4596" w:rsidP="00C65B26">
      <w:pPr>
        <w:numPr>
          <w:ilvl w:val="1"/>
          <w:numId w:val="34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bere na vědomí, že na tuto smlouvu se vztahují povinnosti uveřejnění dle zákona č.</w:t>
      </w:r>
      <w:r w:rsidR="00F776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340/2015 Sb., o zvláštních podmínkách účinnosti některých smluv, uveřejňování těchto smluv a o registru smluv (zákon o registru smluv), v platném znění. Smluvní strany si tímto ujednávají, že uveřejnění dle tohoto zákona zajistí objednatel způsobem, v rozsahu a ve lhůtách z něho vyplývajících. Zhotovitel poskytne objednateli textový obsah smlouvy, včetně příloh smlouvy, v otevřeném a strojově čitelném formátu. Smluvní strany prohlašují, že žádnou část této smlouvy nepovažují za své obchodní tajemství bránící jejímu uveřejnění či poskytnutí. Ujednání dle tohoto odstavce se vztahují i na všechny případné dodatky k této smlouvě, jejichž prostřednictvím je tato </w:t>
      </w:r>
      <w:r w:rsidR="00C65B26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smlouva měněna či ukončována.</w:t>
      </w:r>
    </w:p>
    <w:p w14:paraId="3042F18D" w14:textId="3E91F240" w:rsidR="00C65B26" w:rsidRPr="005F4716" w:rsidRDefault="00694A2D" w:rsidP="00C65B26">
      <w:pPr>
        <w:numPr>
          <w:ilvl w:val="1"/>
          <w:numId w:val="34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5F4716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Nedílnou součástí této smlouvy je cenová nabídka zhotovitele</w:t>
      </w:r>
      <w:r w:rsidR="007B5732" w:rsidRPr="005F4716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. </w:t>
      </w:r>
    </w:p>
    <w:p w14:paraId="133989B7" w14:textId="77777777" w:rsidR="002D4596" w:rsidRPr="005F4716" w:rsidRDefault="00694A2D" w:rsidP="00C65B26">
      <w:pPr>
        <w:numPr>
          <w:ilvl w:val="1"/>
          <w:numId w:val="34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Smluvní strany </w:t>
      </w:r>
      <w:r w:rsidR="002D4596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prohlašují, že si smlouvu přečetl</w:t>
      </w:r>
      <w:r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y</w:t>
      </w:r>
      <w:r w:rsidR="002D4596" w:rsidRPr="005F471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souhlasí bez výhrad s jejím obsahem a na důkaz toho připojují své podpisy.</w:t>
      </w:r>
    </w:p>
    <w:p w14:paraId="2164DCA4" w14:textId="77777777" w:rsidR="002D4596" w:rsidRPr="005F4716" w:rsidRDefault="002D4596" w:rsidP="004E0E2A">
      <w:pPr>
        <w:spacing w:before="60"/>
        <w:jc w:val="both"/>
        <w:rPr>
          <w:rFonts w:ascii="Arial" w:eastAsia="Calibri" w:hAnsi="Arial" w:cs="Arial"/>
          <w:sz w:val="20"/>
          <w:szCs w:val="20"/>
        </w:rPr>
      </w:pPr>
    </w:p>
    <w:p w14:paraId="35714B08" w14:textId="77777777" w:rsidR="004D1F91" w:rsidRPr="005F4716" w:rsidRDefault="004D1F91" w:rsidP="004D1F91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14:paraId="5658485F" w14:textId="77777777" w:rsidR="004D1F91" w:rsidRPr="005F4716" w:rsidRDefault="004D1F91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F4716">
        <w:rPr>
          <w:rFonts w:ascii="Arial" w:eastAsia="Times New Roman" w:hAnsi="Arial" w:cs="Arial"/>
          <w:sz w:val="20"/>
          <w:szCs w:val="20"/>
          <w:lang w:eastAsia="cs-CZ"/>
        </w:rPr>
        <w:t>V Písku dne …………………</w:t>
      </w:r>
      <w:r w:rsidRPr="005F471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F471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F471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5F471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F4716">
        <w:rPr>
          <w:rFonts w:ascii="Arial" w:eastAsia="Times New Roman" w:hAnsi="Arial" w:cs="Arial"/>
          <w:sz w:val="20"/>
          <w:szCs w:val="20"/>
          <w:lang w:eastAsia="cs-CZ"/>
        </w:rPr>
        <w:t xml:space="preserve">V ……………………. </w:t>
      </w:r>
      <w:proofErr w:type="gramStart"/>
      <w:r w:rsidRPr="005F4716">
        <w:rPr>
          <w:rFonts w:ascii="Arial" w:eastAsia="Times New Roman" w:hAnsi="Arial" w:cs="Arial"/>
          <w:sz w:val="20"/>
          <w:szCs w:val="20"/>
          <w:lang w:eastAsia="cs-CZ"/>
        </w:rPr>
        <w:t>dne</w:t>
      </w:r>
      <w:proofErr w:type="gramEnd"/>
      <w:r w:rsidRPr="005F4716">
        <w:rPr>
          <w:rFonts w:ascii="Arial" w:eastAsia="Times New Roman" w:hAnsi="Arial" w:cs="Arial"/>
          <w:sz w:val="20"/>
          <w:szCs w:val="20"/>
          <w:lang w:eastAsia="cs-CZ"/>
        </w:rPr>
        <w:t xml:space="preserve">………………… </w:t>
      </w:r>
    </w:p>
    <w:p w14:paraId="13DD55E2" w14:textId="77777777" w:rsidR="004D1F91" w:rsidRPr="005F4716" w:rsidRDefault="004D1F91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D346BC3" w14:textId="77777777" w:rsidR="004D1F91" w:rsidRPr="005F4716" w:rsidRDefault="004D1F91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F16D535" w14:textId="41787A35" w:rsidR="004D1F91" w:rsidRPr="005F4716" w:rsidRDefault="005F4716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Za objednatele:</w:t>
      </w:r>
      <w:r w:rsidR="00F17AB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17AB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17AB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17AB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17AB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17AB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D1F91" w:rsidRPr="005F4716">
        <w:rPr>
          <w:rFonts w:ascii="Arial" w:eastAsia="Times New Roman" w:hAnsi="Arial" w:cs="Arial"/>
          <w:sz w:val="20"/>
          <w:szCs w:val="20"/>
          <w:lang w:eastAsia="cs-CZ"/>
        </w:rPr>
        <w:t>Za zhotovitele:</w:t>
      </w:r>
    </w:p>
    <w:p w14:paraId="39FE2307" w14:textId="77777777" w:rsidR="004D1F91" w:rsidRPr="005F4716" w:rsidRDefault="004D1F91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5929609" w14:textId="77777777" w:rsidR="004D1F91" w:rsidRPr="005F4716" w:rsidRDefault="004D1F91" w:rsidP="004D1F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392D6F3" w14:textId="77777777" w:rsidR="004D1F91" w:rsidRPr="005F4716" w:rsidRDefault="004D1F91" w:rsidP="004D1F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98E2AA4" w14:textId="03F7FBA7" w:rsidR="002D4596" w:rsidRPr="002D4596" w:rsidRDefault="004D1F91" w:rsidP="00CF0ADD">
      <w:pPr>
        <w:spacing w:after="0" w:line="240" w:lineRule="auto"/>
        <w:rPr>
          <w:rFonts w:ascii="Arial" w:eastAsia="Times New Roman" w:hAnsi="Arial" w:cs="Arial"/>
          <w:snapToGrid w:val="0"/>
          <w:color w:val="000000"/>
          <w:lang w:eastAsia="cs-CZ"/>
        </w:rPr>
      </w:pPr>
      <w:r w:rsidRPr="005F4716">
        <w:rPr>
          <w:rFonts w:ascii="Arial" w:eastAsia="Times New Roman" w:hAnsi="Arial" w:cs="Arial"/>
          <w:sz w:val="20"/>
          <w:szCs w:val="20"/>
          <w:lang w:eastAsia="cs-CZ"/>
        </w:rPr>
        <w:t xml:space="preserve">………………………………………                           </w:t>
      </w:r>
      <w:r w:rsidR="005F471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F4716">
        <w:rPr>
          <w:rFonts w:ascii="Arial" w:eastAsia="Times New Roman" w:hAnsi="Arial" w:cs="Arial"/>
          <w:sz w:val="20"/>
          <w:szCs w:val="20"/>
          <w:lang w:eastAsia="cs-CZ"/>
        </w:rPr>
        <w:t>……..……….………………………</w:t>
      </w:r>
      <w:r w:rsidRPr="004D1F91">
        <w:rPr>
          <w:rFonts w:ascii="Arial" w:eastAsia="Times New Roman" w:hAnsi="Arial" w:cs="Arial"/>
          <w:lang w:eastAsia="cs-CZ"/>
        </w:rPr>
        <w:t xml:space="preserve">                           </w:t>
      </w:r>
    </w:p>
    <w:sectPr w:rsidR="002D4596" w:rsidRPr="002D4596" w:rsidSect="003E4F67"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192C"/>
    <w:multiLevelType w:val="multilevel"/>
    <w:tmpl w:val="D354D5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BB4223"/>
    <w:multiLevelType w:val="multilevel"/>
    <w:tmpl w:val="4ED844F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strike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2" w15:restartNumberingAfterBreak="0">
    <w:nsid w:val="02FD63EE"/>
    <w:multiLevelType w:val="multilevel"/>
    <w:tmpl w:val="1B526892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04B250A8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82D640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A645548"/>
    <w:multiLevelType w:val="multilevel"/>
    <w:tmpl w:val="8AA4365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strike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913792"/>
    <w:multiLevelType w:val="hybridMultilevel"/>
    <w:tmpl w:val="5A502BF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DB7697D"/>
    <w:multiLevelType w:val="hybridMultilevel"/>
    <w:tmpl w:val="B7107D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6C6D64"/>
    <w:multiLevelType w:val="multilevel"/>
    <w:tmpl w:val="F120E3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1065133E"/>
    <w:multiLevelType w:val="multilevel"/>
    <w:tmpl w:val="CC4E59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21E328B"/>
    <w:multiLevelType w:val="hybridMultilevel"/>
    <w:tmpl w:val="F38C0CA2"/>
    <w:lvl w:ilvl="0" w:tplc="F8B85A56">
      <w:start w:val="1"/>
      <w:numFmt w:val="decimal"/>
      <w:lvlText w:val="%1)"/>
      <w:lvlJc w:val="left"/>
      <w:pPr>
        <w:tabs>
          <w:tab w:val="num" w:pos="810"/>
        </w:tabs>
        <w:ind w:left="810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 w15:restartNumberingAfterBreak="0">
    <w:nsid w:val="12E473D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1397424B"/>
    <w:multiLevelType w:val="hybridMultilevel"/>
    <w:tmpl w:val="A1C8030C"/>
    <w:lvl w:ilvl="0" w:tplc="B7A01F1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1A765A32"/>
    <w:multiLevelType w:val="multilevel"/>
    <w:tmpl w:val="F288E3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1AA97849"/>
    <w:multiLevelType w:val="multilevel"/>
    <w:tmpl w:val="3B22D94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1ADE765A"/>
    <w:multiLevelType w:val="hybridMultilevel"/>
    <w:tmpl w:val="983847AC"/>
    <w:lvl w:ilvl="0" w:tplc="E2D0F6F4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C0F28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EE6F39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1E3C0ED4"/>
    <w:multiLevelType w:val="multilevel"/>
    <w:tmpl w:val="0A14FF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auto"/>
      </w:rPr>
    </w:lvl>
  </w:abstractNum>
  <w:abstractNum w:abstractNumId="18" w15:restartNumberingAfterBreak="0">
    <w:nsid w:val="205A5A36"/>
    <w:multiLevelType w:val="multilevel"/>
    <w:tmpl w:val="E954D2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24D96378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272F63BF"/>
    <w:multiLevelType w:val="hybridMultilevel"/>
    <w:tmpl w:val="C92C4F2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27AE7CF7"/>
    <w:multiLevelType w:val="multilevel"/>
    <w:tmpl w:val="B92AF1D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87E33D0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29E61B5E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4" w15:restartNumberingAfterBreak="0">
    <w:nsid w:val="30A32B61"/>
    <w:multiLevelType w:val="multilevel"/>
    <w:tmpl w:val="9DF09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7569A8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39972428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7" w15:restartNumberingAfterBreak="0">
    <w:nsid w:val="3F822AEE"/>
    <w:multiLevelType w:val="multilevel"/>
    <w:tmpl w:val="42B47B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3A54D29"/>
    <w:multiLevelType w:val="hybridMultilevel"/>
    <w:tmpl w:val="A9A6CF28"/>
    <w:lvl w:ilvl="0" w:tplc="4416864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2F42685"/>
    <w:multiLevelType w:val="hybridMultilevel"/>
    <w:tmpl w:val="287C82B4"/>
    <w:lvl w:ilvl="0" w:tplc="1A72CAAE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4AD3E9A"/>
    <w:multiLevelType w:val="multilevel"/>
    <w:tmpl w:val="765042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Arial" w:hAnsi="Arial" w:cs="Arial" w:hint="default"/>
        <w:strike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5D2D4D34"/>
    <w:multiLevelType w:val="hybridMultilevel"/>
    <w:tmpl w:val="59D0EA7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62E0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64612188"/>
    <w:multiLevelType w:val="hybridMultilevel"/>
    <w:tmpl w:val="10A02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C33A6A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71562DDC"/>
    <w:multiLevelType w:val="hybridMultilevel"/>
    <w:tmpl w:val="862E3D7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1C96AB5"/>
    <w:multiLevelType w:val="hybridMultilevel"/>
    <w:tmpl w:val="A2E23CD4"/>
    <w:lvl w:ilvl="0" w:tplc="63284D6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71E232C4"/>
    <w:multiLevelType w:val="multilevel"/>
    <w:tmpl w:val="976476A2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ascii="Arial" w:hAnsi="Arial" w:cs="Arial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ascii="Arial" w:hAnsi="Arial" w:cs="Arial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ascii="Arial" w:hAnsi="Arial" w:cs="Arial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ascii="Arial" w:hAnsi="Arial" w:cs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ascii="Arial" w:hAnsi="Arial" w:cs="Arial" w:hint="default"/>
        <w:b w:val="0"/>
        <w:i w:val="0"/>
        <w:sz w:val="22"/>
      </w:rPr>
    </w:lvl>
  </w:abstractNum>
  <w:abstractNum w:abstractNumId="38" w15:restartNumberingAfterBreak="0">
    <w:nsid w:val="72B903C6"/>
    <w:multiLevelType w:val="multilevel"/>
    <w:tmpl w:val="03FAD1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63D601C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7A794F75"/>
    <w:multiLevelType w:val="multilevel"/>
    <w:tmpl w:val="D6C24A0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B1472BB"/>
    <w:multiLevelType w:val="hybridMultilevel"/>
    <w:tmpl w:val="36B889DC"/>
    <w:lvl w:ilvl="0" w:tplc="869ED8C2">
      <w:start w:val="9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7B276980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43" w15:restartNumberingAfterBreak="0">
    <w:nsid w:val="7BB93136"/>
    <w:multiLevelType w:val="multilevel"/>
    <w:tmpl w:val="E954D2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7C785794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7D1C6648"/>
    <w:multiLevelType w:val="multilevel"/>
    <w:tmpl w:val="A3BA81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F4B4203"/>
    <w:multiLevelType w:val="hybridMultilevel"/>
    <w:tmpl w:val="34C6F31A"/>
    <w:lvl w:ilvl="0" w:tplc="164495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33"/>
  </w:num>
  <w:num w:numId="3">
    <w:abstractNumId w:val="17"/>
  </w:num>
  <w:num w:numId="4">
    <w:abstractNumId w:val="4"/>
  </w:num>
  <w:num w:numId="5">
    <w:abstractNumId w:val="21"/>
  </w:num>
  <w:num w:numId="6">
    <w:abstractNumId w:val="19"/>
  </w:num>
  <w:num w:numId="7">
    <w:abstractNumId w:val="27"/>
  </w:num>
  <w:num w:numId="8">
    <w:abstractNumId w:val="32"/>
  </w:num>
  <w:num w:numId="9">
    <w:abstractNumId w:val="44"/>
  </w:num>
  <w:num w:numId="10">
    <w:abstractNumId w:val="3"/>
  </w:num>
  <w:num w:numId="11">
    <w:abstractNumId w:val="9"/>
  </w:num>
  <w:num w:numId="12">
    <w:abstractNumId w:val="7"/>
  </w:num>
  <w:num w:numId="13">
    <w:abstractNumId w:val="15"/>
  </w:num>
  <w:num w:numId="14">
    <w:abstractNumId w:val="6"/>
  </w:num>
  <w:num w:numId="15">
    <w:abstractNumId w:val="35"/>
  </w:num>
  <w:num w:numId="16">
    <w:abstractNumId w:val="20"/>
  </w:num>
  <w:num w:numId="17">
    <w:abstractNumId w:val="2"/>
  </w:num>
  <w:num w:numId="18">
    <w:abstractNumId w:val="8"/>
  </w:num>
  <w:num w:numId="19">
    <w:abstractNumId w:val="38"/>
  </w:num>
  <w:num w:numId="20">
    <w:abstractNumId w:val="45"/>
  </w:num>
  <w:num w:numId="21">
    <w:abstractNumId w:val="5"/>
  </w:num>
  <w:num w:numId="22">
    <w:abstractNumId w:val="37"/>
  </w:num>
  <w:num w:numId="23">
    <w:abstractNumId w:val="0"/>
  </w:num>
  <w:num w:numId="24">
    <w:abstractNumId w:val="43"/>
  </w:num>
  <w:num w:numId="25">
    <w:abstractNumId w:val="13"/>
  </w:num>
  <w:num w:numId="26">
    <w:abstractNumId w:val="18"/>
  </w:num>
  <w:num w:numId="27">
    <w:abstractNumId w:val="30"/>
  </w:num>
  <w:num w:numId="28">
    <w:abstractNumId w:val="14"/>
  </w:num>
  <w:num w:numId="29">
    <w:abstractNumId w:val="1"/>
  </w:num>
  <w:num w:numId="30">
    <w:abstractNumId w:val="16"/>
  </w:num>
  <w:num w:numId="31">
    <w:abstractNumId w:val="26"/>
  </w:num>
  <w:num w:numId="32">
    <w:abstractNumId w:val="22"/>
  </w:num>
  <w:num w:numId="33">
    <w:abstractNumId w:val="40"/>
  </w:num>
  <w:num w:numId="34">
    <w:abstractNumId w:val="42"/>
  </w:num>
  <w:num w:numId="35">
    <w:abstractNumId w:val="31"/>
  </w:num>
  <w:num w:numId="36">
    <w:abstractNumId w:val="39"/>
  </w:num>
  <w:num w:numId="37">
    <w:abstractNumId w:val="34"/>
  </w:num>
  <w:num w:numId="38">
    <w:abstractNumId w:val="25"/>
  </w:num>
  <w:num w:numId="39">
    <w:abstractNumId w:val="10"/>
  </w:num>
  <w:num w:numId="40">
    <w:abstractNumId w:val="41"/>
  </w:num>
  <w:num w:numId="41">
    <w:abstractNumId w:val="36"/>
  </w:num>
  <w:num w:numId="42">
    <w:abstractNumId w:val="28"/>
  </w:num>
  <w:num w:numId="43">
    <w:abstractNumId w:val="11"/>
  </w:num>
  <w:num w:numId="44">
    <w:abstractNumId w:val="46"/>
  </w:num>
  <w:num w:numId="45">
    <w:abstractNumId w:val="29"/>
  </w:num>
  <w:num w:numId="46">
    <w:abstractNumId w:val="12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0E"/>
    <w:rsid w:val="000177F8"/>
    <w:rsid w:val="000349D4"/>
    <w:rsid w:val="00045679"/>
    <w:rsid w:val="000A0F4E"/>
    <w:rsid w:val="000C1DD8"/>
    <w:rsid w:val="001262B5"/>
    <w:rsid w:val="00140B98"/>
    <w:rsid w:val="001E1A6B"/>
    <w:rsid w:val="001E73A5"/>
    <w:rsid w:val="00207867"/>
    <w:rsid w:val="0021227B"/>
    <w:rsid w:val="002536CD"/>
    <w:rsid w:val="002A06B9"/>
    <w:rsid w:val="002D4596"/>
    <w:rsid w:val="0033021C"/>
    <w:rsid w:val="00380FCA"/>
    <w:rsid w:val="003949E8"/>
    <w:rsid w:val="003E4F67"/>
    <w:rsid w:val="003F45FF"/>
    <w:rsid w:val="004036E9"/>
    <w:rsid w:val="00420E48"/>
    <w:rsid w:val="0042646A"/>
    <w:rsid w:val="00451ACF"/>
    <w:rsid w:val="00492814"/>
    <w:rsid w:val="004A608E"/>
    <w:rsid w:val="004C1132"/>
    <w:rsid w:val="004D1F91"/>
    <w:rsid w:val="004E0E2A"/>
    <w:rsid w:val="004F4317"/>
    <w:rsid w:val="005074E7"/>
    <w:rsid w:val="00533468"/>
    <w:rsid w:val="0055459E"/>
    <w:rsid w:val="0055657B"/>
    <w:rsid w:val="005F4716"/>
    <w:rsid w:val="00600503"/>
    <w:rsid w:val="006146EB"/>
    <w:rsid w:val="00692C19"/>
    <w:rsid w:val="00694A2D"/>
    <w:rsid w:val="006B0DDA"/>
    <w:rsid w:val="006D7AB2"/>
    <w:rsid w:val="006E52A7"/>
    <w:rsid w:val="00705253"/>
    <w:rsid w:val="007111FE"/>
    <w:rsid w:val="007715C0"/>
    <w:rsid w:val="00774056"/>
    <w:rsid w:val="00785B12"/>
    <w:rsid w:val="007B29B5"/>
    <w:rsid w:val="007B5732"/>
    <w:rsid w:val="007E6885"/>
    <w:rsid w:val="007E6CA4"/>
    <w:rsid w:val="00806E0B"/>
    <w:rsid w:val="00852625"/>
    <w:rsid w:val="008609F6"/>
    <w:rsid w:val="00870278"/>
    <w:rsid w:val="00874844"/>
    <w:rsid w:val="008748C7"/>
    <w:rsid w:val="008779C1"/>
    <w:rsid w:val="008B440E"/>
    <w:rsid w:val="008D50C9"/>
    <w:rsid w:val="008F5AF0"/>
    <w:rsid w:val="00903665"/>
    <w:rsid w:val="0094425D"/>
    <w:rsid w:val="009A7A23"/>
    <w:rsid w:val="009C679B"/>
    <w:rsid w:val="00A30729"/>
    <w:rsid w:val="00A72093"/>
    <w:rsid w:val="00AA3B20"/>
    <w:rsid w:val="00AA51E1"/>
    <w:rsid w:val="00B0524C"/>
    <w:rsid w:val="00B220AF"/>
    <w:rsid w:val="00BA0444"/>
    <w:rsid w:val="00BA17F6"/>
    <w:rsid w:val="00C06D76"/>
    <w:rsid w:val="00C26DE3"/>
    <w:rsid w:val="00C27760"/>
    <w:rsid w:val="00C448CA"/>
    <w:rsid w:val="00C65B26"/>
    <w:rsid w:val="00C67C6B"/>
    <w:rsid w:val="00C830BE"/>
    <w:rsid w:val="00CC12CE"/>
    <w:rsid w:val="00CC4D0C"/>
    <w:rsid w:val="00CE5B40"/>
    <w:rsid w:val="00CF0ADD"/>
    <w:rsid w:val="00D010A7"/>
    <w:rsid w:val="00D15B5D"/>
    <w:rsid w:val="00D16D2D"/>
    <w:rsid w:val="00D21142"/>
    <w:rsid w:val="00D547CE"/>
    <w:rsid w:val="00D731ED"/>
    <w:rsid w:val="00DA2824"/>
    <w:rsid w:val="00DB2C43"/>
    <w:rsid w:val="00DC5ECC"/>
    <w:rsid w:val="00DF2CE2"/>
    <w:rsid w:val="00E0448F"/>
    <w:rsid w:val="00E256F7"/>
    <w:rsid w:val="00E650F6"/>
    <w:rsid w:val="00E8679D"/>
    <w:rsid w:val="00EE04A1"/>
    <w:rsid w:val="00F17ABF"/>
    <w:rsid w:val="00F31027"/>
    <w:rsid w:val="00F43FBD"/>
    <w:rsid w:val="00F63F0A"/>
    <w:rsid w:val="00F74CFF"/>
    <w:rsid w:val="00F77626"/>
    <w:rsid w:val="00FA5D62"/>
    <w:rsid w:val="00FB3420"/>
    <w:rsid w:val="00FF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4BBE"/>
  <w15:docId w15:val="{1F576DEE-D271-48BA-AF43-36F854A9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4C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2536CD"/>
    <w:pPr>
      <w:widowControl w:val="0"/>
      <w:spacing w:after="0" w:line="276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D1F9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4D1F91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D1F91"/>
    <w:pPr>
      <w:spacing w:after="0" w:line="240" w:lineRule="auto"/>
    </w:pPr>
    <w:rPr>
      <w:rFonts w:ascii="Arial" w:eastAsia="Times New Roman" w:hAnsi="Arial" w:cs="Arial"/>
      <w:b/>
      <w:bCs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D1F91"/>
    <w:rPr>
      <w:rFonts w:ascii="Arial" w:eastAsia="Times New Roman" w:hAnsi="Arial" w:cs="Arial"/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5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B5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31027"/>
    <w:pPr>
      <w:ind w:left="720"/>
      <w:contextualSpacing/>
    </w:pPr>
  </w:style>
  <w:style w:type="table" w:styleId="Svtlseznamzvraznn3">
    <w:name w:val="Light List Accent 3"/>
    <w:basedOn w:val="Normlntabulka"/>
    <w:uiPriority w:val="61"/>
    <w:rsid w:val="00F43FBD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Mkatabulky">
    <w:name w:val="Table Grid"/>
    <w:basedOn w:val="Normlntabulka"/>
    <w:uiPriority w:val="59"/>
    <w:rsid w:val="00F43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tabulka"/>
    <w:uiPriority w:val="40"/>
    <w:rsid w:val="00DA282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extkomente1">
    <w:name w:val="Text komentáře1"/>
    <w:basedOn w:val="Normln"/>
    <w:rsid w:val="008D50C9"/>
    <w:pPr>
      <w:suppressAutoHyphens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mezer">
    <w:name w:val="No Spacing"/>
    <w:uiPriority w:val="1"/>
    <w:qFormat/>
    <w:rsid w:val="00E256F7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220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20A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20A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0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0A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220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3339</Words>
  <Characters>19706</Characters>
  <Application>Microsoft Office Word</Application>
  <DocSecurity>4</DocSecurity>
  <Lines>164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Vokurková Jitka</dc:creator>
  <cp:lastModifiedBy>kocp</cp:lastModifiedBy>
  <cp:revision>2</cp:revision>
  <cp:lastPrinted>2017-08-09T05:32:00Z</cp:lastPrinted>
  <dcterms:created xsi:type="dcterms:W3CDTF">2017-08-09T05:32:00Z</dcterms:created>
  <dcterms:modified xsi:type="dcterms:W3CDTF">2017-08-09T05:32:00Z</dcterms:modified>
</cp:coreProperties>
</file>