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10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3 ke</w:t>
      </w:r>
      <w:bookmarkEnd w:id="0"/>
      <w:bookmarkEnd w:id="1"/>
      <w:bookmarkEnd w:id="2"/>
    </w:p>
    <w:p>
      <w:pPr>
        <w:pStyle w:val="Style2"/>
        <w:keepNext/>
        <w:keepLines/>
        <w:widowControl w:val="0"/>
        <w:shd w:val="clear" w:color="auto" w:fill="auto"/>
        <w:bidi w:val="0"/>
        <w:spacing w:before="0" w:after="20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2"/>
        <w:keepNext/>
        <w:keepLines/>
        <w:widowControl w:val="0"/>
        <w:shd w:val="clear" w:color="auto" w:fill="auto"/>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1289/2023</w:t>
      </w:r>
      <w:bookmarkEnd w:id="10"/>
      <w:bookmarkEnd w:id="11"/>
      <w:bookmarkEnd w:id="9"/>
    </w:p>
    <w:p>
      <w:pPr>
        <w:pStyle w:val="Style2"/>
        <w:keepNext/>
        <w:keepLines/>
        <w:widowControl w:val="0"/>
        <w:shd w:val="clear" w:color="auto" w:fill="auto"/>
        <w:bidi w:val="0"/>
        <w:spacing w:before="0" w:after="200" w:line="240" w:lineRule="auto"/>
        <w:ind w:left="262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w:t>
      </w:r>
      <w:bookmarkEnd w:id="12"/>
      <w:bookmarkEnd w:id="13"/>
      <w:bookmarkEnd w:id="14"/>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cs-CZ" w:eastAsia="cs-CZ" w:bidi="cs-CZ"/>
        </w:rPr>
        <w:t>“VD Otvice - napouštěcí potrubí”</w:t>
      </w:r>
    </w:p>
    <w:p>
      <w:pPr>
        <w:pStyle w:val="Style2"/>
        <w:keepNext/>
        <w:keepLines/>
        <w:widowControl w:val="0"/>
        <w:shd w:val="clear" w:color="auto" w:fill="auto"/>
        <w:bidi w:val="0"/>
        <w:spacing w:before="0" w:after="20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2"/>
        <w:keepNext/>
        <w:keepLines/>
        <w:widowControl w:val="0"/>
        <w:shd w:val="clear" w:color="auto" w:fill="auto"/>
        <w:tabs>
          <w:tab w:pos="2772"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2"/>
        <w:keepNext/>
        <w:keepLines/>
        <w:widowControl w:val="0"/>
        <w:shd w:val="clear" w:color="auto" w:fill="auto"/>
        <w:tabs>
          <w:tab w:pos="2772"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2"/>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2"/>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oprávněn k podpisu smlouvy</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a k jednání o věcech smluvních:</w:t>
      </w:r>
      <w:bookmarkEnd w:id="30"/>
      <w:bookmarkEnd w:id="31"/>
      <w:bookmarkEnd w:id="32"/>
    </w:p>
    <w:p>
      <w:pPr>
        <w:pStyle w:val="Style2"/>
        <w:keepNext/>
        <w:keepLines/>
        <w:widowControl w:val="0"/>
        <w:shd w:val="clear" w:color="auto" w:fill="auto"/>
        <w:bidi w:val="0"/>
        <w:spacing w:before="0" w:after="20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oprávněn jednat o věcech technických:</w:t>
      </w:r>
      <w:bookmarkEnd w:id="33"/>
      <w:bookmarkEnd w:id="34"/>
      <w:bookmarkEnd w:id="35"/>
    </w:p>
    <w:p>
      <w:pPr>
        <w:pStyle w:val="Style2"/>
        <w:keepNext/>
        <w:keepLines/>
        <w:widowControl w:val="0"/>
        <w:shd w:val="clear" w:color="auto" w:fill="auto"/>
        <w:bidi w:val="0"/>
        <w:spacing w:before="0" w:after="20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technický dozor objednatele:</w:t>
      </w:r>
      <w:bookmarkEnd w:id="36"/>
      <w:bookmarkEnd w:id="37"/>
      <w:bookmarkEnd w:id="38"/>
    </w:p>
    <w:p>
      <w:pPr>
        <w:pStyle w:val="Style2"/>
        <w:keepNext/>
        <w:keepLines/>
        <w:widowControl w:val="0"/>
        <w:shd w:val="clear" w:color="auto" w:fill="auto"/>
        <w:tabs>
          <w:tab w:pos="2772" w:val="left"/>
        </w:tabs>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IČO:</w:t>
        <w:tab/>
        <w:t>70889988</w:t>
      </w:r>
      <w:bookmarkEnd w:id="39"/>
      <w:bookmarkEnd w:id="40"/>
      <w:bookmarkEnd w:id="41"/>
    </w:p>
    <w:p>
      <w:pPr>
        <w:pStyle w:val="Style2"/>
        <w:keepNext/>
        <w:keepLines/>
        <w:widowControl w:val="0"/>
        <w:shd w:val="clear" w:color="auto" w:fill="auto"/>
        <w:tabs>
          <w:tab w:pos="2772"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DIČ:</w:t>
        <w:tab/>
        <w:t>CZ70889988</w:t>
      </w:r>
      <w:bookmarkEnd w:id="42"/>
      <w:bookmarkEnd w:id="43"/>
      <w:bookmarkEnd w:id="44"/>
    </w:p>
    <w:p>
      <w:pPr>
        <w:pStyle w:val="Style2"/>
        <w:keepNext/>
        <w:keepLines/>
        <w:widowControl w:val="0"/>
        <w:shd w:val="clear" w:color="auto" w:fill="auto"/>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bankovní spojení:</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číslo účtu:</w:t>
      </w:r>
      <w:bookmarkEnd w:id="48"/>
      <w:bookmarkEnd w:id="49"/>
      <w:bookmarkEnd w:id="50"/>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(dále jen „objednatel“)</w:t>
      </w:r>
      <w:bookmarkEnd w:id="51"/>
      <w:bookmarkEnd w:id="52"/>
      <w:bookmarkEnd w:id="53"/>
    </w:p>
    <w:p>
      <w:pPr>
        <w:pStyle w:val="Style2"/>
        <w:keepNext/>
        <w:keepLines/>
        <w:widowControl w:val="0"/>
        <w:shd w:val="clear" w:color="auto" w:fill="auto"/>
        <w:bidi w:val="0"/>
        <w:spacing w:before="0" w:after="200" w:line="240" w:lineRule="auto"/>
        <w:ind w:left="0" w:right="0" w:firstLine="0"/>
        <w:jc w:val="left"/>
      </w:pPr>
      <w:bookmarkStart w:id="54" w:name="bookmark54"/>
      <w:bookmarkStart w:id="55" w:name="bookmark55"/>
      <w:bookmarkStart w:id="56" w:name="bookmark56"/>
      <w:r>
        <w:rPr>
          <w:b/>
          <w:bCs/>
          <w:color w:val="000000"/>
          <w:spacing w:val="0"/>
          <w:w w:val="100"/>
          <w:position w:val="0"/>
          <w:shd w:val="clear" w:color="auto" w:fill="auto"/>
          <w:lang w:val="cs-CZ" w:eastAsia="cs-CZ" w:bidi="cs-CZ"/>
        </w:rPr>
        <w:t>a</w:t>
      </w:r>
      <w:bookmarkEnd w:id="54"/>
      <w:bookmarkEnd w:id="55"/>
      <w:bookmarkEnd w:id="56"/>
    </w:p>
    <w:p>
      <w:pPr>
        <w:pStyle w:val="Style2"/>
        <w:keepNext/>
        <w:keepLines/>
        <w:widowControl w:val="0"/>
        <w:shd w:val="clear" w:color="auto" w:fill="auto"/>
        <w:tabs>
          <w:tab w:pos="2772" w:val="left"/>
        </w:tabs>
        <w:bidi w:val="0"/>
        <w:spacing w:before="0" w:after="0" w:line="240" w:lineRule="auto"/>
        <w:ind w:left="0" w:right="0" w:firstLine="0"/>
        <w:jc w:val="left"/>
      </w:pPr>
      <w:bookmarkStart w:id="57" w:name="bookmark57"/>
      <w:bookmarkStart w:id="58" w:name="bookmark58"/>
      <w:bookmarkStart w:id="59" w:name="bookmark59"/>
      <w:r>
        <w:rPr>
          <w:b/>
          <w:bCs/>
          <w:color w:val="000000"/>
          <w:spacing w:val="0"/>
          <w:w w:val="100"/>
          <w:position w:val="0"/>
          <w:shd w:val="clear" w:color="auto" w:fill="auto"/>
          <w:lang w:val="cs-CZ" w:eastAsia="cs-CZ" w:bidi="cs-CZ"/>
        </w:rPr>
        <w:t>zhotovitel:</w:t>
        <w:tab/>
        <w:t>ZEPRIS s.r.o.</w:t>
      </w:r>
      <w:bookmarkEnd w:id="57"/>
      <w:bookmarkEnd w:id="58"/>
      <w:bookmarkEnd w:id="59"/>
    </w:p>
    <w:p>
      <w:pPr>
        <w:pStyle w:val="Style2"/>
        <w:keepNext/>
        <w:keepLines/>
        <w:widowControl w:val="0"/>
        <w:shd w:val="clear" w:color="auto" w:fill="auto"/>
        <w:tabs>
          <w:tab w:pos="2772" w:val="left"/>
        </w:tabs>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sídlo:</w:t>
        <w:tab/>
        <w:t>Mezi Vodami 639/27, 143 20 Praha 4</w:t>
      </w:r>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oprávněn(i) k podpisu smlouvy:</w:t>
      </w:r>
      <w:bookmarkEnd w:id="63"/>
      <w:bookmarkEnd w:id="64"/>
      <w:bookmarkEnd w:id="65"/>
    </w:p>
    <w:p>
      <w:pPr>
        <w:pStyle w:val="Style2"/>
        <w:keepNext/>
        <w:keepLines/>
        <w:widowControl w:val="0"/>
        <w:shd w:val="clear" w:color="auto" w:fill="auto"/>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oprávněn(i) jednat o věcech smluvních:</w:t>
      </w:r>
      <w:bookmarkEnd w:id="66"/>
      <w:bookmarkEnd w:id="67"/>
      <w:bookmarkEnd w:id="68"/>
    </w:p>
    <w:p>
      <w:pPr>
        <w:pStyle w:val="Style2"/>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oprávněn(i) jednat o věcech technických:</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stavbyvedoucí:</w:t>
      </w:r>
      <w:bookmarkEnd w:id="72"/>
      <w:bookmarkEnd w:id="73"/>
      <w:bookmarkEnd w:id="74"/>
    </w:p>
    <w:p>
      <w:pPr>
        <w:pStyle w:val="Style2"/>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manažer stavby:</w:t>
      </w:r>
      <w:bookmarkEnd w:id="75"/>
      <w:bookmarkEnd w:id="76"/>
      <w:bookmarkEnd w:id="77"/>
    </w:p>
    <w:p>
      <w:pPr>
        <w:pStyle w:val="Style2"/>
        <w:keepNext/>
        <w:keepLines/>
        <w:widowControl w:val="0"/>
        <w:shd w:val="clear" w:color="auto" w:fill="auto"/>
        <w:tabs>
          <w:tab w:pos="2772" w:val="left"/>
        </w:tabs>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IČO:</w:t>
        <w:tab/>
        <w:t>25117947</w:t>
      </w:r>
      <w:bookmarkEnd w:id="78"/>
      <w:bookmarkEnd w:id="79"/>
      <w:bookmarkEnd w:id="80"/>
    </w:p>
    <w:p>
      <w:pPr>
        <w:pStyle w:val="Style2"/>
        <w:keepNext/>
        <w:keepLines/>
        <w:widowControl w:val="0"/>
        <w:shd w:val="clear" w:color="auto" w:fill="auto"/>
        <w:bidi w:val="0"/>
        <w:spacing w:before="0" w:after="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DIČ:</w:t>
      </w:r>
      <w:bookmarkEnd w:id="81"/>
      <w:bookmarkEnd w:id="82"/>
      <w:bookmarkEnd w:id="83"/>
    </w:p>
    <w:p>
      <w:pPr>
        <w:pStyle w:val="Style2"/>
        <w:keepNext/>
        <w:keepLines/>
        <w:widowControl w:val="0"/>
        <w:shd w:val="clear" w:color="auto" w:fill="auto"/>
        <w:bidi w:val="0"/>
        <w:spacing w:before="0" w:after="0" w:line="240" w:lineRule="auto"/>
        <w:ind w:left="0" w:right="0" w:firstLine="0"/>
        <w:jc w:val="left"/>
      </w:pPr>
      <w:bookmarkStart w:id="84" w:name="bookmark84"/>
      <w:bookmarkStart w:id="85" w:name="bookmark85"/>
      <w:bookmarkStart w:id="86" w:name="bookmark86"/>
      <w:r>
        <w:rPr>
          <w:color w:val="000000"/>
          <w:spacing w:val="0"/>
          <w:w w:val="100"/>
          <w:position w:val="0"/>
          <w:shd w:val="clear" w:color="auto" w:fill="auto"/>
          <w:lang w:val="cs-CZ" w:eastAsia="cs-CZ" w:bidi="cs-CZ"/>
        </w:rPr>
        <w:t>bankovní spojení:</w:t>
      </w:r>
      <w:bookmarkEnd w:id="84"/>
      <w:bookmarkEnd w:id="85"/>
      <w:bookmarkEnd w:id="86"/>
    </w:p>
    <w:p>
      <w:pPr>
        <w:pStyle w:val="Style2"/>
        <w:keepNext/>
        <w:keepLines/>
        <w:widowControl w:val="0"/>
        <w:shd w:val="clear" w:color="auto" w:fill="auto"/>
        <w:bidi w:val="0"/>
        <w:spacing w:before="0" w:after="0" w:line="240" w:lineRule="auto"/>
        <w:ind w:left="0" w:right="0" w:firstLine="0"/>
        <w:jc w:val="left"/>
      </w:pPr>
      <w:bookmarkStart w:id="87" w:name="bookmark87"/>
      <w:bookmarkStart w:id="88" w:name="bookmark88"/>
      <w:bookmarkStart w:id="89" w:name="bookmark89"/>
      <w:r>
        <w:rPr>
          <w:color w:val="000000"/>
          <w:spacing w:val="0"/>
          <w:w w:val="100"/>
          <w:position w:val="0"/>
          <w:shd w:val="clear" w:color="auto" w:fill="auto"/>
          <w:lang w:val="cs-CZ" w:eastAsia="cs-CZ" w:bidi="cs-CZ"/>
        </w:rPr>
        <w:t>číslo účtu:</w:t>
      </w:r>
      <w:bookmarkEnd w:id="87"/>
      <w:bookmarkEnd w:id="88"/>
      <w:bookmarkEnd w:id="89"/>
    </w:p>
    <w:p>
      <w:pPr>
        <w:pStyle w:val="Style2"/>
        <w:keepNext/>
        <w:keepLines/>
        <w:widowControl w:val="0"/>
        <w:shd w:val="clear" w:color="auto" w:fill="auto"/>
        <w:tabs>
          <w:tab w:pos="2772" w:val="left"/>
        </w:tabs>
        <w:bidi w:val="0"/>
        <w:spacing w:before="0" w:after="0" w:line="240" w:lineRule="auto"/>
        <w:ind w:left="0" w:right="0" w:firstLine="0"/>
        <w:jc w:val="left"/>
      </w:pPr>
      <w:bookmarkStart w:id="90" w:name="bookmark90"/>
      <w:bookmarkStart w:id="91" w:name="bookmark91"/>
      <w:bookmarkStart w:id="92" w:name="bookmark92"/>
      <w:r>
        <w:rPr>
          <w:color w:val="000000"/>
          <w:spacing w:val="0"/>
          <w:w w:val="100"/>
          <w:position w:val="0"/>
          <w:shd w:val="clear" w:color="auto" w:fill="auto"/>
          <w:lang w:val="cs-CZ" w:eastAsia="cs-CZ" w:bidi="cs-CZ"/>
        </w:rPr>
        <w:t>zápis v obchodním rejstříku: u Městského soudu v Praze v oddílu C, vložce č. 51188 tel.:</w:t>
        <w:tab/>
        <w:t>e-mail:</w:t>
      </w:r>
      <w:bookmarkEnd w:id="90"/>
      <w:bookmarkEnd w:id="91"/>
      <w:bookmarkEnd w:id="92"/>
    </w:p>
    <w:p>
      <w:pPr>
        <w:pStyle w:val="Style9"/>
        <w:keepNext w:val="0"/>
        <w:keepLines w:val="0"/>
        <w:widowControl w:val="0"/>
        <w:shd w:val="clear" w:color="auto" w:fill="auto"/>
        <w:bidi w:val="0"/>
        <w:spacing w:before="0" w:after="0" w:line="240" w:lineRule="auto"/>
        <w:ind w:left="0" w:right="0" w:firstLine="0"/>
        <w:jc w:val="left"/>
      </w:pPr>
      <w:bookmarkStart w:id="93" w:name="bookmark93"/>
      <w:bookmarkStart w:id="94" w:name="bookmark94"/>
      <w:r>
        <w:rPr>
          <w:color w:val="000000"/>
          <w:spacing w:val="0"/>
          <w:w w:val="100"/>
          <w:position w:val="0"/>
          <w:shd w:val="clear" w:color="auto" w:fill="auto"/>
          <w:lang w:val="cs-CZ" w:eastAsia="cs-CZ" w:bidi="cs-CZ"/>
        </w:rPr>
        <w:t xml:space="preserve">informace o zpracování osobních údajů v souvislosti s GDPR ve společnost ZEPRIS s.r.o.: </w:t>
      </w:r>
      <w:r>
        <w:fldChar w:fldCharType="begin"/>
      </w:r>
      <w:r>
        <w:rPr/>
        <w:instrText> HYPERLINK "http://www.zepris.cz/gdpr" </w:instrText>
      </w:r>
      <w:r>
        <w:fldChar w:fldCharType="separate"/>
      </w:r>
      <w:r>
        <w:rPr>
          <w:color w:val="000000"/>
          <w:spacing w:val="0"/>
          <w:w w:val="100"/>
          <w:position w:val="0"/>
          <w:shd w:val="clear" w:color="auto" w:fill="auto"/>
          <w:lang w:val="cs-CZ" w:eastAsia="cs-CZ" w:bidi="cs-CZ"/>
        </w:rPr>
        <w:t>www.zepris.cz/gdpr</w:t>
      </w:r>
      <w:bookmarkEnd w:id="93"/>
      <w:bookmarkEnd w:id="94"/>
      <w:r>
        <w:fldChar w:fldCharType="end"/>
      </w:r>
    </w:p>
    <w:p>
      <w:pPr>
        <w:pStyle w:val="Style2"/>
        <w:keepNext/>
        <w:keepLines/>
        <w:widowControl w:val="0"/>
        <w:shd w:val="clear" w:color="auto" w:fill="auto"/>
        <w:bidi w:val="0"/>
        <w:spacing w:before="0" w:after="200" w:line="240" w:lineRule="auto"/>
        <w:ind w:left="0" w:right="0" w:firstLine="0"/>
        <w:jc w:val="left"/>
      </w:pPr>
      <w:bookmarkStart w:id="95" w:name="bookmark95"/>
      <w:bookmarkStart w:id="96" w:name="bookmark96"/>
      <w:bookmarkStart w:id="97" w:name="bookmark97"/>
      <w:r>
        <w:rPr>
          <w:color w:val="000000"/>
          <w:spacing w:val="0"/>
          <w:w w:val="100"/>
          <w:position w:val="0"/>
          <w:shd w:val="clear" w:color="auto" w:fill="auto"/>
          <w:lang w:val="cs-CZ" w:eastAsia="cs-CZ" w:bidi="cs-CZ"/>
        </w:rPr>
        <w:t>(dále jen „zhotovitel“)</w:t>
      </w:r>
      <w:bookmarkEnd w:id="95"/>
      <w:bookmarkEnd w:id="96"/>
      <w:bookmarkEnd w:id="97"/>
    </w:p>
    <w:p>
      <w:pPr>
        <w:pStyle w:val="Style2"/>
        <w:keepNext/>
        <w:keepLines/>
        <w:widowControl w:val="0"/>
        <w:shd w:val="clear" w:color="auto" w:fill="auto"/>
        <w:bidi w:val="0"/>
        <w:spacing w:before="0" w:after="440" w:line="240" w:lineRule="auto"/>
        <w:ind w:left="0" w:right="0" w:firstLine="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bookmarkEnd w:id="100"/>
      <w:bookmarkEnd w:id="98"/>
      <w:bookmarkEnd w:id="99"/>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 změnu</w:t>
      </w:r>
    </w:p>
    <w:p>
      <w:pPr>
        <w:pStyle w:val="Style9"/>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101" w:name="bookmark101"/>
      <w:bookmarkEnd w:id="101"/>
      <w:r>
        <w:rPr>
          <w:b/>
          <w:bCs/>
          <w:color w:val="000000"/>
          <w:spacing w:val="0"/>
          <w:w w:val="100"/>
          <w:position w:val="0"/>
          <w:shd w:val="clear" w:color="auto" w:fill="auto"/>
          <w:lang w:val="cs-CZ" w:eastAsia="cs-CZ" w:bidi="cs-CZ"/>
        </w:rPr>
        <w:t>oprávněných zástupců objednatele</w:t>
      </w:r>
    </w:p>
    <w:p>
      <w:pPr>
        <w:pStyle w:val="Style9"/>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102" w:name="bookmark102"/>
      <w:bookmarkEnd w:id="102"/>
      <w:r>
        <w:rPr>
          <w:b/>
          <w:bCs/>
          <w:color w:val="000000"/>
          <w:spacing w:val="0"/>
          <w:w w:val="100"/>
          <w:position w:val="0"/>
          <w:shd w:val="clear" w:color="auto" w:fill="auto"/>
          <w:lang w:val="cs-CZ" w:eastAsia="cs-CZ" w:bidi="cs-CZ"/>
        </w:rPr>
        <w:t>předmětu díla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20.02.2025,</w:t>
      </w:r>
    </w:p>
    <w:p>
      <w:pPr>
        <w:pStyle w:val="Style9"/>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103" w:name="bookmark103"/>
      <w:bookmarkEnd w:id="103"/>
      <w:r>
        <w:rPr>
          <w:b/>
          <w:bCs/>
          <w:color w:val="000000"/>
          <w:spacing w:val="0"/>
          <w:w w:val="100"/>
          <w:position w:val="0"/>
          <w:shd w:val="clear" w:color="auto" w:fill="auto"/>
          <w:lang w:val="cs-CZ" w:eastAsia="cs-CZ" w:bidi="cs-CZ"/>
        </w:rPr>
        <w:t>termínu dokončení díla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Prodloužení termínu pro zpracování cenového dodatku č.3. Oceněný soupis prací byl odsouhlasen oběma strany ke dni 20.02.2025, prodloužení nutné pro zpracování zbylých dokladů potřebných k uzavření dodatku č.3.</w:t>
      </w:r>
    </w:p>
    <w:p>
      <w:pPr>
        <w:pStyle w:val="Style9"/>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104" w:name="bookmark104"/>
      <w:bookmarkEnd w:id="104"/>
      <w:r>
        <w:rPr>
          <w:b/>
          <w:bCs/>
          <w:color w:val="000000"/>
          <w:spacing w:val="0"/>
          <w:w w:val="100"/>
          <w:position w:val="0"/>
          <w:shd w:val="clear" w:color="auto" w:fill="auto"/>
          <w:lang w:val="cs-CZ" w:eastAsia="cs-CZ" w:bidi="cs-CZ"/>
        </w:rPr>
        <w:t>ceny díla</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Dále provedení odpočtu neprovedených prací a upřesnění výměr u položek v soupisu prací. Tyto změny jsou obsahem Přílohy č. 1. Oceněného soupisu prací změn závazku ze dne 20.02.2025, odsouhlaseného oběma smluvními stranami. Tato změna závazku ze smlouvy v souvislosti se zadáním dalších prací nemění celkovou povahu veřejné zakázky.</w:t>
      </w:r>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a) oprávnění zástupci objednatele </w:t>
      </w:r>
      <w:r>
        <w:rPr>
          <w:color w:val="000000"/>
          <w:spacing w:val="0"/>
          <w:w w:val="100"/>
          <w:position w:val="0"/>
          <w:shd w:val="clear" w:color="auto" w:fill="auto"/>
          <w:lang w:val="cs-CZ" w:eastAsia="cs-CZ" w:bidi="cs-CZ"/>
        </w:rPr>
        <w:t>původní znění:</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ml:space="preserve">oprávněn jednat o věcech technických: </w:t>
      </w:r>
      <w:r>
        <w:rPr>
          <w:color w:val="000000"/>
          <w:spacing w:val="0"/>
          <w:w w:val="100"/>
          <w:position w:val="0"/>
          <w:shd w:val="clear" w:color="auto" w:fill="auto"/>
          <w:lang w:val="cs-CZ" w:eastAsia="cs-CZ" w:bidi="cs-CZ"/>
        </w:rPr>
        <w:t>technický dozor objednatele:</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nové znění:</w:t>
      </w:r>
    </w:p>
    <w:p>
      <w:pPr>
        <w:pStyle w:val="Style2"/>
        <w:keepNext/>
        <w:keepLines/>
        <w:widowControl w:val="0"/>
        <w:shd w:val="clear" w:color="auto" w:fill="auto"/>
        <w:bidi w:val="0"/>
        <w:spacing w:before="0" w:after="200" w:line="240" w:lineRule="auto"/>
        <w:ind w:left="0" w:right="0" w:firstLine="0"/>
        <w:jc w:val="both"/>
      </w:pPr>
      <w:bookmarkStart w:id="105" w:name="bookmark105"/>
      <w:bookmarkStart w:id="106" w:name="bookmark106"/>
      <w:bookmarkStart w:id="107" w:name="bookmark107"/>
      <w:r>
        <w:rPr>
          <w:color w:val="000000"/>
          <w:spacing w:val="0"/>
          <w:w w:val="100"/>
          <w:position w:val="0"/>
          <w:shd w:val="clear" w:color="auto" w:fill="auto"/>
          <w:lang w:val="cs-CZ" w:eastAsia="cs-CZ" w:bidi="cs-CZ"/>
        </w:rPr>
        <w:t>oprávněn jednat o věcech technických:</w:t>
      </w:r>
      <w:bookmarkEnd w:id="105"/>
      <w:bookmarkEnd w:id="106"/>
      <w:bookmarkEnd w:id="107"/>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technický dozor objednatele:</w:t>
      </w:r>
    </w:p>
    <w:p>
      <w:pPr>
        <w:pStyle w:val="Style9"/>
        <w:keepNext w:val="0"/>
        <w:keepLines w:val="0"/>
        <w:widowControl w:val="0"/>
        <w:numPr>
          <w:ilvl w:val="0"/>
          <w:numId w:val="3"/>
        </w:numPr>
        <w:shd w:val="clear" w:color="auto" w:fill="auto"/>
        <w:tabs>
          <w:tab w:pos="406" w:val="left"/>
        </w:tabs>
        <w:bidi w:val="0"/>
        <w:spacing w:before="0" w:after="200" w:line="240" w:lineRule="auto"/>
        <w:ind w:left="0" w:right="0" w:firstLine="0"/>
        <w:jc w:val="both"/>
      </w:pPr>
      <w:bookmarkStart w:id="108" w:name="bookmark108"/>
      <w:bookmarkEnd w:id="108"/>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se mění v rozsahu přílohy tohoto dodatku – Oceněného soupisu prací změn závazku ze dne 20.02.2025, který se tímto stává nedílnou součástí smlouvy,</w:t>
      </w:r>
    </w:p>
    <w:p>
      <w:pPr>
        <w:pStyle w:val="Style9"/>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109" w:name="bookmark109"/>
      <w:bookmarkEnd w:id="109"/>
      <w:r>
        <w:rPr>
          <w:b/>
          <w:bCs/>
          <w:color w:val="000000"/>
          <w:spacing w:val="0"/>
          <w:w w:val="100"/>
          <w:position w:val="0"/>
          <w:shd w:val="clear" w:color="auto" w:fill="auto"/>
          <w:lang w:val="cs-CZ" w:eastAsia="cs-CZ" w:bidi="cs-CZ"/>
        </w:rPr>
        <w:t>Čl. II. Lhůty a podmínky realizace díla, bod 1., písm. d) předání a převzetí dokončeného díla:</w:t>
      </w:r>
    </w:p>
    <w:p>
      <w:pPr>
        <w:pStyle w:val="Style9"/>
        <w:keepNext w:val="0"/>
        <w:keepLines w:val="0"/>
        <w:widowControl w:val="0"/>
        <w:shd w:val="clear" w:color="auto" w:fill="auto"/>
        <w:tabs>
          <w:tab w:pos="2050" w:val="left"/>
        </w:tabs>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tab/>
        <w:t>Nejpozději do 05.02.2025.</w:t>
      </w:r>
    </w:p>
    <w:p>
      <w:pPr>
        <w:pStyle w:val="Style9"/>
        <w:keepNext w:val="0"/>
        <w:keepLines w:val="0"/>
        <w:widowControl w:val="0"/>
        <w:shd w:val="clear" w:color="auto" w:fill="auto"/>
        <w:tabs>
          <w:tab w:pos="2050" w:val="left"/>
        </w:tabs>
        <w:bidi w:val="0"/>
        <w:spacing w:before="0" w:after="200" w:line="240" w:lineRule="auto"/>
        <w:ind w:left="0" w:right="0" w:firstLine="0"/>
        <w:jc w:val="both"/>
      </w:pPr>
      <w:r>
        <w:rPr>
          <w:b/>
          <w:bCs/>
          <w:color w:val="000000"/>
          <w:spacing w:val="0"/>
          <w:w w:val="100"/>
          <w:position w:val="0"/>
          <w:shd w:val="clear" w:color="auto" w:fill="auto"/>
          <w:lang w:val="cs-CZ" w:eastAsia="cs-CZ" w:bidi="cs-CZ"/>
        </w:rPr>
        <w:t>nové znění:</w:t>
        <w:tab/>
        <w:t>Nejpozději do 10.03.2025.</w:t>
      </w:r>
    </w:p>
    <w:p>
      <w:pPr>
        <w:pStyle w:val="Style9"/>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110" w:name="bookmark110"/>
      <w:bookmarkEnd w:id="110"/>
      <w:r>
        <w:rPr>
          <w:b/>
          <w:bCs/>
          <w:color w:val="000000"/>
          <w:spacing w:val="0"/>
          <w:w w:val="100"/>
          <w:position w:val="0"/>
          <w:shd w:val="clear" w:color="auto" w:fill="auto"/>
          <w:lang w:val="cs-CZ" w:eastAsia="cs-CZ" w:bidi="cs-CZ"/>
        </w:rPr>
        <w:t>Čl. III. Cenové a platební podmínky, bod 1.:</w:t>
      </w:r>
    </w:p>
    <w:p>
      <w:pPr>
        <w:pStyle w:val="Style9"/>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r>
        <w:br w:type="page"/>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01 Opravovaný úsek č.1</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02 Opravovaný úsek č.2</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SO 03 Opravovaný úsek č.3 VON Vedlejší a ostatní náklady </w:t>
      </w:r>
      <w:r>
        <w:rPr>
          <w:color w:val="000000"/>
          <w:spacing w:val="0"/>
          <w:w w:val="100"/>
          <w:position w:val="0"/>
          <w:shd w:val="clear" w:color="auto" w:fill="auto"/>
          <w:lang w:val="cs-CZ" w:eastAsia="cs-CZ" w:bidi="cs-CZ"/>
        </w:rPr>
        <w:t>původní znění: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 za celý předmět díla: 19 863 188,90 Kč bez DPH</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(slovy: devatenáct milionů osm set šedesát tři tisíc jedno sto osmdesát osm korun českých devadesát haléřů).</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nové znění:</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Celková smluvní cena bez DPH za celý předmět díla: 20 390 486,90 Kč bez DPH</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(slovy: dvacet milionů tři sta devadesát tisíc čtyři sta osmdesát šest korun českých devadesát haléřů).</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keepLines/>
        <w:widowControl w:val="0"/>
        <w:shd w:val="clear" w:color="auto" w:fill="auto"/>
        <w:bidi w:val="0"/>
        <w:spacing w:before="0" w:after="120" w:line="240" w:lineRule="auto"/>
        <w:ind w:left="0" w:right="0" w:firstLine="0"/>
        <w:jc w:val="both"/>
      </w:pPr>
      <w:bookmarkStart w:id="111" w:name="bookmark111"/>
      <w:bookmarkStart w:id="112" w:name="bookmark112"/>
      <w:bookmarkStart w:id="113" w:name="bookmark113"/>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bookmarkEnd w:id="111"/>
      <w:bookmarkEnd w:id="112"/>
      <w:bookmarkEnd w:id="113"/>
    </w:p>
    <w:p>
      <w:pPr>
        <w:pStyle w:val="Style2"/>
        <w:keepNext/>
        <w:keepLines/>
        <w:widowControl w:val="0"/>
        <w:shd w:val="clear" w:color="auto" w:fill="auto"/>
        <w:bidi w:val="0"/>
        <w:spacing w:before="0" w:after="380" w:line="240" w:lineRule="auto"/>
        <w:ind w:left="0" w:right="0" w:firstLine="0"/>
        <w:jc w:val="both"/>
      </w:pPr>
      <w:bookmarkStart w:id="114" w:name="bookmark114"/>
      <w:bookmarkStart w:id="115" w:name="bookmark115"/>
      <w:bookmarkStart w:id="116" w:name="bookmark116"/>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114"/>
      <w:bookmarkEnd w:id="115"/>
      <w:bookmarkEnd w:id="116"/>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9"/>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1269" w:left="1394" w:right="1389" w:bottom="1323" w:header="841"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č.1 Oceněný soupis prací změn závazku ze dne 20.02.2025.</w:t>
      </w:r>
    </w:p>
    <w:p>
      <w:pPr>
        <w:widowControl w:val="0"/>
        <w:spacing w:line="127" w:lineRule="exact"/>
        <w:rPr>
          <w:sz w:val="10"/>
          <w:szCs w:val="10"/>
        </w:rPr>
      </w:pPr>
    </w:p>
    <w:p>
      <w:pPr>
        <w:widowControl w:val="0"/>
        <w:spacing w:line="1" w:lineRule="exact"/>
        <w:sectPr>
          <w:footnotePr>
            <w:pos w:val="pageBottom"/>
            <w:numFmt w:val="decimal"/>
            <w:numRestart w:val="continuous"/>
          </w:footnotePr>
          <w:type w:val="continuous"/>
          <w:pgSz w:w="11909" w:h="16838"/>
          <w:pgMar w:top="1185" w:left="0" w:right="0" w:bottom="2891" w:header="0" w:footer="3" w:gutter="0"/>
          <w:cols w:space="720"/>
          <w:noEndnote/>
          <w:rtlGutter w:val="0"/>
          <w:docGrid w:linePitch="360"/>
        </w:sectPr>
      </w:pPr>
    </w:p>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185" w:left="1394" w:right="2421" w:bottom="2891" w:header="0" w:footer="3" w:gutter="0"/>
          <w:cols w:num="2" w:space="1715"/>
          <w:noEndnote/>
          <w:rtlGutter w:val="0"/>
          <w:docGrid w:linePitch="360"/>
        </w:sectPr>
      </w:pPr>
      <w:r>
        <w:rPr>
          <w:color w:val="000000"/>
          <w:spacing w:val="0"/>
          <w:w w:val="100"/>
          <w:position w:val="0"/>
          <w:shd w:val="clear" w:color="auto" w:fill="auto"/>
          <w:lang w:val="cs-CZ" w:eastAsia="cs-CZ" w:bidi="cs-CZ"/>
        </w:rPr>
        <w:t>V Praze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8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4030980</wp:posOffset>
                </wp:positionH>
                <wp:positionV relativeFrom="paragraph">
                  <wp:posOffset>12700</wp:posOffset>
                </wp:positionV>
                <wp:extent cx="890270" cy="389890"/>
                <wp:wrapSquare wrapText="bothSides"/>
                <wp:docPr id="3" name="Shape 3"/>
                <a:graphic xmlns:a="http://schemas.openxmlformats.org/drawingml/2006/main">
                  <a:graphicData uri="http://schemas.microsoft.com/office/word/2010/wordprocessingShape">
                    <wps:wsp>
                      <wps:cNvSpPr txBox="1"/>
                      <wps:spPr>
                        <a:xfrm>
                          <a:ext cx="890270"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ZEPRIS s.r.o.</w:t>
                            </w:r>
                          </w:p>
                        </w:txbxContent>
                      </wps:txbx>
                      <wps:bodyPr lIns="0" tIns="0" rIns="0" bIns="0">
                        <a:noAutoFit/>
                      </wps:bodyPr>
                    </wps:wsp>
                  </a:graphicData>
                </a:graphic>
              </wp:anchor>
            </w:drawing>
          </mc:Choice>
          <mc:Fallback>
            <w:pict>
              <v:shape id="_x0000_s1029" type="#_x0000_t202" style="position:absolute;margin-left:317.40000000000003pt;margin-top:1.pt;width:70.100000000000009pt;height:30.699999999999999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ZEPRIS s.r.o.</w:t>
                      </w:r>
                    </w:p>
                  </w:txbxContent>
                </v:textbox>
                <w10:wrap type="square" anchorx="page"/>
              </v:shape>
            </w:pict>
          </mc:Fallback>
        </mc:AlternateContent>
      </w:r>
    </w:p>
    <w:p>
      <w:pPr>
        <w:pStyle w:val="Style2"/>
        <w:keepNext/>
        <w:keepLines/>
        <w:widowControl w:val="0"/>
        <w:shd w:val="clear" w:color="auto" w:fill="auto"/>
        <w:bidi w:val="0"/>
        <w:spacing w:before="0" w:after="0" w:line="240" w:lineRule="auto"/>
        <w:ind w:left="0" w:right="0" w:firstLine="0"/>
        <w:jc w:val="left"/>
      </w:pPr>
      <w:bookmarkStart w:id="117" w:name="bookmark117"/>
      <w:bookmarkStart w:id="118" w:name="bookmark118"/>
      <w:bookmarkStart w:id="119" w:name="bookmark119"/>
      <w:r>
        <w:rPr>
          <w:color w:val="000000"/>
          <w:spacing w:val="0"/>
          <w:w w:val="100"/>
          <w:position w:val="0"/>
          <w:shd w:val="clear" w:color="auto" w:fill="auto"/>
          <w:lang w:val="cs-CZ" w:eastAsia="cs-CZ" w:bidi="cs-CZ"/>
        </w:rPr>
        <w:t>investiční ředitel</w:t>
      </w:r>
      <w:bookmarkEnd w:id="117"/>
      <w:bookmarkEnd w:id="118"/>
      <w:bookmarkEnd w:id="119"/>
    </w:p>
    <w:p>
      <w:pPr>
        <w:pStyle w:val="Style9"/>
        <w:keepNext w:val="0"/>
        <w:keepLines w:val="0"/>
        <w:widowControl w:val="0"/>
        <w:shd w:val="clear" w:color="auto" w:fill="auto"/>
        <w:bidi w:val="0"/>
        <w:spacing w:before="0" w:after="0" w:line="240" w:lineRule="auto"/>
        <w:ind w:left="0" w:right="0" w:firstLine="0"/>
        <w:jc w:val="left"/>
      </w:pPr>
      <w:bookmarkStart w:id="120" w:name="bookmark120"/>
      <w:bookmarkStart w:id="121" w:name="bookmark121"/>
      <w:r>
        <w:rPr>
          <w:color w:val="000000"/>
          <w:spacing w:val="0"/>
          <w:w w:val="100"/>
          <w:position w:val="0"/>
          <w:shd w:val="clear" w:color="auto" w:fill="auto"/>
          <w:lang w:val="cs-CZ" w:eastAsia="cs-CZ" w:bidi="cs-CZ"/>
        </w:rPr>
        <w:t>Povodí Ohře, státní podnik</w:t>
      </w:r>
      <w:bookmarkEnd w:id="120"/>
      <w:bookmarkEnd w:id="121"/>
    </w:p>
    <w:sectPr>
      <w:footnotePr>
        <w:pos w:val="pageBottom"/>
        <w:numFmt w:val="decimal"/>
        <w:numRestart w:val="continuous"/>
      </w:footnotePr>
      <w:type w:val="continuous"/>
      <w:pgSz w:w="11909" w:h="16838"/>
      <w:pgMar w:top="1185" w:left="1394" w:right="5560" w:bottom="128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5765165</wp:posOffset>
              </wp:positionH>
              <wp:positionV relativeFrom="page">
                <wp:posOffset>9928860</wp:posOffset>
              </wp:positionV>
              <wp:extent cx="899160" cy="216535"/>
              <wp:wrapNone/>
              <wp:docPr id="1" name="Shape 1"/>
              <a:graphic xmlns:a="http://schemas.openxmlformats.org/drawingml/2006/main">
                <a:graphicData uri="http://schemas.microsoft.com/office/word/2010/wordprocessingShape">
                  <wps:wsp>
                    <wps:cNvSpPr txBox="1"/>
                    <wps:spPr>
                      <a:xfrm>
                        <a:ext cx="89916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3.94999999999999pt;margin-top:781.80000000000007pt;width:70.799999999999997pt;height:17.05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2"/>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200" w:line="230" w:lineRule="auto"/>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