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5211200288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jc w:val="left"/>
      </w:pPr>
      <w:r>
        <w:rPr/>
        <w:t>město</w:t>
      </w:r>
      <w:r>
        <w:rPr>
          <w:spacing w:val="-5"/>
        </w:rPr>
        <w:t> </w:t>
      </w:r>
      <w:r>
        <w:rPr/>
        <w:t>Mníšek</w:t>
      </w:r>
      <w:r>
        <w:rPr>
          <w:spacing w:val="-6"/>
        </w:rPr>
        <w:t> </w:t>
      </w:r>
      <w:r>
        <w:rPr/>
        <w:t>pod</w:t>
      </w:r>
      <w:r>
        <w:rPr>
          <w:spacing w:val="-7"/>
        </w:rPr>
        <w:t> </w:t>
      </w:r>
      <w:r>
        <w:rPr>
          <w:spacing w:val="-4"/>
        </w:rPr>
        <w:t>Brdy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Mníšek</w:t>
      </w:r>
      <w:r>
        <w:rPr>
          <w:spacing w:val="-6"/>
        </w:rPr>
        <w:t> </w:t>
      </w:r>
      <w:r>
        <w:rPr/>
        <w:t>pod</w:t>
      </w:r>
      <w:r>
        <w:rPr>
          <w:spacing w:val="-4"/>
        </w:rPr>
        <w:t> </w:t>
      </w:r>
      <w:r>
        <w:rPr/>
        <w:t>Brdy,</w:t>
      </w:r>
      <w:r>
        <w:rPr>
          <w:spacing w:val="-5"/>
        </w:rPr>
        <w:t> </w:t>
      </w:r>
      <w:r>
        <w:rPr/>
        <w:t>Mníšek</w:t>
      </w:r>
      <w:r>
        <w:rPr>
          <w:spacing w:val="-6"/>
        </w:rPr>
        <w:t> </w:t>
      </w:r>
      <w:r>
        <w:rPr/>
        <w:t>pod</w:t>
      </w:r>
      <w:r>
        <w:rPr>
          <w:spacing w:val="-4"/>
        </w:rPr>
        <w:t> </w:t>
      </w:r>
      <w:r>
        <w:rPr/>
        <w:t>Brdy,</w:t>
      </w:r>
      <w:r>
        <w:rPr>
          <w:spacing w:val="-5"/>
        </w:rPr>
        <w:t> </w:t>
      </w:r>
      <w:r>
        <w:rPr/>
        <w:t>Dobříšská</w:t>
      </w:r>
      <w:r>
        <w:rPr>
          <w:spacing w:val="-6"/>
        </w:rPr>
        <w:t> </w:t>
      </w:r>
      <w:r>
        <w:rPr/>
        <w:t>56,</w:t>
      </w:r>
      <w:r>
        <w:rPr>
          <w:spacing w:val="-5"/>
        </w:rPr>
        <w:t> </w:t>
      </w:r>
      <w:r>
        <w:rPr/>
        <w:t>252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00242748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g</w:t>
      </w:r>
      <w:r>
        <w:rPr>
          <w:spacing w:val="-2"/>
        </w:rPr>
        <w:t> </w:t>
      </w:r>
      <w:r>
        <w:rPr/>
        <w:t>r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2"/>
        </w:rPr>
        <w:t> </w:t>
      </w:r>
      <w:r>
        <w:rPr/>
        <w:t>Ph.D.,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1519111/0710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5211200288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69"/>
        <w:jc w:val="left"/>
      </w:pPr>
      <w:r>
        <w:rPr/>
        <w:t>„Zateplení</w:t>
      </w:r>
      <w:r>
        <w:rPr>
          <w:spacing w:val="-7"/>
        </w:rPr>
        <w:t> </w:t>
      </w:r>
      <w:r>
        <w:rPr/>
        <w:t>jídelny</w:t>
      </w:r>
      <w:r>
        <w:rPr>
          <w:spacing w:val="-7"/>
        </w:rPr>
        <w:t> </w:t>
      </w:r>
      <w:r>
        <w:rPr/>
        <w:t>ZŠ</w:t>
      </w:r>
      <w:r>
        <w:rPr>
          <w:spacing w:val="-6"/>
        </w:rPr>
        <w:t> </w:t>
      </w:r>
      <w:r>
        <w:rPr/>
        <w:t>Komenského</w:t>
      </w:r>
      <w:r>
        <w:rPr>
          <w:spacing w:val="-6"/>
        </w:rPr>
        <w:t> </w:t>
      </w:r>
      <w:r>
        <w:rPr/>
        <w:t>420,</w:t>
      </w:r>
      <w:r>
        <w:rPr>
          <w:spacing w:val="-6"/>
        </w:rPr>
        <w:t> </w:t>
      </w:r>
      <w:r>
        <w:rPr/>
        <w:t>Mníšek</w:t>
      </w:r>
      <w:r>
        <w:rPr>
          <w:spacing w:val="-7"/>
        </w:rPr>
        <w:t> </w:t>
      </w:r>
      <w:r>
        <w:rPr/>
        <w:t>pod</w:t>
      </w:r>
      <w:r>
        <w:rPr>
          <w:spacing w:val="-6"/>
        </w:rPr>
        <w:t> </w:t>
      </w:r>
      <w:r>
        <w:rPr>
          <w:spacing w:val="-2"/>
        </w:rPr>
        <w:t>Brdy“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707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262,80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741"/>
        <w:jc w:val="both"/>
      </w:pPr>
      <w:r>
        <w:rPr/>
        <w:t>jeden</w:t>
      </w:r>
      <w:r>
        <w:rPr>
          <w:spacing w:val="-8"/>
        </w:rPr>
        <w:t> </w:t>
      </w:r>
      <w:r>
        <w:rPr/>
        <w:t>milion</w:t>
      </w:r>
      <w:r>
        <w:rPr>
          <w:spacing w:val="-5"/>
        </w:rPr>
        <w:t> </w:t>
      </w:r>
      <w:r>
        <w:rPr/>
        <w:t>sedm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sedm</w:t>
      </w:r>
      <w:r>
        <w:rPr>
          <w:spacing w:val="-4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6"/>
        </w:rPr>
        <w:t> </w:t>
      </w:r>
      <w:r>
        <w:rPr/>
        <w:t>šedesát</w:t>
      </w:r>
      <w:r>
        <w:rPr>
          <w:spacing w:val="-2"/>
        </w:rPr>
        <w:t> </w:t>
      </w:r>
      <w:r>
        <w:rPr/>
        <w:t>dva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osmdesát</w:t>
      </w:r>
      <w:r>
        <w:rPr>
          <w:spacing w:val="-4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4 268 157,00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7"/>
          <w:sz w:val="20"/>
        </w:rPr>
        <w:t> </w:t>
      </w:r>
      <w:r>
        <w:rPr>
          <w:sz w:val="20"/>
        </w:rPr>
        <w:t>výše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8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707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262,80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</w:t>
      </w:r>
      <w:r>
        <w:rPr>
          <w:spacing w:val="-1"/>
          <w:sz w:val="20"/>
        </w:rPr>
        <w:t> </w:t>
      </w:r>
      <w:r>
        <w:rPr>
          <w:sz w:val="20"/>
        </w:rPr>
        <w:t>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398" w:top="12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0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zateplení</w:t>
      </w:r>
      <w:r>
        <w:rPr>
          <w:spacing w:val="-7"/>
          <w:sz w:val="20"/>
        </w:rPr>
        <w:t> </w:t>
      </w:r>
      <w:r>
        <w:rPr>
          <w:sz w:val="20"/>
        </w:rPr>
        <w:t>obvodového</w:t>
      </w:r>
      <w:r>
        <w:rPr>
          <w:spacing w:val="-4"/>
          <w:sz w:val="20"/>
        </w:rPr>
        <w:t> </w:t>
      </w:r>
      <w:r>
        <w:rPr>
          <w:sz w:val="20"/>
        </w:rPr>
        <w:t>pláště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budovy,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682"/>
        <w:gridCol w:w="1838"/>
        <w:gridCol w:w="1761"/>
      </w:tblGrid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35.40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23.26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555.60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336.50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588.42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369.22</w:t>
            </w:r>
          </w:p>
        </w:tc>
      </w:tr>
    </w:tbl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6" w:hanging="286"/>
        <w:jc w:val="both"/>
        <w:rPr>
          <w:sz w:val="20"/>
        </w:rPr>
      </w:pPr>
      <w:r>
        <w:rPr>
          <w:sz w:val="20"/>
        </w:rPr>
        <w:t>zamezí tzv. dvojímu</w:t>
      </w:r>
      <w:r>
        <w:rPr>
          <w:spacing w:val="-1"/>
          <w:sz w:val="20"/>
        </w:rPr>
        <w:t> </w:t>
      </w:r>
      <w:r>
        <w:rPr>
          <w:sz w:val="20"/>
        </w:rPr>
        <w:t>financování, tj. bude zejména postupovat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k) 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1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 107</w:t>
      </w:r>
      <w:r>
        <w:rPr>
          <w:spacing w:val="-7"/>
          <w:sz w:val="20"/>
        </w:rPr>
        <w:t> </w:t>
      </w:r>
      <w:r>
        <w:rPr>
          <w:sz w:val="20"/>
        </w:rPr>
        <w:t>odst.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8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 orgány,</w:t>
      </w:r>
      <w:r>
        <w:rPr>
          <w:spacing w:val="-13"/>
          <w:sz w:val="20"/>
        </w:rPr>
        <w:t> </w:t>
      </w:r>
      <w:r>
        <w:rPr>
          <w:sz w:val="20"/>
        </w:rPr>
        <w:t>agentury,</w:t>
      </w:r>
      <w:r>
        <w:rPr>
          <w:spacing w:val="-13"/>
          <w:sz w:val="20"/>
        </w:rPr>
        <w:t> </w:t>
      </w:r>
      <w:r>
        <w:rPr>
          <w:sz w:val="20"/>
        </w:rPr>
        <w:t>společné</w:t>
      </w:r>
      <w:r>
        <w:rPr>
          <w:spacing w:val="-11"/>
          <w:sz w:val="20"/>
        </w:rPr>
        <w:t> </w:t>
      </w:r>
      <w:r>
        <w:rPr>
          <w:sz w:val="20"/>
        </w:rPr>
        <w:t>podniky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přímo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1"/>
          <w:sz w:val="20"/>
        </w:rPr>
        <w:t> </w:t>
      </w:r>
      <w:r>
        <w:rPr>
          <w:sz w:val="20"/>
        </w:rPr>
        <w:t>nepřímo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kontrolou 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režimu</w:t>
      </w:r>
      <w:r>
        <w:rPr>
          <w:spacing w:val="-5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 5 let,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 </w:t>
      </w:r>
      <w:r>
        <w:rPr>
          <w:sz w:val="20"/>
        </w:rPr>
        <w:t>poškození environmentálních cílů v souladu s článkem 17, nařízení Evropského parlamentu a Rady (EU)</w:t>
      </w:r>
      <w:r>
        <w:rPr>
          <w:spacing w:val="-11"/>
          <w:sz w:val="20"/>
        </w:rPr>
        <w:t> </w:t>
      </w:r>
      <w:r>
        <w:rPr>
          <w:sz w:val="20"/>
        </w:rPr>
        <w:t>2020/852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18.</w:t>
      </w:r>
      <w:r>
        <w:rPr>
          <w:spacing w:val="-10"/>
          <w:sz w:val="20"/>
        </w:rPr>
        <w:t> </w:t>
      </w:r>
      <w:r>
        <w:rPr>
          <w:sz w:val="20"/>
        </w:rPr>
        <w:t>června</w:t>
      </w:r>
      <w:r>
        <w:rPr>
          <w:spacing w:val="-11"/>
          <w:sz w:val="20"/>
        </w:rPr>
        <w:t> </w:t>
      </w:r>
      <w:r>
        <w:rPr>
          <w:sz w:val="20"/>
        </w:rPr>
        <w:t>2020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zřízení</w:t>
      </w:r>
      <w:r>
        <w:rPr>
          <w:spacing w:val="-10"/>
          <w:sz w:val="20"/>
        </w:rPr>
        <w:t> </w:t>
      </w:r>
      <w:r>
        <w:rPr>
          <w:sz w:val="20"/>
        </w:rPr>
        <w:t>rámce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usnadnění</w:t>
      </w:r>
      <w:r>
        <w:rPr>
          <w:spacing w:val="-10"/>
          <w:sz w:val="20"/>
        </w:rPr>
        <w:t> </w:t>
      </w:r>
      <w:r>
        <w:rPr>
          <w:sz w:val="20"/>
        </w:rPr>
        <w:t>udržitelných</w:t>
      </w:r>
      <w:r>
        <w:rPr>
          <w:spacing w:val="-10"/>
          <w:sz w:val="20"/>
        </w:rPr>
        <w:t> </w:t>
      </w:r>
      <w:r>
        <w:rPr>
          <w:sz w:val="20"/>
        </w:rPr>
        <w:t>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10/2025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01/2026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18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4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korupčního</w:t>
      </w:r>
      <w:r>
        <w:rPr>
          <w:spacing w:val="4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  <w:jc w:val="both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spacing w:line="266" w:lineRule="exact"/>
        <w:jc w:val="both"/>
      </w:pPr>
      <w:r>
        <w:rPr/>
        <w:t>%</w:t>
      </w:r>
      <w:r>
        <w:rPr>
          <w:spacing w:val="8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7"/>
        </w:rPr>
        <w:t> </w:t>
      </w:r>
      <w:r>
        <w:rPr/>
        <w:t>podpory</w:t>
      </w:r>
      <w:r>
        <w:rPr>
          <w:spacing w:val="8"/>
        </w:rPr>
        <w:t> </w:t>
      </w:r>
      <w:r>
        <w:rPr/>
        <w:t>v závislosti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míře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stanovených</w:t>
      </w:r>
      <w:r>
        <w:rPr>
          <w:spacing w:val="8"/>
        </w:rPr>
        <w:t> </w:t>
      </w:r>
      <w:r>
        <w:rPr/>
        <w:t>indikátorů</w:t>
      </w:r>
      <w:r>
        <w:rPr>
          <w:spacing w:val="11"/>
        </w:rPr>
        <w:t> </w:t>
      </w:r>
      <w:r>
        <w:rPr/>
        <w:t>účelu</w:t>
      </w:r>
      <w:r>
        <w:rPr>
          <w:spacing w:val="8"/>
        </w:rPr>
        <w:t> </w:t>
      </w:r>
      <w:r>
        <w:rPr/>
        <w:t>akce.</w:t>
      </w:r>
      <w:r>
        <w:rPr>
          <w:spacing w:val="13"/>
        </w:rPr>
        <w:t> </w:t>
      </w:r>
      <w:r>
        <w:rPr/>
        <w:t>Plnění</w:t>
      </w:r>
      <w:r>
        <w:rPr>
          <w:spacing w:val="9"/>
        </w:rPr>
        <w:t> </w:t>
      </w:r>
      <w:r>
        <w:rPr>
          <w:spacing w:val="-2"/>
        </w:rPr>
        <w:t>účelu</w:t>
      </w:r>
    </w:p>
    <w:p>
      <w:pPr>
        <w:pStyle w:val="BodyText"/>
        <w:spacing w:before="1"/>
        <w:jc w:val="both"/>
      </w:pPr>
      <w:r>
        <w:rPr/>
        <w:t>akce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rozmezí</w:t>
      </w:r>
      <w:r>
        <w:rPr>
          <w:spacing w:val="-7"/>
        </w:rPr>
        <w:t> </w:t>
      </w:r>
      <w:r>
        <w:rPr/>
        <w:t>90-100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7"/>
        </w:rPr>
        <w:t> </w:t>
      </w:r>
      <w:r>
        <w:rPr/>
        <w:t>nebude</w:t>
      </w:r>
      <w:r>
        <w:rPr>
          <w:spacing w:val="-8"/>
        </w:rPr>
        <w:t> </w:t>
      </w:r>
      <w:r>
        <w:rPr/>
        <w:t>postiženo</w:t>
      </w:r>
      <w:r>
        <w:rPr>
          <w:spacing w:val="-5"/>
        </w:rPr>
        <w:t> </w:t>
      </w:r>
      <w:r>
        <w:rPr>
          <w:spacing w:val="-2"/>
        </w:rPr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13"/>
          <w:sz w:val="20"/>
        </w:rPr>
        <w:t> </w:t>
      </w:r>
      <w:r>
        <w:rPr>
          <w:w w:val="95"/>
          <w:sz w:val="20"/>
        </w:rPr>
        <w:t>z</w:t>
      </w:r>
      <w:r>
        <w:rPr>
          <w:spacing w:val="20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line="265" w:lineRule="exact"/>
      </w:pPr>
      <w:r>
        <w:rPr>
          <w:spacing w:val="-5"/>
        </w:rPr>
        <w:t>VI.</w:t>
      </w:r>
    </w:p>
    <w:p>
      <w:pPr>
        <w:pStyle w:val="Heading2"/>
        <w:spacing w:line="265" w:lineRule="exact"/>
        <w:ind w:left="1306" w:right="103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4"/>
        </w:rPr>
        <w:t>VII.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0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before="100"/>
        <w:jc w:val="both"/>
      </w:pPr>
      <w:r>
        <w:rPr/>
        <w:t>tento</w:t>
      </w:r>
      <w:r>
        <w:rPr>
          <w:spacing w:val="-7"/>
        </w:rPr>
        <w:t> </w:t>
      </w:r>
      <w:r>
        <w:rPr/>
        <w:t>zákon</w:t>
      </w:r>
      <w:r>
        <w:rPr>
          <w:spacing w:val="-7"/>
        </w:rPr>
        <w:t> </w:t>
      </w:r>
      <w:r>
        <w:rPr>
          <w:spacing w:val="-2"/>
        </w:rPr>
        <w:t>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08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2515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2025-03-06T07:04:50Z</dcterms:created>
  <dcterms:modified xsi:type="dcterms:W3CDTF">2025-03-06T07:04:50Z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2025-03-06T00:00:00Z</vt:filetime>
  </property>
</Properties>
</file>