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34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4"/>
        <w:keepNext/>
        <w:keepLines/>
        <w:widowControl w:val="0"/>
        <w:shd w:val="clear" w:color="auto" w:fill="auto"/>
        <w:bidi w:val="0"/>
        <w:spacing w:before="0" w:after="14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4"/>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1517/2023</w:t>
      </w:r>
      <w:bookmarkEnd w:id="10"/>
      <w:bookmarkEnd w:id="11"/>
      <w:bookmarkEnd w:id="9"/>
    </w:p>
    <w:p>
      <w:pPr>
        <w:pStyle w:val="Style4"/>
        <w:keepNext/>
        <w:keepLines/>
        <w:widowControl w:val="0"/>
        <w:shd w:val="clear" w:color="auto" w:fill="auto"/>
        <w:bidi w:val="0"/>
        <w:spacing w:before="0" w:after="200" w:line="240" w:lineRule="auto"/>
        <w:ind w:left="248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w:t>
      </w:r>
      <w:bookmarkEnd w:id="12"/>
      <w:bookmarkEnd w:id="13"/>
      <w:bookmarkEnd w:id="14"/>
    </w:p>
    <w:p>
      <w:pPr>
        <w:pStyle w:val="Style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Otvice - napouštěcí potrubí – náhradní výsadba a následná pěstební péče”</w:t>
      </w:r>
    </w:p>
    <w:p>
      <w:pPr>
        <w:pStyle w:val="Style12"/>
        <w:keepNext w:val="0"/>
        <w:keepLines w:val="0"/>
        <w:widowControl w:val="0"/>
        <w:shd w:val="clear" w:color="auto" w:fill="auto"/>
        <w:bidi w:val="0"/>
        <w:spacing w:before="0" w:after="0" w:line="240" w:lineRule="auto"/>
        <w:ind w:left="0" w:right="0" w:firstLine="0"/>
        <w:jc w:val="left"/>
      </w:pPr>
      <w:bookmarkStart w:id="15" w:name="bookmark15"/>
      <w:r>
        <w:rPr>
          <w:b/>
          <w:bCs/>
          <w:color w:val="000000"/>
          <w:spacing w:val="0"/>
          <w:w w:val="100"/>
          <w:position w:val="0"/>
          <w:shd w:val="clear" w:color="auto" w:fill="auto"/>
          <w:lang w:val="cs-CZ" w:eastAsia="cs-CZ" w:bidi="cs-CZ"/>
        </w:rPr>
        <w:t>Smluvní strany:</w:t>
      </w:r>
      <w:bookmarkEnd w:id="15"/>
    </w:p>
    <w:tbl>
      <w:tblPr>
        <w:tblOverlap w:val="never"/>
        <w:jc w:val="left"/>
        <w:tblLayout w:type="fixed"/>
      </w:tblPr>
      <w:tblGrid>
        <w:gridCol w:w="2837"/>
        <w:gridCol w:w="3509"/>
      </w:tblGrid>
      <w:tr>
        <w:trPr>
          <w:trHeight w:val="869"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20" w:name="bookmark20"/>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20"/>
          </w:p>
        </w:tc>
      </w:tr>
    </w:tbl>
    <w:p>
      <w:pPr>
        <w:pStyle w:val="Style12"/>
        <w:keepNext w:val="0"/>
        <w:keepLines w:val="0"/>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bookmarkEnd w:id="18"/>
      <w:bookmarkEnd w:id="19"/>
    </w:p>
    <w:p>
      <w:pPr>
        <w:widowControl w:val="0"/>
        <w:spacing w:after="679" w:line="1" w:lineRule="exact"/>
      </w:pPr>
    </w:p>
    <w:p>
      <w:pPr>
        <w:pStyle w:val="Style2"/>
        <w:keepNext w:val="0"/>
        <w:keepLines w:val="0"/>
        <w:widowControl w:val="0"/>
        <w:shd w:val="clear" w:color="auto" w:fill="auto"/>
        <w:bidi w:val="0"/>
        <w:spacing w:before="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technický dozor objednatele:</w:t>
      </w:r>
      <w:bookmarkEnd w:id="21"/>
      <w:bookmarkEnd w:id="22"/>
    </w:p>
    <w:p>
      <w:pPr>
        <w:pStyle w:val="Style4"/>
        <w:keepNext/>
        <w:keepLines/>
        <w:widowControl w:val="0"/>
        <w:shd w:val="clear" w:color="auto" w:fill="auto"/>
        <w:tabs>
          <w:tab w:pos="2803" w:val="left"/>
        </w:tabs>
        <w:bidi w:val="0"/>
        <w:spacing w:before="0" w:after="0" w:line="240" w:lineRule="auto"/>
        <w:ind w:left="0" w:right="0" w:firstLine="0"/>
        <w:jc w:val="left"/>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IČO:</w:t>
        <w:tab/>
        <w:t>70889988</w:t>
      </w:r>
      <w:bookmarkEnd w:id="23"/>
      <w:bookmarkEnd w:id="24"/>
      <w:bookmarkEnd w:id="25"/>
      <w:bookmarkEnd w:id="26"/>
    </w:p>
    <w:p>
      <w:pPr>
        <w:pStyle w:val="Style4"/>
        <w:keepNext/>
        <w:keepLines/>
        <w:widowControl w:val="0"/>
        <w:shd w:val="clear" w:color="auto" w:fill="auto"/>
        <w:tabs>
          <w:tab w:pos="2803"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4"/>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20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4"/>
        <w:keepNext/>
        <w:keepLines/>
        <w:widowControl w:val="0"/>
        <w:shd w:val="clear" w:color="auto" w:fill="auto"/>
        <w:bidi w:val="0"/>
        <w:spacing w:before="0" w:after="20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4"/>
        <w:keepNext/>
        <w:keepLines/>
        <w:widowControl w:val="0"/>
        <w:shd w:val="clear" w:color="auto" w:fill="auto"/>
        <w:tabs>
          <w:tab w:pos="2803"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Veronika Kubačová</w:t>
      </w:r>
      <w:bookmarkEnd w:id="42"/>
      <w:bookmarkEnd w:id="43"/>
      <w:bookmarkEnd w:id="44"/>
    </w:p>
    <w:p>
      <w:pPr>
        <w:pStyle w:val="Style4"/>
        <w:keepNext/>
        <w:keepLines/>
        <w:widowControl w:val="0"/>
        <w:shd w:val="clear" w:color="auto" w:fill="auto"/>
        <w:tabs>
          <w:tab w:pos="2803"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adresa sídla:</w:t>
        <w:tab/>
        <w:t>Litvínov, Janov</w:t>
      </w:r>
      <w:bookmarkEnd w:id="45"/>
      <w:bookmarkEnd w:id="46"/>
      <w:bookmarkEnd w:id="47"/>
    </w:p>
    <w:p>
      <w:pPr>
        <w:pStyle w:val="Style4"/>
        <w:keepNext/>
        <w:keepLines/>
        <w:widowControl w:val="0"/>
        <w:shd w:val="clear" w:color="auto" w:fill="auto"/>
        <w:tabs>
          <w:tab w:pos="2803" w:val="left"/>
        </w:tabs>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IČO:</w:t>
        <w:tab/>
        <w:t>08024278</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DIČ:</w:t>
      </w:r>
      <w:bookmarkEnd w:id="51"/>
      <w:bookmarkEnd w:id="52"/>
      <w:bookmarkEnd w:id="53"/>
    </w:p>
    <w:p>
      <w:pPr>
        <w:pStyle w:val="Style4"/>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neplátce DPH</w:t>
      </w:r>
      <w:bookmarkEnd w:id="54"/>
      <w:bookmarkEnd w:id="55"/>
      <w:bookmarkEnd w:id="56"/>
    </w:p>
    <w:p>
      <w:pPr>
        <w:pStyle w:val="Style4"/>
        <w:keepNext/>
        <w:keepLines/>
        <w:widowControl w:val="0"/>
        <w:shd w:val="clear" w:color="auto" w:fill="auto"/>
        <w:tabs>
          <w:tab w:pos="2803" w:val="left"/>
        </w:tabs>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kontakt:</w:t>
        <w:tab/>
        <w:t>tel.: , e-mail:</w:t>
      </w:r>
      <w:bookmarkEnd w:id="57"/>
      <w:bookmarkEnd w:id="58"/>
      <w:bookmarkEnd w:id="59"/>
    </w:p>
    <w:p>
      <w:pPr>
        <w:pStyle w:val="Style4"/>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bankovní spojení:</w:t>
      </w:r>
      <w:bookmarkEnd w:id="60"/>
      <w:bookmarkEnd w:id="61"/>
      <w:bookmarkEnd w:id="62"/>
    </w:p>
    <w:p>
      <w:pPr>
        <w:pStyle w:val="Style4"/>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číslo účtu:</w:t>
      </w:r>
      <w:bookmarkEnd w:id="63"/>
      <w:bookmarkEnd w:id="64"/>
      <w:bookmarkEnd w:id="65"/>
    </w:p>
    <w:p>
      <w:pPr>
        <w:pStyle w:val="Style4"/>
        <w:keepNext/>
        <w:keepLines/>
        <w:widowControl w:val="0"/>
        <w:shd w:val="clear" w:color="auto" w:fill="auto"/>
        <w:bidi w:val="0"/>
        <w:spacing w:before="0" w:after="20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Zhotovitel je držitelem ŽL vydaného MÚ Litvínov pod e.č. MELT/24788/2019/Emz</w:t>
      </w:r>
      <w:bookmarkEnd w:id="66"/>
      <w:bookmarkEnd w:id="67"/>
      <w:bookmarkEnd w:id="68"/>
    </w:p>
    <w:p>
      <w:pPr>
        <w:pStyle w:val="Style4"/>
        <w:keepNext/>
        <w:keepLines/>
        <w:widowControl w:val="0"/>
        <w:shd w:val="clear" w:color="auto" w:fill="auto"/>
        <w:bidi w:val="0"/>
        <w:spacing w:before="0" w:after="20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(dále jen „zhotovitel“)</w:t>
      </w:r>
      <w:bookmarkEnd w:id="69"/>
      <w:bookmarkEnd w:id="70"/>
      <w:bookmarkEnd w:id="71"/>
      <w:r>
        <w:br w:type="page"/>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 oprávněných zástupců objednatele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oprávněn k podpisu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 k jednání o věcech smluvních:</w:t>
      </w:r>
    </w:p>
    <w:p>
      <w:pPr>
        <w:pStyle w:val="Style4"/>
        <w:keepNext/>
        <w:keepLines/>
        <w:widowControl w:val="0"/>
        <w:shd w:val="clear" w:color="auto" w:fill="auto"/>
        <w:bidi w:val="0"/>
        <w:spacing w:before="0" w:after="180" w:line="240" w:lineRule="auto"/>
        <w:ind w:left="0" w:right="0" w:firstLine="0"/>
        <w:jc w:val="both"/>
      </w:pPr>
      <w:bookmarkStart w:id="72" w:name="bookmark72"/>
      <w:bookmarkStart w:id="73" w:name="bookmark73"/>
      <w:bookmarkStart w:id="74" w:name="bookmark74"/>
      <w:bookmarkStart w:id="75" w:name="bookmark75"/>
      <w:r>
        <w:rPr>
          <w:color w:val="000000"/>
          <w:spacing w:val="0"/>
          <w:w w:val="100"/>
          <w:position w:val="0"/>
          <w:shd w:val="clear" w:color="auto" w:fill="auto"/>
          <w:lang w:val="cs-CZ" w:eastAsia="cs-CZ" w:bidi="cs-CZ"/>
        </w:rPr>
        <w:t>oprávněn jednat o věcech technických:</w:t>
      </w:r>
      <w:bookmarkEnd w:id="72"/>
      <w:bookmarkEnd w:id="73"/>
      <w:bookmarkEnd w:id="74"/>
      <w:bookmarkEnd w:id="75"/>
    </w:p>
    <w:p>
      <w:pPr>
        <w:pStyle w:val="Style4"/>
        <w:keepNext/>
        <w:keepLines/>
        <w:widowControl w:val="0"/>
        <w:shd w:val="clear" w:color="auto" w:fill="auto"/>
        <w:bidi w:val="0"/>
        <w:spacing w:before="0" w:after="0" w:line="240" w:lineRule="auto"/>
        <w:ind w:left="0" w:right="0" w:firstLine="0"/>
        <w:jc w:val="both"/>
      </w:pPr>
      <w:bookmarkStart w:id="76" w:name="bookmark76"/>
      <w:bookmarkStart w:id="77" w:name="bookmark77"/>
      <w:bookmarkStart w:id="78" w:name="bookmark78"/>
      <w:r>
        <w:rPr>
          <w:color w:val="000000"/>
          <w:spacing w:val="0"/>
          <w:w w:val="100"/>
          <w:position w:val="0"/>
          <w:shd w:val="clear" w:color="auto" w:fill="auto"/>
          <w:lang w:val="cs-CZ" w:eastAsia="cs-CZ" w:bidi="cs-CZ"/>
        </w:rPr>
        <w:t>technický dozor objednatele:</w:t>
      </w:r>
      <w:bookmarkEnd w:id="76"/>
      <w:bookmarkEnd w:id="77"/>
      <w:bookmarkEnd w:id="78"/>
      <w:r>
        <w:rPr>
          <w:color w:val="000000"/>
          <w:spacing w:val="0"/>
          <w:w w:val="100"/>
          <w:position w:val="0"/>
          <w:shd w:val="clear" w:color="auto" w:fill="auto"/>
          <w:lang w:val="cs-CZ" w:eastAsia="cs-CZ" w:bidi="cs-CZ"/>
        </w:rPr>
        <w:t xml:space="preserve"> </w:t>
      </w:r>
      <w:r>
        <w:rPr>
          <w:rStyle w:val="CharStyle3"/>
        </w:rPr>
        <w:t>nové znění:</w:t>
      </w:r>
    </w:p>
    <w:p>
      <w:pPr>
        <w:pStyle w:val="Style2"/>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oprávněn k podpisu smlouvy a k jednání o věcech smluvních: oprávněn jednat o věcech technických:</w:t>
      </w:r>
    </w:p>
    <w:p>
      <w:pPr>
        <w:pStyle w:val="Style4"/>
        <w:keepNext/>
        <w:keepLines/>
        <w:widowControl w:val="0"/>
        <w:shd w:val="clear" w:color="auto" w:fill="auto"/>
        <w:bidi w:val="0"/>
        <w:spacing w:before="0" w:after="680" w:line="240" w:lineRule="auto"/>
        <w:ind w:left="0" w:right="0" w:firstLine="0"/>
        <w:jc w:val="both"/>
      </w:pPr>
      <w:bookmarkStart w:id="79" w:name="bookmark79"/>
      <w:bookmarkStart w:id="80" w:name="bookmark80"/>
      <w:bookmarkStart w:id="81" w:name="bookmark81"/>
      <w:r>
        <w:rPr>
          <w:color w:val="000000"/>
          <w:spacing w:val="0"/>
          <w:w w:val="100"/>
          <w:position w:val="0"/>
          <w:shd w:val="clear" w:color="auto" w:fill="auto"/>
          <w:lang w:val="cs-CZ" w:eastAsia="cs-CZ" w:bidi="cs-CZ"/>
        </w:rPr>
        <w:t>technický dozor objednatele:</w:t>
      </w:r>
      <w:bookmarkEnd w:id="79"/>
      <w:bookmarkEnd w:id="80"/>
      <w:bookmarkEnd w:id="81"/>
    </w:p>
    <w:p>
      <w:pPr>
        <w:pStyle w:val="Style2"/>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0" w:line="480" w:lineRule="auto"/>
        <w:ind w:left="0" w:right="0" w:firstLine="0"/>
        <w:jc w:val="both"/>
      </w:pPr>
      <w:r>
        <mc:AlternateContent>
          <mc:Choice Requires="wps">
            <w:drawing>
              <wp:anchor distT="0" distB="1630680" distL="114300" distR="480060" simplePos="0" relativeHeight="125829378" behindDoc="0" locked="0" layoutInCell="1" allowOverlap="1">
                <wp:simplePos x="0" y="0"/>
                <wp:positionH relativeFrom="page">
                  <wp:posOffset>4086225</wp:posOffset>
                </wp:positionH>
                <wp:positionV relativeFrom="paragraph">
                  <wp:posOffset>12700</wp:posOffset>
                </wp:positionV>
                <wp:extent cx="880745" cy="685800"/>
                <wp:wrapSquare wrapText="left"/>
                <wp:docPr id="1" name="Shape 1"/>
                <a:graphic xmlns:a="http://schemas.openxmlformats.org/drawingml/2006/main">
                  <a:graphicData uri="http://schemas.microsoft.com/office/word/2010/wordprocessingShape">
                    <wps:wsp>
                      <wps:cNvSpPr txBox="1"/>
                      <wps:spPr>
                        <a:xfrm>
                          <a:ext cx="880745" cy="685800"/>
                        </a:xfrm>
                        <a:prstGeom prst="rect"/>
                        <a:noFill/>
                      </wps:spPr>
                      <wps:txbx>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zhotovitel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1.75pt;margin-top:1.pt;width:69.350000000000009pt;height:54.pt;z-index:-125829375;mso-wrap-distance-left:9.pt;mso-wrap-distance-right:37.800000000000004pt;mso-wrap-distance-bottom:128.40000000000001pt;mso-position-horizontal-relative:page" filled="f" stroked="f">
                <v:textbox inset="0,0,0,0">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zhotovitel</w:t>
                      </w:r>
                    </w:p>
                  </w:txbxContent>
                </v:textbox>
                <w10:wrap type="square" side="left" anchorx="page"/>
              </v:shape>
            </w:pict>
          </mc:Fallback>
        </mc:AlternateContent>
      </w:r>
      <w:r>
        <mc:AlternateContent>
          <mc:Choice Requires="wps">
            <w:drawing>
              <wp:anchor distT="2091055" distB="0" distL="114300" distR="114300" simplePos="0" relativeHeight="125829380" behindDoc="0" locked="0" layoutInCell="1" allowOverlap="1">
                <wp:simplePos x="0" y="0"/>
                <wp:positionH relativeFrom="page">
                  <wp:posOffset>4086225</wp:posOffset>
                </wp:positionH>
                <wp:positionV relativeFrom="paragraph">
                  <wp:posOffset>2103755</wp:posOffset>
                </wp:positionV>
                <wp:extent cx="1246505" cy="225425"/>
                <wp:wrapSquare wrapText="left"/>
                <wp:docPr id="3" name="Shape 3"/>
                <a:graphic xmlns:a="http://schemas.openxmlformats.org/drawingml/2006/main">
                  <a:graphicData uri="http://schemas.microsoft.com/office/word/2010/wordprocessingShape">
                    <wps:wsp>
                      <wps:cNvSpPr txBox="1"/>
                      <wps:spPr>
                        <a:xfrm>
                          <a:ext cx="124650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Veronika Kubačová</w:t>
                            </w:r>
                          </w:p>
                        </w:txbxContent>
                      </wps:txbx>
                      <wps:bodyPr wrap="none" lIns="0" tIns="0" rIns="0" bIns="0">
                        <a:noAutoFit/>
                      </wps:bodyPr>
                    </wps:wsp>
                  </a:graphicData>
                </a:graphic>
              </wp:anchor>
            </w:drawing>
          </mc:Choice>
          <mc:Fallback>
            <w:pict>
              <v:shape id="_x0000_s1029" type="#_x0000_t202" style="position:absolute;margin-left:321.75pt;margin-top:165.65000000000001pt;width:98.150000000000006pt;height:17.75pt;z-index:-125829373;mso-wrap-distance-left:9.pt;mso-wrap-distance-top:164.65000000000001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Veronika Kubačová</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V Chomutově oprávněný zástupce objednatele </w: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Povodí Ohře, státní podnik</w:t>
      </w:r>
    </w:p>
    <w:sectPr>
      <w:footerReference w:type="default" r:id="rId5"/>
      <w:footnotePr>
        <w:pos w:val="pageBottom"/>
        <w:numFmt w:val="decimal"/>
        <w:numRestart w:val="continuous"/>
      </w:footnotePr>
      <w:pgSz w:w="11909" w:h="16838"/>
      <w:pgMar w:top="1325" w:left="1393" w:right="1391" w:bottom="2421" w:header="89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5840730</wp:posOffset>
              </wp:positionH>
              <wp:positionV relativeFrom="page">
                <wp:posOffset>10070465</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59.90000000000003pt;margin-top:792.9500000000000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