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00" w:after="16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o převodu práva hospodařit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211/2025 (Povodí Ohře, státní podnik)</w:t>
        <w:br/>
        <w:t>č. MP/BP/25/018 (Ředitelství silnic a dálnic s. p.)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36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 obchodním rejstříku u Krajského soudu v Ústí nad Labem, oddíl A, vložka 13052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předávající,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Ředitelství silnic a dálnic s. p.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Čerčanská 2023/12, Krč, 140 00 Praha 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65993390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Ředitelství silnic a dálnic s. p., Správa Karlovy Vary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Závodní 369/82, 360 06 Karlovy Vary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  <w:tab/>
        <w:t>Česká národní banka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datová schránka:</w:t>
        <w:tab/>
        <w:t>zjq4rhz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přejímající,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uzavírají níže uvedeného dne, měsíce a roku, tuto smlouvu o bezúplatném převodu práva hospodařit (dále jen jako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00" w:right="0" w:hanging="30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Předávající má na základě ustanovení zák. č. 305/2000 Sb. o povodích a ustanovení zák. č. 77/1997 Sb. o státním podniku právo hospodařit s majetkem České republiky, a to s níže uvedenými pozemky: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3" w:val="left"/>
          <w:tab w:pos="3103" w:val="left"/>
          <w:tab w:pos="6746" w:val="left"/>
        </w:tabs>
        <w:bidi w:val="0"/>
        <w:spacing w:before="0" w:after="160" w:line="24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p. p. č.</w:t>
        <w:tab/>
        <w:t>výměra</w:t>
        <w:tab/>
        <w:t>druh pozemku</w:t>
        <w:tab/>
        <w:t>k. ú.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3" w:val="left"/>
          <w:tab w:pos="3103" w:val="left"/>
          <w:tab w:pos="6746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1029/7</w:t>
        <w:tab/>
        <w:t>1261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ostatní plocha, neplodná půda</w:t>
        <w:tab/>
        <w:t>Černčice u Petrohradu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03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1058/2 10112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lesní pozemek, les jiný než hospodářský Černčice u Petrohradu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83" w:val="left"/>
          <w:tab w:pos="3103" w:val="left"/>
        </w:tabs>
        <w:bidi w:val="0"/>
        <w:spacing w:before="0" w:after="1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1060/2</w:t>
        <w:tab/>
        <w:t>222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lesní pozemek, les jiný než hospodářský Černčice u Petrohradu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katastrálním území Černčice u Petrohradu, obec Petrohrad zapsané v katastru nemovitostí u Katastrálního úřadu pro Ústecký kraj, Katastrálního pracoviště Žatec na listu vlastnictví č. 281.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00" w:right="0" w:hanging="30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geometrického plánu č. 197-19/2022 vyhotoveného společností Valbek, spol. s r.o. a schváleného Katastrálním úřadem pro Ústecký kraj, Katastrální pracoviště Žatec, dne 12. 04. 2022 pod č. PGP 224/2022-533 byl z pozemku p. č. 1058/2 v k.ú. Černčice u Petrohradu oddělen pozemek č. 1058/6 o výměře 106 m2.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00" w:right="0" w:hanging="300"/>
        <w:jc w:val="left"/>
      </w:pPr>
      <w:bookmarkStart w:id="10" w:name="bookmark10"/>
      <w:bookmarkStart w:id="11" w:name="bookmark11"/>
      <w:bookmarkStart w:id="8" w:name="bookmark8"/>
      <w:bookmarkStart w:id="9" w:name="bookmark9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Pozemky p.č. 1029/7, 1060/2 a budoucí p.č. 1058/6 v k.ú. Černčice u Petrohradu jsou předmětem této smlouvy (dále jen jako „předmět smlouvy“).</w:t>
      </w:r>
      <w:bookmarkEnd w:id="11"/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00" w:right="0" w:hanging="30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Geometrický plán č. 197-19/2022 je nedílnou součástí této smlouvy. Nově vzniklý stav není dosud zapsán v katastru nemovitostí.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3"/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80" w:right="0" w:hanging="3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o bezúplatném převodu práva hospodařit je uzavřena za účelem majetkoprávního vypořádání pozemků potřebných pro uskutečnění veřejně prospěšné stavby „D6 Petrohrad - Lubenec“.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400" w:line="240" w:lineRule="auto"/>
        <w:ind w:left="380" w:right="0" w:hanging="38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Přejímající potřebuje předmět smlouvy uvedený v čl. I.3. pro zabezpečení výkonu své působnosti a předmětu činnosti v souvislosti s výše uvedenou stavbou dálnice.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  <w:bookmarkEnd w:id="18"/>
      <w:bookmarkEnd w:id="19"/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80" w:right="0" w:hanging="38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Předávající převádí ze svého práva hospodařit s majetkem státu do práva hospodařit s majetkem státu pro přejímajícího předmět smlouvy se všemi právy a povinnostmi, součástmi a příslušenstvím a přejímající předmět smlouvy se všemi právy a povinnostmi, součástmi a příslušenstvím od předávajícího přejímá do svého práva hospodařit s majetkem státu.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400" w:line="240" w:lineRule="auto"/>
        <w:ind w:left="380" w:right="0" w:hanging="3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hospodařit s předmětem smlouvy pro předávajícího zanikne a pro přejímajícího právo hospodařit s ním vznikne dnem podání návrhu na změnu v katastru nemovitostí.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</w:t>
      </w:r>
      <w:bookmarkEnd w:id="24"/>
      <w:bookmarkEnd w:id="25"/>
      <w:bookmarkEnd w:id="27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2" w:val="left"/>
        </w:tabs>
        <w:bidi w:val="0"/>
        <w:spacing w:before="0" w:after="220" w:line="233" w:lineRule="auto"/>
        <w:ind w:left="380" w:right="0" w:hanging="3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zákona § 3b odst. 6 zákona č. 416/2009 Sb., o urychlení výstavby strategicky významné infrastruktury, a na základě uzavřené rámcové smlouvy č. 390/2017 ze dne 16.03.2017, je právo hospodařit předávajícího k předmětu smlouvy převáděno do práva hospodařit přejímajícího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bezúplatně.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2" w:val="left"/>
        </w:tabs>
        <w:bidi w:val="0"/>
        <w:spacing w:before="0" w:after="220" w:line="240" w:lineRule="auto"/>
        <w:ind w:left="380" w:right="0" w:hanging="38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Účetní hodnota předmětu smlouvy, vedená v účetní evidenci předávajícího, činí u jednotlivých pozemků: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19" w:val="left"/>
          <w:tab w:leader="dot" w:pos="5430" w:val="left"/>
        </w:tabs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pozemek p. č. 1029/7 v k. ú. Černčice u Petrohradu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196 155 Kč pozemek p. č. 1058/6 v k. ú. Černčice u Petrohradu</w:t>
        <w:tab/>
        <w:t>16 968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540" w:val="left"/>
        </w:tabs>
        <w:bidi w:val="0"/>
        <w:spacing w:before="0" w:after="22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pozemek p. č. 1060/2 v k. ú. Černčice u Petrohradu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2 002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Účetní hodnota předmětu bezúplatného převodu činí celkem dle účetní evidence předávajícího částku 215 125 Kč (slovy: dvě stě patnáct tisíc sto dvacet pět korun českých).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30"/>
      <w:bookmarkEnd w:id="31"/>
      <w:bookmarkEnd w:id="3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Předávající prohlašuje, že na předmětu smlouvy neváznou dluhy, zástavní práva nebo jiné právní povinnosti. Předávající seznámil přejímajícího se stavem předmětu smlouvy, který jej v tomto stavu přebírá.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Fyzické předání a převzetí předmětu smlouvy se vzhledem k charakteru majetku neuskuteční.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34"/>
      <w:bookmarkEnd w:id="35"/>
      <w:bookmarkEnd w:id="37"/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bookmarkStart w:id="35" w:name="bookmark35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COMPLIANCE DOLOŽKA</w:t>
      </w:r>
      <w:bookmarkEnd w:id="34"/>
      <w:bookmarkEnd w:id="35"/>
      <w:bookmarkEnd w:id="38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380" w:right="0" w:hanging="38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80" w:right="0" w:hanging="38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nevznikla trestní odpovědnost fyzických osob (včetně zaměstnanců) podle trestního zákoníku, případně aby nebylo zahájeno trestní stíhání proti kterékoli ze smluvních stran, včetně jejích zaměstnanců podle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9" w:val="left"/>
        </w:tabs>
        <w:bidi w:val="0"/>
        <w:spacing w:before="0" w:after="220" w:line="240" w:lineRule="auto"/>
        <w:ind w:left="380" w:right="0" w:hanging="38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Přejímající prohlašuje, že se seznámil se zásadami, hodnotami a cíli Compliance programu, s Etickým kodexem a Protikorupčním programem Povodí Ohře, státní podnik (viz </w:t>
      </w:r>
      <w:r>
        <w:fldChar w:fldCharType="begin"/>
      </w:r>
      <w:r>
        <w:rPr/>
        <w:instrText> HYPERLINK "http://www.poh.cz/protikorupcni-a-compliance-program/d-1346/p1=1458" </w:instrText>
      </w:r>
      <w:r>
        <w:fldChar w:fldCharType="separate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http://www.poh.cz/protikorupcni-a-compliance-program/d-1346/p1=1458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 Přejímající se při plnění této smlouvy zavazuje po celou dobu jejího trvání dodržovat zásady a hodnoty obsažené v uvedených dokumentech, pokud to jejich povaha umožňuje.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9" w:val="left"/>
        </w:tabs>
        <w:bidi w:val="0"/>
        <w:spacing w:before="0" w:after="400" w:line="240" w:lineRule="auto"/>
        <w:ind w:left="380" w:right="0" w:hanging="38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3" w:name="bookmark4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4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  <w:bookmarkEnd w:id="44"/>
      <w:bookmarkEnd w:id="45"/>
      <w:bookmarkEnd w:id="4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04.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47" w:name="bookmark47"/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  <w:bookmarkEnd w:id="47"/>
      <w:bookmarkEnd w:id="48"/>
      <w:bookmarkEnd w:id="50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9" w:val="left"/>
        </w:tabs>
        <w:bidi w:val="0"/>
        <w:spacing w:before="0" w:line="240" w:lineRule="auto"/>
        <w:ind w:left="380" w:right="0" w:hanging="38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platnost této smlouvy je v souladu s platným Statutem Povodí Ohře, státního podniku, a zákonem o státním podniku nutný písemný souhlas Ministerstva zemědělství, které vykonává jménem státu funkci zakladatele předávajícího (dále jen „Zakladatel“).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9" w:val="left"/>
        </w:tabs>
        <w:bidi w:val="0"/>
        <w:spacing w:before="0" w:line="240" w:lineRule="auto"/>
        <w:ind w:left="380" w:right="0" w:hanging="38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Zakladatel udělil písemný souhlas s bezúplatným převodem pozemků dne 18.02.2025 pod čj. 10800/2025-MZE-15152. Z tohoto důvodu je vyloučeno přijetí nabídky s dodatkem nebo odchylkou, i když dodatek nebo odchylka podstatně nemění podmínky nabídky (§ 1740 odst. 3 OZ).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9" w:val="left"/>
        </w:tabs>
        <w:bidi w:val="0"/>
        <w:spacing w:before="0" w:line="240" w:lineRule="auto"/>
        <w:ind w:left="380" w:right="0" w:hanging="38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včetně všech dodatků, odvozených smluv a dokumentů a metadat prostřednictvím registru smluv. Povodí Ohře, státní podnik, se zavazuje neprodleně po obdržení potvrzení správce registru smluv o uveřejnění smlouvy informovat o této skutečnosti přejímajícího, a to přeposláním zmíněného potvrzení správce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09" w:val="left"/>
        </w:tabs>
        <w:bidi w:val="0"/>
        <w:spacing w:before="0" w:after="400" w:line="240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žádná ustanovení smlouvy za obchodní tajemství.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center"/>
      </w:pPr>
      <w:bookmarkStart w:id="55" w:name="bookmark55"/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bookmarkEnd w:id="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X.</w:t>
      </w:r>
      <w:bookmarkEnd w:id="55"/>
      <w:bookmarkEnd w:id="56"/>
      <w:bookmarkEnd w:id="5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tato smlouva je platná dnem oboustranného podpisu smlouvy za podmínky, že byl vydán předchozí písemný souhlas zakladatele s bezúplatným převodem předmětu smlouvy a účinnosti nabývá zveřejněním v Registru smluv, pokud této účinnosti dle příslušných ustanovení smlouvy nenabude později.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9" w:name="bookmark59"/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  <w:bookmarkEnd w:id="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59"/>
      <w:bookmarkEnd w:id="60"/>
      <w:bookmarkEnd w:id="6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</w:tabs>
        <w:bidi w:val="0"/>
        <w:spacing w:before="0" w:line="240" w:lineRule="auto"/>
        <w:ind w:left="300" w:right="0" w:hanging="30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navrhují, aby Katastrální úřad pro Ústecký kraj, Katastrální pracoviště Žatec provedl v katastru nemovitostí záznam o změně práva hospodařit s majetkem státu 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</w:tabs>
        <w:bidi w:val="0"/>
        <w:spacing w:before="0" w:line="240" w:lineRule="auto"/>
        <w:ind w:left="300" w:right="0" w:hanging="30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na provedení záznamu do katastru nemovitostí dle této smlouvy podá předávající do 15 dnů ode dne oboustranného podpisu.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</w:tabs>
        <w:bidi w:val="0"/>
        <w:spacing w:before="0" w:after="400" w:line="240" w:lineRule="auto"/>
        <w:ind w:left="300" w:right="0" w:hanging="30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případ, že záznam o změně práva hospodařit s majetkem České republiky nebude katastrálním pracovištěm z jakéhokoliv důvodu proveden, zavazují se obě smluvní strany v součinnosti provádět potřebné kroky k odstranění nedostatků zjištěných příslušným katastrálním pracovištěm.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66" w:name="bookmark66"/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  <w:bookmarkEnd w:id="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66"/>
      <w:bookmarkEnd w:id="67"/>
      <w:bookmarkEnd w:id="69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9" w:val="left"/>
        </w:tabs>
        <w:bidi w:val="0"/>
        <w:spacing w:before="0" w:line="240" w:lineRule="auto"/>
        <w:ind w:left="300" w:right="0" w:hanging="30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ve třech vyhotoveních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 nichž každá smluvní strana obdrží jedno vyhotovení a jedno vyhotovení je určeno pro potřebu Katastrálního úřadu pro Ústecký kraj, Katastrálního pracoviště Žatec.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9" w:val="left"/>
        </w:tabs>
        <w:bidi w:val="0"/>
        <w:spacing w:before="0" w:after="400" w:line="240" w:lineRule="auto"/>
        <w:ind w:left="300" w:right="0" w:hanging="30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jsou způsobilé k právním úkonům, že si smlouvu přečetly, že byla uzavřena po vzájemném projednání podle jejich pravé a svobodné vůle a nebyla uzavřena v tísni a za nápadně nevýhodných podmínek. Na důkaz toho připojují své vlastnoruční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81" w:left="1334" w:right="1368" w:bottom="1270" w:header="105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12700</wp:posOffset>
                </wp:positionV>
                <wp:extent cx="1085215" cy="21018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75pt;margin-top:1.pt;width:85.450000000000003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71" w:left="0" w:right="0" w:bottom="53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4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874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71" w:left="1394" w:right="1620" w:bottom="5334" w:header="0" w:footer="3" w:gutter="0"/>
          <w:cols w:num="2" w:space="720" w:equalWidth="0">
            <w:col w:w="3490" w:space="1474"/>
            <w:col w:w="393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widowControl w:val="0"/>
        <w:spacing w:line="126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71" w:left="0" w:right="0" w:bottom="17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71" w:left="1821" w:right="2483" w:bottom="1771" w:header="0" w:footer="3" w:gutter="0"/>
          <w:cols w:num="2" w:space="720" w:equalWidth="0">
            <w:col w:w="2419" w:space="2520"/>
            <w:col w:w="2664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generální ředitel</w:t>
        <w:br/>
        <w:t>Povodí Ohře, státní podnik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Správy Karlovy Vary</w:t>
        <w:br/>
        <w:t>Ředitelství silnic a dálnic s. p.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771" w:left="1821" w:right="2483" w:bottom="1771" w:header="0" w:footer="3" w:gutter="0"/>
      <w:cols w:num="2" w:space="720" w:equalWidth="0">
        <w:col w:w="2419" w:space="2520"/>
        <w:col w:w="2664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9949180</wp:posOffset>
              </wp:positionV>
              <wp:extent cx="64135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44999999999999pt;margin-top:783.39999999999998pt;width:5.04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Č</dc:title>
  <dc:subject/>
  <dc:creator>Štrajt Richard</dc:creator>
  <cp:keywords/>
</cp:coreProperties>
</file>