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4C1CCC6A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6C0074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0B527A4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6C0074">
        <w:rPr>
          <w:rFonts w:cstheme="minorHAnsi"/>
          <w:sz w:val="22"/>
        </w:rPr>
        <w:t>2944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6C0074">
        <w:rPr>
          <w:rFonts w:cstheme="minorHAnsi"/>
          <w:sz w:val="22"/>
        </w:rPr>
        <w:t>termostatu, diagnostika.</w:t>
      </w:r>
    </w:p>
    <w:p w14:paraId="4FB74793" w14:textId="74B08F7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6C0074">
        <w:rPr>
          <w:rFonts w:cstheme="minorHAnsi"/>
          <w:b/>
          <w:sz w:val="22"/>
        </w:rPr>
        <w:t>3.689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58BD6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C007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5560A0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1A204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67B6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2F902AE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</w:t>
      </w:r>
      <w:r w:rsidR="006C00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67B6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111</cp:revision>
  <cp:lastPrinted>2024-08-06T13:04:00Z</cp:lastPrinted>
  <dcterms:created xsi:type="dcterms:W3CDTF">2022-07-07T05:33:00Z</dcterms:created>
  <dcterms:modified xsi:type="dcterms:W3CDTF">2025-03-11T12:40:00Z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