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22250" distL="114300" distR="114300" simplePos="0" relativeHeight="125829378" behindDoc="0" locked="0" layoutInCell="1" allowOverlap="1">
            <wp:simplePos x="0" y="0"/>
            <wp:positionH relativeFrom="page">
              <wp:posOffset>5673090</wp:posOffset>
            </wp:positionH>
            <wp:positionV relativeFrom="paragraph">
              <wp:posOffset>12700</wp:posOffset>
            </wp:positionV>
            <wp:extent cx="1481455" cy="39624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5834380</wp:posOffset>
                </wp:positionH>
                <wp:positionV relativeFrom="paragraph">
                  <wp:posOffset>481965</wp:posOffset>
                </wp:positionV>
                <wp:extent cx="597535" cy="14605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2025001753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9.40000000000003pt;margin-top:37.950000000000003pt;width:47.050000000000004pt;height:11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2025001753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5"/>
          <w:b/>
          <w:bCs/>
          <w:sz w:val="20"/>
          <w:szCs w:val="20"/>
          <w:u w:val="single"/>
        </w:rPr>
        <w:t>KUPNÍ SMLOUVA</w:t>
      </w:r>
      <w:r>
        <w:rPr>
          <w:rStyle w:val="CharStyle5"/>
          <w:b/>
          <w:bCs/>
          <w:sz w:val="20"/>
          <w:szCs w:val="20"/>
        </w:rPr>
        <w:br/>
      </w:r>
      <w:r>
        <w:rPr>
          <w:rStyle w:val="CharStyle5"/>
          <w:sz w:val="20"/>
          <w:szCs w:val="20"/>
        </w:rPr>
        <w:t>podle ustanovení § 2079 a násl. zákona č. 89/2012 Sb., občanský zákoník,</w:t>
        <w:br/>
        <w:t>uzavřená mezi</w:t>
      </w:r>
    </w:p>
    <w:tbl>
      <w:tblPr>
        <w:tblOverlap w:val="never"/>
        <w:jc w:val="center"/>
        <w:tblLayout w:type="fixed"/>
      </w:tblPr>
      <w:tblGrid>
        <w:gridCol w:w="2654"/>
        <w:gridCol w:w="6187"/>
      </w:tblGrid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Sídlo: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2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Kamenice 798/1d, 625 00 Brno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MUDr. Hana Albrechtová, ředitelka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hd w:val="clear" w:color="auto" w:fill="000000"/>
              </w:rPr>
              <w:t>.......​</w:t>
            </w:r>
            <w:r>
              <w:rPr>
                <w:rStyle w:val="CharStyle22"/>
                <w:spacing w:val="4"/>
                <w:shd w:val="clear" w:color="auto" w:fill="000000"/>
              </w:rPr>
              <w:t>....</w:t>
            </w:r>
            <w:r>
              <w:rPr>
                <w:rStyle w:val="CharStyle22"/>
                <w:spacing w:val="5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​...</w:t>
            </w:r>
            <w:r>
              <w:rPr>
                <w:rStyle w:val="CharStyle22"/>
                <w:spacing w:val="1"/>
                <w:shd w:val="clear" w:color="auto" w:fill="000000"/>
              </w:rPr>
              <w:t>.........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</w:t>
            </w:r>
            <w:r>
              <w:rPr>
                <w:rStyle w:val="CharStyle22"/>
                <w:spacing w:val="4"/>
                <w:shd w:val="clear" w:color="auto" w:fill="000000"/>
              </w:rPr>
              <w:t>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</w:t>
            </w:r>
            <w:r>
              <w:rPr>
                <w:rStyle w:val="CharStyle22"/>
                <w:spacing w:val="4"/>
                <w:shd w:val="clear" w:color="auto" w:fill="000000"/>
              </w:rPr>
              <w:t>......</w:t>
            </w:r>
            <w:r>
              <w:rPr>
                <w:rStyle w:val="CharStyle22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22"/>
                <w:spacing w:val="1"/>
                <w:u w:val="single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CharStyle22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CharStyle22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8"/>
                <w:shd w:val="clear" w:color="auto" w:fill="000000"/>
              </w:rPr>
              <w:t>...</w:t>
            </w:r>
            <w:r>
              <w:rPr>
                <w:rStyle w:val="CharStyle22"/>
                <w:spacing w:val="9"/>
                <w:shd w:val="clear" w:color="auto" w:fill="000000"/>
              </w:rPr>
              <w:t>..</w:t>
            </w:r>
            <w:r>
              <w:rPr>
                <w:rStyle w:val="CharStyle22"/>
                <w:shd w:val="clear" w:color="auto" w:fill="000000"/>
              </w:rPr>
              <w:t>​.......​</w:t>
            </w:r>
            <w:r>
              <w:rPr>
                <w:rStyle w:val="CharStyle22"/>
                <w:spacing w:val="6"/>
                <w:shd w:val="clear" w:color="auto" w:fill="000000"/>
              </w:rPr>
              <w:t>...</w:t>
            </w:r>
            <w:r>
              <w:rPr>
                <w:rStyle w:val="CharStyle22"/>
                <w:spacing w:val="7"/>
                <w:shd w:val="clear" w:color="auto" w:fill="000000"/>
              </w:rPr>
              <w:t>...</w:t>
            </w:r>
            <w:r>
              <w:rPr>
                <w:rStyle w:val="CharStyle22"/>
                <w:shd w:val="clear" w:color="auto" w:fill="000000"/>
              </w:rPr>
              <w:t>​......</w:t>
            </w:r>
          </w:p>
        </w:tc>
      </w:tr>
      <w:tr>
        <w:trPr>
          <w:trHeight w:val="7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IČO: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00346292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CZ00346292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Krajský soud v Brně sp. zn. Pr 1245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MONETA Money Bank, a.s„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9"/>
        </w:rPr>
        <w:t xml:space="preserve">(dále jen </w:t>
      </w:r>
      <w:r>
        <w:rPr>
          <w:rStyle w:val="CharStyle19"/>
          <w:b/>
          <w:bCs/>
          <w:i/>
          <w:iCs/>
        </w:rPr>
        <w:t>„kupující'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6182"/>
      </w:tblGrid>
      <w:tr>
        <w:trPr>
          <w:trHeight w:val="6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MEDIROL s.r.o.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Na Strži 126/4, Praha 4, 140 00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Jednající: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Ing. David Ryska - jednatel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spacing w:val="8"/>
                <w:shd w:val="clear" w:color="auto" w:fill="000000"/>
              </w:rPr>
              <w:t>....</w:t>
            </w:r>
            <w:r>
              <w:rPr>
                <w:rStyle w:val="CharStyle22"/>
                <w:spacing w:val="9"/>
                <w:shd w:val="clear" w:color="auto" w:fill="000000"/>
              </w:rPr>
              <w:t>.</w:t>
            </w:r>
            <w:r>
              <w:rPr>
                <w:rStyle w:val="CharStyle22"/>
                <w:shd w:val="clear" w:color="auto" w:fill="000000"/>
              </w:rPr>
              <w:t>​</w:t>
            </w:r>
            <w:r>
              <w:rPr>
                <w:rStyle w:val="CharStyle22"/>
                <w:spacing w:val="3"/>
                <w:shd w:val="clear" w:color="auto" w:fill="000000"/>
              </w:rPr>
              <w:t>.........</w:t>
            </w:r>
            <w:r>
              <w:rPr>
                <w:rStyle w:val="CharStyle22"/>
                <w:spacing w:val="4"/>
                <w:shd w:val="clear" w:color="auto" w:fill="000000"/>
              </w:rPr>
              <w:t>......</w:t>
            </w:r>
          </w:p>
        </w:tc>
      </w:tr>
      <w:tr>
        <w:trPr>
          <w:trHeight w:val="74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IČO: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DIČ: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64506592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OZ64506592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MěS v Praze, odd. C, vl. 133671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UniCredit Bank a.s., 2109348034/2700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9"/>
        </w:rPr>
        <w:t xml:space="preserve">(dále jen </w:t>
      </w:r>
      <w:r>
        <w:rPr>
          <w:rStyle w:val="CharStyle19"/>
          <w:b/>
          <w:bCs/>
          <w:i/>
          <w:iCs/>
        </w:rPr>
        <w:t>„prodávající )</w:t>
      </w:r>
    </w:p>
    <w:p>
      <w:pPr>
        <w:widowControl w:val="0"/>
        <w:spacing w:after="99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5"/>
        </w:rPr>
        <w:t>Prodávající je oprávněn na základě svého vlastnického práva nakládat se zbožím v podobě 7 ks transportních zařízení - elektrohydraulických nosítek, jejichž bližší specifikace je uvedena v příloze č. 1 a č. 2, které jsou nedílnou součástí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Prodávající prodává zboží podle čl. 1 této smlouvy se všemi jeho součástmi kupujícímu, a kupující kupuje toto zboží do vlastnictví svého zřizovatele za kupní cenu podle čl. 6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Součástí dodávky zboží podle čl. 1 této smlouvy je také dodání veškerých písemných dokladů, potřebných k používání tohoto zboží, zejména návodu k obsluze v českém jazyce, dokladu prokazujícího kvalitu a jeho schválení pro užívání v České republice, a zaškolení obsluhy.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Součástí dodávky zboží podle čl. 1 této smlouvy je dále provádění tzv. periodických bezpečnostně technických kontrol tohoto zboží dle zákona č. 268/2014 Sb., a to v místě plnění dle čl. 4 této smlouvy, ve stanovených lhůtách a po dobu trvání záruky za jakost podle čl. 10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 xml:space="preserve">Prodávající se zavazuje splnit svůj závazek k dodání zboží podle čl. 1 této smlouvy, včetně plnění podle čl. 3 této smlouvy, </w:t>
      </w:r>
      <w:r>
        <w:rPr>
          <w:rStyle w:val="CharStyle5"/>
          <w:b/>
          <w:bCs/>
        </w:rPr>
        <w:t xml:space="preserve">nejpozději do 14-ti dní </w:t>
      </w:r>
      <w:r>
        <w:rPr>
          <w:rStyle w:val="CharStyle5"/>
        </w:rPr>
        <w:t>ode dne účinnosti této smlouvy, a to v místě plnění, kterým se rozumí sídlo kupujícího dle záhlaví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Závazek prodávajícího k dodání zboží podle čl. 1 této smlouvy se pak považuje za splněný dnem předání a převzetí tohoto zboží, prostého všech vad, formou písemného předávacího protokolu, podepsaného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 xml:space="preserve">Kupující se zavazuje zaplatit prodávajícímu za předmět koupě </w:t>
      </w:r>
      <w:r>
        <w:rPr>
          <w:rStyle w:val="CharStyle5"/>
          <w:i/>
          <w:iCs/>
        </w:rPr>
        <w:t>a</w:t>
      </w:r>
      <w:r>
        <w:rPr>
          <w:rStyle w:val="CharStyle5"/>
        </w:rPr>
        <w:t xml:space="preserve"> prodeje podle čl. 1 této smlouvy kupní cenu celkem ve výši: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5"/>
          <w:b/>
          <w:bCs/>
        </w:rPr>
        <w:t>2.704.450,- Kč bez DPH, tzn. 3.272.384,50 Kč včetně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400" w:right="0" w:firstLine="0"/>
        <w:jc w:val="both"/>
      </w:pPr>
      <w:r>
        <w:rPr>
          <w:rStyle w:val="CharStyle5"/>
        </w:rPr>
        <w:t>Součástí této ceny jsou veškeré náklady prodávajícího na splnění jeho závazku k dodání zboží podle této smlouvy. Změna ceny je možná pouze v případě zákonné změny sazby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400" w:right="0" w:hanging="400"/>
        <w:jc w:val="both"/>
      </w:pPr>
      <w:r>
        <w:rPr>
          <w:rStyle w:val="CharStyle5"/>
        </w:rPr>
        <w:t>Kupní cena podle čl. 8 této smlouvy je splatná na účet prodávajícího po splnění závazku prodávajícího k dodání zboží podle čl. 1 této smlouvy způsobem podle čl. 4 této smlouvy ve lhůtě do 30-ti dnů ode dne doručení jejího písemného vyúčtování (faktury/daňového dokladu). Faktura bude doručena elektronicky na e-maily:</w:t>
      </w:r>
      <w:r>
        <w:rPr>
          <w:rStyle w:val="CharStyle5"/>
          <w:shd w:val="clear" w:color="auto" w:fill="000000"/>
        </w:rPr>
        <w:t>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hd w:val="clear" w:color="auto" w:fill="000000"/>
          <w:lang w:val="en-US" w:eastAsia="en-US" w:bidi="en-US"/>
        </w:rPr>
        <w:t>..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CharStyle5"/>
          <w:color w:val="7E9DD8"/>
          <w:lang w:val="en-US" w:eastAsia="en-US" w:bidi="en-US"/>
        </w:rPr>
        <w:t xml:space="preserve"> </w:t>
      </w:r>
      <w:r>
        <w:rPr>
          <w:rStyle w:val="CharStyle5"/>
        </w:rPr>
        <w:t xml:space="preserve">a musí obsahovat mimo jiné toto číslo veřejné zakázky: </w:t>
      </w:r>
      <w:r>
        <w:rPr>
          <w:rStyle w:val="CharStyle5"/>
          <w:b/>
          <w:bCs/>
        </w:rPr>
        <w:t xml:space="preserve">P25V00000288. </w:t>
      </w:r>
      <w:r>
        <w:rPr>
          <w:rStyle w:val="CharStyle5"/>
        </w:rPr>
        <w:t>Přílohou faktury bude kopie předávacího protokolu podepsaná oběma stranami.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S převodem zboží je podle čl. 1 této smlouvy spojena záruka za jeho jakost v trvání 24 měsíců ode dne splnění závazku prodávajícího k dodání zboží způsobem podle čl.. 6 této smlouvy. V rámci záruky se prodávající zavazuje, že zboží podle čl. 1 této smlouvy bude nové a bude mít po dobu uvedené záruční lhůty další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3 pracovních dnů od doručení příslušné písemné nebo e-mailové reklamace kupujícího, pokud nebude dohodnuto jinak.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prodlení se splněním jeho závazku k dodání zboží ve lhůtě podle čl. 5 této smlouvy a pro případ jeho prodlení s odstraněním vady ve lhůtě podle čl. 10 této smlouvy se prodávající zavazuje zaplatit kupujícímu smluvní pokutu ve výši 0,1 % z kupní ceny podle čl. 8 této smlouvy za každý započatý den tohoto prodlení.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Pro případ prodlení se splněním jeho závazku k dodání zboží ve lhůtě podle čl. 5 této smlouvy nebo s odstraněním vady ve lhůtě podle čl. 10 této smlouvy o více, než 2 týdny, je kupující oprávněn odstoupit od této smlouvy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prodlení kupujícího se zaplacením kupní ceny nebo její části ve lhůtě podle čl. 9 této smlouvy o víc než 2 týdny, je prodávající oprávněn od této smlouvy odstoupit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00" w:right="0" w:hanging="400"/>
        <w:jc w:val="both"/>
      </w:pPr>
      <w:r>
        <w:rPr>
          <w:rStyle w:val="CharStyle5"/>
        </w:rPr>
        <w:t>Není-li touto smlouvou ujednáno jinak, řídí se vzájemný právní vztah mezi kupujícím a prodávajícím při realizaci této smlouvy ust. § 2079 a násl. občanského zákoníku.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5"/>
        </w:rPr>
        <w:t>Předpokladem uzavření této smlouvy je její písemná forma a dohoda o jejích podstatných náležitostech, čímž se rozumí celý obsah této smlouvy, jak je uveden v čl. 1 až 21 této smlouvy. Kupující přitom předem vylučuje přijetí tohoto návrhu s dodatkem nebo odchylkou ve smyslu ustanovení § 1740 odst. 3 občanského zákoníku.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420" w:right="0" w:hanging="420"/>
        <w:jc w:val="both"/>
      </w:pPr>
      <w:r>
        <w:rPr>
          <w:rStyle w:val="CharStyle5"/>
        </w:rPr>
        <w:t>Prodávající bere na vědomí a souhlasí s tím, aby kupující uveřejnil tuto smlouvu v registru smluv v souladu s ustanoveními zákona č. 340/2015 Sb., o registru smluv, ve znění pozdějších předpisů.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0" w:right="0" w:firstLine="0"/>
        <w:jc w:val="left"/>
      </w:pPr>
      <w:r>
        <w:rPr>
          <w:rStyle w:val="CharStyle5"/>
        </w:rPr>
        <w:t>Tuto smlouvu lze změnit nebo zrušit pouze jinou písemnou dohodou obou smluvních stran.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6" w:lineRule="auto"/>
        <w:ind w:left="420" w:right="0" w:hanging="420"/>
        <w:jc w:val="both"/>
      </w:pPr>
      <w:r>
        <w:rPr>
          <w:rStyle w:val="CharStyle5"/>
        </w:rPr>
        <w:t>Tato smlouva nabývá platnosti dnem jejího uzavření a účinnosti dnem jejího uveřejnění v registru smluv dle čl. 17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/>
        <w:ind w:left="420" w:right="0" w:hanging="420"/>
        <w:jc w:val="both"/>
      </w:pPr>
      <w:r>
        <w:rPr>
          <w:rStyle w:val="CharStyle5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line="283" w:lineRule="auto"/>
        <w:ind w:left="0" w:right="0" w:firstLine="0"/>
        <w:jc w:val="left"/>
      </w:pPr>
      <w:r>
        <w:rPr>
          <w:rStyle w:val="CharStyle5"/>
        </w:rPr>
        <w:t>Nedílnou součástí smlouvy jsou tyto přílohy: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35" w:val="left"/>
        </w:tabs>
        <w:bidi w:val="0"/>
        <w:spacing w:before="0" w:after="0" w:line="283" w:lineRule="auto"/>
        <w:ind w:left="0" w:right="0" w:firstLine="420"/>
        <w:jc w:val="both"/>
      </w:pPr>
      <w:r>
        <w:rPr>
          <w:rStyle w:val="CharStyle5"/>
        </w:rPr>
        <w:t>Příloha č. 1</w:t>
        <w:tab/>
        <w:t>Technická specifikace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35" w:val="left"/>
        </w:tabs>
        <w:bidi w:val="0"/>
        <w:spacing w:before="0" w:line="283" w:lineRule="auto"/>
        <w:ind w:left="0" w:right="0" w:firstLine="420"/>
        <w:jc w:val="both"/>
      </w:pPr>
      <w:r>
        <w:rPr>
          <w:rStyle w:val="CharStyle5"/>
        </w:rPr>
        <w:t>Příloha č. 2</w:t>
        <w:tab/>
        <w:t>Ceník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0" distB="3175" distL="0" distR="0" simplePos="0" relativeHeight="125829379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508000</wp:posOffset>
                </wp:positionV>
                <wp:extent cx="1536065" cy="1492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35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6.049999999999997pt;margin-top:40.pt;width:120.95pt;height:11.75pt;z-index:-125829374;mso-wrap-distance-left:0;mso-wrap-distance-top:40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5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1175" distB="0" distL="0" distR="0" simplePos="0" relativeHeight="125829381" behindDoc="0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511175</wp:posOffset>
                </wp:positionV>
                <wp:extent cx="1365250" cy="1492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525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Praze dne 10. 3.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44999999999999pt;margin-top:40.25pt;width:107.5pt;height:11.75pt;z-index:-125829372;mso-wrap-distance-left:0;mso-wrap-distance-top:40.2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Praze dne 10. 3.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346" w:right="1499" w:bottom="1810" w:left="1521" w:header="91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67030" distB="12065" distL="0" distR="0" simplePos="0" relativeHeight="125829383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367030</wp:posOffset>
                </wp:positionV>
                <wp:extent cx="2273935" cy="10604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3935" cy="1060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182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Ml IDr Hana </w:t>
                            </w:r>
                            <w:r>
                              <w:rPr>
                                <w:rStyle w:val="CharStyle7"/>
                                <w:sz w:val="15"/>
                                <w:szCs w:val="15"/>
                              </w:rPr>
                              <w:t xml:space="preserve">Digitálně podepsai </w:t>
                            </w:r>
                            <w:r>
                              <w:rPr>
                                <w:rStyle w:val="CharStyle7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IVIV/LH. I laiia </w:t>
                            </w:r>
                            <w:r>
                              <w:rPr>
                                <w:rStyle w:val="CharStyle7"/>
                                <w:sz w:val="15"/>
                                <w:szCs w:val="15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33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1"/>
                              </w:rPr>
                              <w:t>Albrechtová</w:t>
                            </w:r>
                            <w:bookmarkEnd w:id="0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5.299999999999997pt;margin-top:28.900000000000002pt;width:179.05000000000001pt;height:83.5pt;z-index:-125829370;mso-wrap-distance-left:0;mso-wrap-distance-top:28.900000000000002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2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7"/>
                          <w:b/>
                          <w:bCs/>
                          <w:sz w:val="17"/>
                          <w:szCs w:val="17"/>
                        </w:rPr>
                        <w:t xml:space="preserve">Ml IDr Hana </w:t>
                      </w:r>
                      <w:r>
                        <w:rPr>
                          <w:rStyle w:val="CharStyle7"/>
                          <w:sz w:val="15"/>
                          <w:szCs w:val="15"/>
                        </w:rPr>
                        <w:t xml:space="preserve">Digitálně podepsai </w:t>
                      </w:r>
                      <w:r>
                        <w:rPr>
                          <w:rStyle w:val="CharStyle7"/>
                          <w:b/>
                          <w:bCs/>
                          <w:sz w:val="17"/>
                          <w:szCs w:val="17"/>
                        </w:rPr>
                        <w:t xml:space="preserve">IVIV/LH. I laiia </w:t>
                      </w:r>
                      <w:r>
                        <w:rPr>
                          <w:rStyle w:val="CharStyle7"/>
                          <w:sz w:val="15"/>
                          <w:szCs w:val="15"/>
                        </w:rPr>
                        <w:t>MUDr. Hana Albrechtová</w:t>
                      </w:r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33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1"/>
                        </w:rPr>
                        <w:t>Albrechtová</w:t>
                      </w:r>
                      <w:bookmarkEnd w:id="0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MUDr. Hana Albrechtová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ředitelka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3375" distB="566420" distL="0" distR="0" simplePos="0" relativeHeight="125829385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333375</wp:posOffset>
                </wp:positionV>
                <wp:extent cx="935990" cy="5397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539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1"/>
                              </w:rPr>
                              <w:t>Ing. David Ryska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1.69999999999999pt;margin-top:26.25pt;width:73.700000000000003pt;height:42.5pt;z-index:-125829368;mso-wrap-distance-left:0;mso-wrap-distance-top:26.25pt;mso-wrap-distance-right:0;mso-wrap-distance-bottom:44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1"/>
                        </w:rPr>
                        <w:t>Ing. David Ryska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0200" distB="523875" distL="0" distR="0" simplePos="0" relativeHeight="125829387" behindDoc="0" locked="0" layoutInCell="1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330200</wp:posOffset>
                </wp:positionV>
                <wp:extent cx="941705" cy="5854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Digitálně podepsal Ing. David Ryska Datum: 2025.03.10 05:09:52+01'00'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5.60000000000002pt;margin-top:26.pt;width:74.150000000000006pt;height:46.100000000000001pt;z-index:-125829366;mso-wrap-distance-left:0;mso-wrap-distance-top:26.pt;mso-wrap-distance-right:0;mso-wrap-distance-bottom:41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Digitálně podepsal Ing. David Ryska Datum: 2025.03.10 05:09:52+01'00'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7105" distB="0" distL="0" distR="0" simplePos="0" relativeHeight="125829389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967105</wp:posOffset>
                </wp:positionV>
                <wp:extent cx="969010" cy="4724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472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Ing. David Ryska jednatel 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1.69999999999999pt;margin-top:76.150000000000006pt;width:76.299999999999997pt;height:37.200000000000003pt;z-index:-125829364;mso-wrap-distance-left:0;mso-wrap-distance-top:76.15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Ing. David Ryska jednatel 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5"/>
          <w:b/>
          <w:bCs/>
        </w:rPr>
        <w:t>Příloha č. 1 Technická specifikace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5"/>
        </w:rPr>
        <w:t>Transportní zařízení dle této smlouvy je kompatibilní s výsuvným zařízení Vivera Fastener F401 (není součástí plnění, zadavatel jej používá ve svých vozidlech) výrobce Medirol s.r.o, IČO 64506592.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rStyle w:val="CharStyle5"/>
        </w:rPr>
        <w:t>Technická specifikace transportního zařízení: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 w:line="271" w:lineRule="auto"/>
        <w:ind w:left="0" w:right="0" w:firstLine="260"/>
        <w:jc w:val="both"/>
      </w:pPr>
      <w:r>
        <w:rPr>
          <w:rStyle w:val="CharStyle5"/>
        </w:rPr>
        <w:t>polohování podvozku nosítek elektrohydraulické,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 w:line="271" w:lineRule="auto"/>
        <w:ind w:left="0" w:right="0" w:firstLine="260"/>
        <w:jc w:val="both"/>
      </w:pPr>
      <w:r>
        <w:rPr>
          <w:rStyle w:val="CharStyle5"/>
        </w:rPr>
        <w:t>nosítka odnímatelná od podvozku,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 w:line="271" w:lineRule="auto"/>
        <w:ind w:left="440" w:right="0" w:hanging="180"/>
        <w:jc w:val="both"/>
      </w:pPr>
      <w:r>
        <w:rPr>
          <w:rStyle w:val="CharStyle5"/>
        </w:rPr>
        <w:t>minimální nosnost kompletu podvozku s nosítkem je 300kg, v případě, že je nosítko sundáno z podvozku, je jeho nosnost minimálně 250kg,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 w:line="271" w:lineRule="auto"/>
        <w:ind w:left="440" w:right="0" w:hanging="180"/>
        <w:jc w:val="both"/>
      </w:pPr>
      <w:r>
        <w:rPr>
          <w:rStyle w:val="CharStyle5"/>
        </w:rPr>
        <w:t>elektrohydraulický systém podvozku nosítek je napájen minimálně jednou baterií, jejíž kapacita je alespoň 4,5Ah,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440" w:right="0" w:hanging="180"/>
        <w:jc w:val="both"/>
      </w:pPr>
      <w:r>
        <w:rPr>
          <w:rStyle w:val="CharStyle5"/>
        </w:rPr>
        <w:t>nabíjení baterie podvozku nosítek je vždy zajištěno automaticky po zasunutí podvozku do sanitního vozidla,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440" w:right="0" w:hanging="180"/>
        <w:jc w:val="both"/>
      </w:pPr>
      <w:r>
        <w:rPr>
          <w:rStyle w:val="CharStyle5"/>
        </w:rPr>
        <w:t>baterii podvozku nosítek je možné také nabít ze standardní elektrické sítě tj. 230V aniž by musela být vyjmuta z podvozku,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0" w:right="0" w:firstLine="260"/>
        <w:jc w:val="both"/>
      </w:pPr>
      <w:r>
        <w:rPr>
          <w:rStyle w:val="CharStyle5"/>
        </w:rPr>
        <w:t>možnost plně mechanického ovládání v případě selhání elektrického systému,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440" w:right="0" w:hanging="180"/>
        <w:jc w:val="both"/>
      </w:pPr>
      <w:r>
        <w:rPr>
          <w:rStyle w:val="CharStyle5"/>
        </w:rPr>
        <w:t>odnímatelná nosítka od podvozku musí umožnit transport pacienta v sedící poloze, tzv. "systém rudl",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440" w:right="0" w:hanging="180"/>
        <w:jc w:val="both"/>
      </w:pPr>
      <w:r>
        <w:rPr>
          <w:rStyle w:val="CharStyle5"/>
        </w:rPr>
        <w:t>odnímatelná nosítka mají zádovou část, hlavovou část a podvodník polohovatelný pomocí plynových pružin,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440" w:right="0" w:hanging="180"/>
        <w:jc w:val="both"/>
      </w:pPr>
      <w:r>
        <w:rPr>
          <w:rStyle w:val="CharStyle5"/>
        </w:rPr>
        <w:t>odnímatelná nosítka mají anatomickou matraci s integrovaným dětským pásovým systémem a anatomickou opěrku hlavy, anatomický polštář,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0" w:right="0" w:firstLine="260"/>
        <w:jc w:val="both"/>
      </w:pPr>
      <w:r>
        <w:rPr>
          <w:rStyle w:val="CharStyle5"/>
        </w:rPr>
        <w:t>odnímatelná nosítka jsou vybavena samonavíjecími bezpečnostními ramenními pasy,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0"/>
        <w:ind w:left="440" w:right="0" w:hanging="180"/>
        <w:jc w:val="both"/>
      </w:pPr>
      <w:r>
        <w:rPr>
          <w:rStyle w:val="CharStyle5"/>
        </w:rPr>
        <w:t>mechanický nakládací systém, který umožňuje jednoduché naložení a vyložení nosítek s elektrohydraulickým podvozkem do sanitního vozidla.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4" w:val="left"/>
        </w:tabs>
        <w:bidi w:val="0"/>
        <w:spacing w:before="0" w:after="5420"/>
        <w:ind w:left="440" w:right="0" w:hanging="180"/>
        <w:jc w:val="both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5148580</wp:posOffset>
                </wp:positionH>
                <wp:positionV relativeFrom="paragraph">
                  <wp:posOffset>3606800</wp:posOffset>
                </wp:positionV>
                <wp:extent cx="582295" cy="856615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4"/>
                              </w:rPr>
                              <w:t>Ing.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44"/>
                              </w:rPr>
                              <w:t>David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44"/>
                              </w:rPr>
                              <w:t>Ryska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05.40000000000003pt;margin-top:284.pt;width:45.850000000000001pt;height:67.450000000000003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4"/>
                        </w:rPr>
                        <w:t>Ing.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44"/>
                        </w:rPr>
                        <w:t>David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44"/>
                        </w:rPr>
                        <w:t>Ryska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</w:rPr>
        <w:t>transportní nosítka s podvozkem musí splňovat normu ČSN EN 1789 ve verzi platné k datu výroby zboží.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440" w:right="0" w:firstLine="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36" w:right="749" w:bottom="1241" w:left="1575" w:header="1008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>Digitálně podepsal Ing. David Ryska Datum: 2025.03.10 05:10:05 +01'00'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8084185</wp:posOffset>
                </wp:positionH>
                <wp:positionV relativeFrom="paragraph">
                  <wp:posOffset>4693920</wp:posOffset>
                </wp:positionV>
                <wp:extent cx="560705" cy="83502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0705" cy="835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4"/>
                              </w:rPr>
                              <w:t>Ing.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4"/>
                              </w:rPr>
                              <w:t>David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4"/>
                              </w:rPr>
                              <w:t>Ryska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36.55000000000007pt;margin-top:369.60000000000002pt;width:44.149999999999999pt;height:65.75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4"/>
                        </w:rPr>
                        <w:t>Ing.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4"/>
                        </w:rPr>
                        <w:t>David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4"/>
                        </w:rPr>
                        <w:t>Ryska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4" w:right="0" w:firstLine="0"/>
        <w:jc w:val="left"/>
        <w:rPr>
          <w:sz w:val="20"/>
          <w:szCs w:val="20"/>
        </w:rPr>
      </w:pPr>
      <w:r>
        <w:rPr>
          <w:rStyle w:val="CharStyle19"/>
          <w:b/>
          <w:bCs/>
          <w:sz w:val="20"/>
          <w:szCs w:val="20"/>
        </w:rPr>
        <w:t>Příloha č. 2 Ceník</w:t>
      </w:r>
    </w:p>
    <w:tbl>
      <w:tblPr>
        <w:tblOverlap w:val="never"/>
        <w:jc w:val="left"/>
        <w:tblLayout w:type="fixed"/>
      </w:tblPr>
      <w:tblGrid>
        <w:gridCol w:w="2904"/>
        <w:gridCol w:w="2482"/>
        <w:gridCol w:w="1651"/>
        <w:gridCol w:w="1646"/>
        <w:gridCol w:w="830"/>
        <w:gridCol w:w="1920"/>
        <w:gridCol w:w="1944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Typ/výrobce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Jednotková cena vč.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Počet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b/>
                <w:bCs/>
              </w:rPr>
              <w:t>Cena celkem vč. DPH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Oddělitelná nosítka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Medirol Clinic N114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22"/>
              </w:rPr>
              <w:t>54.150,-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65.521,50 Kč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22"/>
              </w:rPr>
              <w:t>379.050,-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</w:rPr>
              <w:t>458.650,50 Kč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Podvozek elektrohydraulických nosítek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Vivera Transportér P401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301.500,-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364.815,- Kč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2.110.500,-Kč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</w:rPr>
              <w:t>2.553.705,- Kč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Matrace s dětským zádržným systémem a samonavíjecími pásy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Schnitzler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22"/>
              </w:rPr>
              <w:t>26.500,-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32.065,-Kč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22"/>
              </w:rPr>
              <w:t>185.500,-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2"/>
              </w:rPr>
              <w:t>224.455,- Kč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</w:rPr>
              <w:t>Anatomický polštář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Schnitzler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4.200,-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5.082,- Kč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29.400,-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35.574,- Kč</w:t>
            </w:r>
          </w:p>
        </w:tc>
      </w:tr>
      <w:tr>
        <w:trPr>
          <w:trHeight w:val="634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2"/>
                <w:b/>
                <w:bCs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>2.704.450,-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b/>
                <w:bCs/>
              </w:rPr>
              <w:t>3.272.384,50 Kč</w:t>
            </w:r>
          </w:p>
        </w:tc>
      </w:tr>
    </w:tbl>
    <w:p>
      <w:pPr>
        <w:widowControl w:val="0"/>
        <w:spacing w:after="34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/>
        <w:ind w:right="0"/>
        <w:jc w:val="left"/>
      </w:pPr>
      <w:r>
        <w:rPr>
          <w:rStyle w:val="CharStyle7"/>
        </w:rPr>
        <w:t>Digitálně podepsal Ing. David Ryska Datum: 2025.03.10 05:10:20 +01'00'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rStyle w:val="CharStyle5"/>
          <w:i/>
          <w:iCs/>
        </w:rPr>
        <w:t>Veřejná zakázka 01_25: Transportní technika - elektrohydraulická nosítka 2025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6840" w:h="11900" w:orient="landscape"/>
      <w:pgMar w:top="1580" w:right="1156" w:bottom="601" w:left="1278" w:header="1152" w:footer="17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1000760</wp:posOffset>
              </wp:positionH>
              <wp:positionV relativeFrom="page">
                <wp:posOffset>10006965</wp:posOffset>
              </wp:positionV>
              <wp:extent cx="4334510" cy="11874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3451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6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01_25: Transportní technika - elektrohydraulická nosítka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8.799999999999997pt;margin-top:787.95000000000005pt;width:341.3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01_25: Transportní technika - elektrohydraulická nosítka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Nadpis #1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2">
    <w:name w:val="Jiné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4">
    <w:name w:val="Základní text (3)_"/>
    <w:basedOn w:val="DefaultParagraphFont"/>
    <w:link w:val="Style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line="288" w:lineRule="auto"/>
      <w:ind w:left="300"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30" w:line="228" w:lineRule="auto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1">
    <w:name w:val="Jiné"/>
    <w:basedOn w:val="Normal"/>
    <w:link w:val="CharStyle22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3">
    <w:name w:val="Základní text (3)"/>
    <w:basedOn w:val="Normal"/>
    <w:link w:val="CharStyle44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