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D013B"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sz w:val="28"/>
          <w:szCs w:val="28"/>
          <w:highlight w:val="white"/>
        </w:rPr>
        <w:t>Smlouva</w:t>
      </w:r>
    </w:p>
    <w:p w14:paraId="00000002" w14:textId="77777777" w:rsidR="00FD013B" w:rsidRDefault="00FD013B">
      <w:pPr>
        <w:widowControl w:val="0"/>
        <w:pBdr>
          <w:top w:val="nil"/>
          <w:left w:val="nil"/>
          <w:bottom w:val="nil"/>
          <w:right w:val="nil"/>
          <w:between w:val="nil"/>
        </w:pBdr>
        <w:jc w:val="center"/>
        <w:rPr>
          <w:rFonts w:ascii="Arial" w:eastAsia="Arial" w:hAnsi="Arial" w:cs="Arial"/>
          <w:b/>
          <w:color w:val="000000"/>
          <w:highlight w:val="white"/>
        </w:rPr>
      </w:pPr>
    </w:p>
    <w:p w14:paraId="00000003" w14:textId="77777777" w:rsidR="00FD013B"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highlight w:val="white"/>
        </w:rPr>
        <w:t xml:space="preserve">I. </w:t>
      </w:r>
    </w:p>
    <w:p w14:paraId="00000004" w14:textId="77777777" w:rsidR="00FD013B"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highlight w:val="white"/>
        </w:rPr>
        <w:t>Subjekty</w:t>
      </w:r>
    </w:p>
    <w:p w14:paraId="00000005" w14:textId="77777777" w:rsidR="00FD013B" w:rsidRDefault="00FD013B">
      <w:pPr>
        <w:widowControl w:val="0"/>
        <w:pBdr>
          <w:top w:val="nil"/>
          <w:left w:val="nil"/>
          <w:bottom w:val="nil"/>
          <w:right w:val="nil"/>
          <w:between w:val="nil"/>
        </w:pBdr>
        <w:jc w:val="center"/>
        <w:rPr>
          <w:rFonts w:ascii="Arial" w:eastAsia="Arial" w:hAnsi="Arial" w:cs="Arial"/>
          <w:b/>
          <w:highlight w:val="white"/>
        </w:rPr>
      </w:pPr>
    </w:p>
    <w:p w14:paraId="00000006" w14:textId="77777777" w:rsidR="00FD013B" w:rsidRDefault="00000000">
      <w:pPr>
        <w:widowControl w:val="0"/>
        <w:jc w:val="both"/>
        <w:rPr>
          <w:rFonts w:ascii="Arial" w:eastAsia="Arial" w:hAnsi="Arial" w:cs="Arial"/>
          <w:b/>
          <w:highlight w:val="white"/>
        </w:rPr>
      </w:pPr>
      <w:r>
        <w:rPr>
          <w:rFonts w:ascii="Arial" w:eastAsia="Arial" w:hAnsi="Arial" w:cs="Arial"/>
          <w:b/>
          <w:highlight w:val="white"/>
        </w:rPr>
        <w:t xml:space="preserve">Centrum experimentálního divadla, příspěvková organizace – </w:t>
      </w:r>
      <w:proofErr w:type="spellStart"/>
      <w:r>
        <w:rPr>
          <w:rFonts w:ascii="Arial" w:eastAsia="Arial" w:hAnsi="Arial" w:cs="Arial"/>
          <w:b/>
          <w:highlight w:val="white"/>
        </w:rPr>
        <w:t>HaDivadlo</w:t>
      </w:r>
      <w:proofErr w:type="spellEnd"/>
      <w:r>
        <w:rPr>
          <w:rFonts w:ascii="Arial" w:eastAsia="Arial" w:hAnsi="Arial" w:cs="Arial"/>
          <w:b/>
          <w:highlight w:val="white"/>
        </w:rPr>
        <w:t>,</w:t>
      </w:r>
    </w:p>
    <w:p w14:paraId="00000007" w14:textId="77777777" w:rsidR="00FD013B" w:rsidRDefault="00000000">
      <w:pPr>
        <w:widowControl w:val="0"/>
        <w:jc w:val="both"/>
        <w:rPr>
          <w:rFonts w:ascii="Arial" w:eastAsia="Arial" w:hAnsi="Arial" w:cs="Arial"/>
          <w:highlight w:val="white"/>
        </w:rPr>
      </w:pPr>
      <w:r>
        <w:rPr>
          <w:rFonts w:ascii="Arial" w:eastAsia="Arial" w:hAnsi="Arial" w:cs="Arial"/>
          <w:highlight w:val="white"/>
        </w:rPr>
        <w:t>se sídlem Zelný trh 9, 602 00 Brno,</w:t>
      </w:r>
    </w:p>
    <w:p w14:paraId="00000008" w14:textId="77777777" w:rsidR="00FD013B" w:rsidRDefault="00000000">
      <w:pPr>
        <w:widowControl w:val="0"/>
        <w:jc w:val="both"/>
        <w:rPr>
          <w:rFonts w:ascii="Arial" w:eastAsia="Arial" w:hAnsi="Arial" w:cs="Arial"/>
          <w:highlight w:val="white"/>
        </w:rPr>
      </w:pPr>
      <w:r>
        <w:rPr>
          <w:rFonts w:ascii="Arial" w:eastAsia="Arial" w:hAnsi="Arial" w:cs="Arial"/>
          <w:highlight w:val="white"/>
        </w:rPr>
        <w:t>IČ: 00400921,</w:t>
      </w:r>
    </w:p>
    <w:p w14:paraId="00000009" w14:textId="77777777" w:rsidR="00FD013B" w:rsidRDefault="00000000">
      <w:pPr>
        <w:widowControl w:val="0"/>
        <w:jc w:val="both"/>
        <w:rPr>
          <w:rFonts w:ascii="Arial" w:eastAsia="Arial" w:hAnsi="Arial" w:cs="Arial"/>
          <w:highlight w:val="white"/>
        </w:rPr>
      </w:pPr>
      <w:r>
        <w:rPr>
          <w:rFonts w:ascii="Arial" w:eastAsia="Arial" w:hAnsi="Arial" w:cs="Arial"/>
          <w:highlight w:val="white"/>
        </w:rPr>
        <w:t>DIČ: CZ00400921,</w:t>
      </w:r>
    </w:p>
    <w:p w14:paraId="0000000A" w14:textId="330D3DEF" w:rsidR="00FD013B" w:rsidRDefault="00000000">
      <w:pPr>
        <w:widowControl w:val="0"/>
        <w:jc w:val="both"/>
        <w:rPr>
          <w:rFonts w:ascii="Arial" w:eastAsia="Arial" w:hAnsi="Arial" w:cs="Arial"/>
          <w:highlight w:val="white"/>
        </w:rPr>
      </w:pPr>
      <w:r>
        <w:rPr>
          <w:rFonts w:ascii="Arial" w:eastAsia="Arial" w:hAnsi="Arial" w:cs="Arial"/>
          <w:highlight w:val="white"/>
        </w:rPr>
        <w:t xml:space="preserve">bankovní spojení: </w:t>
      </w:r>
      <w:r w:rsidR="00210EB5">
        <w:rPr>
          <w:rFonts w:ascii="Arial" w:eastAsia="Arial" w:hAnsi="Arial" w:cs="Arial"/>
          <w:highlight w:val="white"/>
        </w:rPr>
        <w:t>XXX</w:t>
      </w:r>
    </w:p>
    <w:p w14:paraId="0000000B" w14:textId="77777777" w:rsidR="00FD013B" w:rsidRDefault="00000000">
      <w:pPr>
        <w:widowControl w:val="0"/>
        <w:jc w:val="both"/>
        <w:rPr>
          <w:rFonts w:ascii="Arial" w:eastAsia="Arial" w:hAnsi="Arial" w:cs="Arial"/>
          <w:highlight w:val="white"/>
        </w:rPr>
      </w:pPr>
      <w:r>
        <w:rPr>
          <w:rFonts w:ascii="Arial" w:eastAsia="Arial" w:hAnsi="Arial" w:cs="Arial"/>
          <w:highlight w:val="white"/>
        </w:rPr>
        <w:t xml:space="preserve">spisová značka </w:t>
      </w:r>
      <w:proofErr w:type="spellStart"/>
      <w:r>
        <w:rPr>
          <w:rFonts w:ascii="Arial" w:eastAsia="Arial" w:hAnsi="Arial" w:cs="Arial"/>
          <w:highlight w:val="white"/>
        </w:rPr>
        <w:t>Pr</w:t>
      </w:r>
      <w:proofErr w:type="spellEnd"/>
      <w:r>
        <w:rPr>
          <w:rFonts w:ascii="Arial" w:eastAsia="Arial" w:hAnsi="Arial" w:cs="Arial"/>
          <w:highlight w:val="white"/>
        </w:rPr>
        <w:t>. 29, Krajský soud v Brně,</w:t>
      </w:r>
    </w:p>
    <w:p w14:paraId="0000000C" w14:textId="77777777" w:rsidR="00FD013B" w:rsidRDefault="00000000">
      <w:pPr>
        <w:widowControl w:val="0"/>
        <w:jc w:val="both"/>
        <w:rPr>
          <w:rFonts w:ascii="Arial" w:eastAsia="Arial" w:hAnsi="Arial" w:cs="Arial"/>
          <w:highlight w:val="white"/>
        </w:rPr>
      </w:pPr>
      <w:r>
        <w:rPr>
          <w:rFonts w:ascii="Arial" w:eastAsia="Arial" w:hAnsi="Arial" w:cs="Arial"/>
          <w:highlight w:val="white"/>
        </w:rPr>
        <w:t xml:space="preserve">zastoupená MgA. Janem </w:t>
      </w:r>
      <w:proofErr w:type="spellStart"/>
      <w:r>
        <w:rPr>
          <w:rFonts w:ascii="Arial" w:eastAsia="Arial" w:hAnsi="Arial" w:cs="Arial"/>
          <w:highlight w:val="white"/>
        </w:rPr>
        <w:t>Búrikem</w:t>
      </w:r>
      <w:proofErr w:type="spellEnd"/>
      <w:r>
        <w:rPr>
          <w:rFonts w:ascii="Arial" w:eastAsia="Arial" w:hAnsi="Arial" w:cs="Arial"/>
          <w:highlight w:val="white"/>
        </w:rPr>
        <w:t xml:space="preserve">, ředitelem CED, </w:t>
      </w:r>
      <w:proofErr w:type="spellStart"/>
      <w:r>
        <w:rPr>
          <w:rFonts w:ascii="Arial" w:eastAsia="Arial" w:hAnsi="Arial" w:cs="Arial"/>
          <w:highlight w:val="white"/>
        </w:rPr>
        <w:t>p.o</w:t>
      </w:r>
      <w:proofErr w:type="spellEnd"/>
      <w:r>
        <w:rPr>
          <w:rFonts w:ascii="Arial" w:eastAsia="Arial" w:hAnsi="Arial" w:cs="Arial"/>
          <w:highlight w:val="white"/>
        </w:rPr>
        <w:t>.</w:t>
      </w:r>
    </w:p>
    <w:p w14:paraId="0000000D" w14:textId="77777777" w:rsidR="00FD013B" w:rsidRDefault="00000000">
      <w:pPr>
        <w:widowControl w:val="0"/>
        <w:jc w:val="both"/>
        <w:rPr>
          <w:rFonts w:ascii="Arial" w:eastAsia="Arial" w:hAnsi="Arial" w:cs="Arial"/>
          <w:highlight w:val="white"/>
        </w:rPr>
      </w:pPr>
      <w:r>
        <w:rPr>
          <w:rFonts w:ascii="Arial" w:eastAsia="Arial" w:hAnsi="Arial" w:cs="Arial"/>
          <w:highlight w:val="white"/>
        </w:rPr>
        <w:t>(dále jen CED-</w:t>
      </w:r>
      <w:proofErr w:type="spellStart"/>
      <w:r>
        <w:rPr>
          <w:rFonts w:ascii="Arial" w:eastAsia="Arial" w:hAnsi="Arial" w:cs="Arial"/>
          <w:highlight w:val="white"/>
        </w:rPr>
        <w:t>HaDivadlo</w:t>
      </w:r>
      <w:proofErr w:type="spellEnd"/>
      <w:r>
        <w:rPr>
          <w:rFonts w:ascii="Arial" w:eastAsia="Arial" w:hAnsi="Arial" w:cs="Arial"/>
          <w:highlight w:val="white"/>
        </w:rPr>
        <w:t>)</w:t>
      </w:r>
    </w:p>
    <w:p w14:paraId="0000000E" w14:textId="77777777" w:rsidR="00FD013B" w:rsidRDefault="00FD013B">
      <w:pPr>
        <w:widowControl w:val="0"/>
        <w:jc w:val="both"/>
        <w:rPr>
          <w:rFonts w:ascii="Arial" w:eastAsia="Arial" w:hAnsi="Arial" w:cs="Arial"/>
          <w:b/>
          <w:highlight w:val="white"/>
        </w:rPr>
      </w:pPr>
    </w:p>
    <w:p w14:paraId="0000000F" w14:textId="77777777" w:rsidR="00FD013B" w:rsidRDefault="00FD013B">
      <w:pPr>
        <w:widowControl w:val="0"/>
        <w:pBdr>
          <w:top w:val="nil"/>
          <w:left w:val="nil"/>
          <w:bottom w:val="nil"/>
          <w:right w:val="nil"/>
          <w:between w:val="nil"/>
        </w:pBdr>
        <w:jc w:val="both"/>
        <w:rPr>
          <w:rFonts w:ascii="Arial" w:eastAsia="Arial" w:hAnsi="Arial" w:cs="Arial"/>
          <w:color w:val="000000"/>
          <w:highlight w:val="white"/>
        </w:rPr>
      </w:pPr>
    </w:p>
    <w:p w14:paraId="00000010" w14:textId="77777777" w:rsidR="00FD013B" w:rsidRDefault="00000000">
      <w:pPr>
        <w:widowControl w:val="0"/>
        <w:pBdr>
          <w:top w:val="nil"/>
          <w:left w:val="nil"/>
          <w:bottom w:val="nil"/>
          <w:right w:val="nil"/>
          <w:between w:val="nil"/>
        </w:pBdr>
        <w:jc w:val="both"/>
        <w:rPr>
          <w:rFonts w:ascii="Arial" w:eastAsia="Arial" w:hAnsi="Arial" w:cs="Arial"/>
          <w:color w:val="000000"/>
          <w:highlight w:val="white"/>
        </w:rPr>
      </w:pPr>
      <w:r>
        <w:rPr>
          <w:rFonts w:ascii="Arial" w:eastAsia="Arial" w:hAnsi="Arial" w:cs="Arial"/>
          <w:color w:val="000000"/>
          <w:highlight w:val="white"/>
        </w:rPr>
        <w:t>a</w:t>
      </w:r>
    </w:p>
    <w:p w14:paraId="00000011" w14:textId="77777777" w:rsidR="00FD013B" w:rsidRDefault="00FD013B">
      <w:pPr>
        <w:widowControl w:val="0"/>
        <w:pBdr>
          <w:top w:val="nil"/>
          <w:left w:val="nil"/>
          <w:bottom w:val="nil"/>
          <w:right w:val="nil"/>
          <w:between w:val="nil"/>
        </w:pBdr>
        <w:jc w:val="both"/>
        <w:rPr>
          <w:rFonts w:ascii="Arial" w:eastAsia="Arial" w:hAnsi="Arial" w:cs="Arial"/>
          <w:color w:val="000000"/>
          <w:highlight w:val="white"/>
        </w:rPr>
      </w:pPr>
    </w:p>
    <w:p w14:paraId="00000012" w14:textId="77777777" w:rsidR="00FD013B" w:rsidRDefault="00000000">
      <w:pPr>
        <w:jc w:val="both"/>
        <w:rPr>
          <w:rFonts w:ascii="Arial" w:eastAsia="Arial" w:hAnsi="Arial" w:cs="Arial"/>
          <w:b/>
          <w:color w:val="222222"/>
          <w:highlight w:val="white"/>
        </w:rPr>
      </w:pPr>
      <w:r>
        <w:rPr>
          <w:rFonts w:ascii="Arial" w:eastAsia="Arial" w:hAnsi="Arial" w:cs="Arial"/>
          <w:b/>
          <w:color w:val="222222"/>
          <w:highlight w:val="white"/>
        </w:rPr>
        <w:t>Diecézní charita Brno</w:t>
      </w:r>
    </w:p>
    <w:p w14:paraId="00000013" w14:textId="77777777" w:rsidR="00FD013B" w:rsidRDefault="00000000">
      <w:pPr>
        <w:jc w:val="both"/>
        <w:rPr>
          <w:rFonts w:ascii="Arial" w:eastAsia="Arial" w:hAnsi="Arial" w:cs="Arial"/>
          <w:color w:val="222222"/>
          <w:highlight w:val="white"/>
        </w:rPr>
      </w:pPr>
      <w:r>
        <w:rPr>
          <w:rFonts w:ascii="Arial" w:eastAsia="Arial" w:hAnsi="Arial" w:cs="Arial"/>
          <w:color w:val="222222"/>
          <w:highlight w:val="white"/>
        </w:rPr>
        <w:t>se sídlem třída Kpt. Jaroše 1928/9</w:t>
      </w:r>
    </w:p>
    <w:p w14:paraId="00000014" w14:textId="77777777" w:rsidR="00FD013B" w:rsidRDefault="00000000">
      <w:pPr>
        <w:jc w:val="both"/>
        <w:rPr>
          <w:rFonts w:ascii="Arial" w:eastAsia="Arial" w:hAnsi="Arial" w:cs="Arial"/>
          <w:color w:val="222222"/>
          <w:highlight w:val="white"/>
        </w:rPr>
      </w:pPr>
      <w:r>
        <w:rPr>
          <w:rFonts w:ascii="Arial" w:eastAsia="Arial" w:hAnsi="Arial" w:cs="Arial"/>
          <w:color w:val="222222"/>
          <w:highlight w:val="white"/>
        </w:rPr>
        <w:t>602 00 Brno</w:t>
      </w:r>
    </w:p>
    <w:p w14:paraId="00000015" w14:textId="77777777" w:rsidR="00FD013B" w:rsidRDefault="00000000">
      <w:pPr>
        <w:jc w:val="both"/>
        <w:rPr>
          <w:rFonts w:ascii="Arial" w:eastAsia="Arial" w:hAnsi="Arial" w:cs="Arial"/>
          <w:color w:val="222222"/>
          <w:highlight w:val="white"/>
        </w:rPr>
      </w:pPr>
      <w:r>
        <w:rPr>
          <w:rFonts w:ascii="Arial" w:eastAsia="Arial" w:hAnsi="Arial" w:cs="Arial"/>
          <w:color w:val="222222"/>
          <w:highlight w:val="white"/>
        </w:rPr>
        <w:t>DIČ: CZ44990260</w:t>
      </w:r>
    </w:p>
    <w:p w14:paraId="00000016" w14:textId="77777777" w:rsidR="00FD013B" w:rsidRDefault="00000000">
      <w:pPr>
        <w:jc w:val="both"/>
        <w:rPr>
          <w:rFonts w:ascii="Arial" w:eastAsia="Arial" w:hAnsi="Arial" w:cs="Arial"/>
          <w:color w:val="222222"/>
          <w:highlight w:val="white"/>
        </w:rPr>
      </w:pPr>
      <w:r>
        <w:rPr>
          <w:rFonts w:ascii="Arial" w:eastAsia="Arial" w:hAnsi="Arial" w:cs="Arial"/>
          <w:color w:val="222222"/>
          <w:highlight w:val="white"/>
        </w:rPr>
        <w:t>IČ:44990260</w:t>
      </w:r>
    </w:p>
    <w:p w14:paraId="00000017" w14:textId="5BB2312A" w:rsidR="00FD013B" w:rsidRDefault="00000000">
      <w:pPr>
        <w:jc w:val="both"/>
        <w:rPr>
          <w:rFonts w:ascii="Arial" w:eastAsia="Arial" w:hAnsi="Arial" w:cs="Arial"/>
          <w:color w:val="222222"/>
          <w:highlight w:val="white"/>
        </w:rPr>
      </w:pPr>
      <w:r>
        <w:rPr>
          <w:rFonts w:ascii="Arial" w:eastAsia="Arial" w:hAnsi="Arial" w:cs="Arial"/>
          <w:color w:val="222222"/>
          <w:highlight w:val="white"/>
        </w:rPr>
        <w:t xml:space="preserve">bankovní spojení: </w:t>
      </w:r>
      <w:r w:rsidR="00210EB5">
        <w:rPr>
          <w:rFonts w:ascii="Arial" w:eastAsia="Arial" w:hAnsi="Arial" w:cs="Arial"/>
          <w:color w:val="222222"/>
          <w:highlight w:val="white"/>
        </w:rPr>
        <w:t>XXX</w:t>
      </w:r>
    </w:p>
    <w:p w14:paraId="00000018" w14:textId="555ECF1F" w:rsidR="00FD013B" w:rsidRDefault="00000000">
      <w:pPr>
        <w:jc w:val="both"/>
        <w:rPr>
          <w:rFonts w:ascii="Arial" w:eastAsia="Arial" w:hAnsi="Arial" w:cs="Arial"/>
          <w:color w:val="222222"/>
          <w:highlight w:val="white"/>
        </w:rPr>
      </w:pPr>
      <w:r>
        <w:rPr>
          <w:rFonts w:ascii="Arial" w:eastAsia="Arial" w:hAnsi="Arial" w:cs="Arial"/>
          <w:color w:val="222222"/>
          <w:highlight w:val="white"/>
        </w:rPr>
        <w:t xml:space="preserve">zastoupená: ředitelem </w:t>
      </w:r>
      <w:r w:rsidR="00210EB5">
        <w:rPr>
          <w:rFonts w:ascii="Arial" w:eastAsia="Arial" w:hAnsi="Arial" w:cs="Arial"/>
          <w:color w:val="222222"/>
          <w:highlight w:val="white"/>
        </w:rPr>
        <w:t>XXX</w:t>
      </w:r>
    </w:p>
    <w:p w14:paraId="00000019" w14:textId="77777777" w:rsidR="00FD013B" w:rsidRDefault="00FD013B">
      <w:pPr>
        <w:jc w:val="both"/>
        <w:rPr>
          <w:rFonts w:ascii="Arial" w:eastAsia="Arial" w:hAnsi="Arial" w:cs="Arial"/>
          <w:color w:val="222222"/>
          <w:highlight w:val="white"/>
        </w:rPr>
      </w:pPr>
    </w:p>
    <w:p w14:paraId="0000001A" w14:textId="77777777" w:rsidR="00FD013B" w:rsidRDefault="00FD013B">
      <w:pPr>
        <w:jc w:val="both"/>
        <w:rPr>
          <w:rFonts w:ascii="Arial" w:eastAsia="Arial" w:hAnsi="Arial" w:cs="Arial"/>
          <w:color w:val="222222"/>
          <w:highlight w:val="white"/>
        </w:rPr>
      </w:pPr>
    </w:p>
    <w:p w14:paraId="0000001B" w14:textId="77777777" w:rsidR="00FD013B" w:rsidRDefault="00FD013B">
      <w:pPr>
        <w:ind w:right="-226" w:hanging="2"/>
        <w:jc w:val="both"/>
        <w:rPr>
          <w:rFonts w:ascii="Arial" w:eastAsia="Arial" w:hAnsi="Arial" w:cs="Arial"/>
          <w:b/>
          <w:highlight w:val="white"/>
        </w:rPr>
      </w:pPr>
    </w:p>
    <w:p w14:paraId="0000001C" w14:textId="77777777" w:rsidR="00FD013B" w:rsidRDefault="00FD013B">
      <w:pPr>
        <w:widowControl w:val="0"/>
        <w:jc w:val="both"/>
        <w:rPr>
          <w:rFonts w:ascii="Arial" w:eastAsia="Arial" w:hAnsi="Arial" w:cs="Arial"/>
          <w:highlight w:val="white"/>
        </w:rPr>
      </w:pPr>
    </w:p>
    <w:p w14:paraId="0000001D" w14:textId="77777777" w:rsidR="00FD013B"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highlight w:val="white"/>
        </w:rPr>
        <w:t>II.</w:t>
      </w:r>
    </w:p>
    <w:p w14:paraId="0000001E" w14:textId="77777777" w:rsidR="00FD013B" w:rsidRDefault="00000000">
      <w:pPr>
        <w:widowControl w:val="0"/>
        <w:pBdr>
          <w:top w:val="nil"/>
          <w:left w:val="nil"/>
          <w:bottom w:val="nil"/>
          <w:right w:val="nil"/>
          <w:between w:val="nil"/>
        </w:pBdr>
        <w:jc w:val="center"/>
        <w:rPr>
          <w:rFonts w:ascii="Arial" w:eastAsia="Arial" w:hAnsi="Arial" w:cs="Arial"/>
          <w:color w:val="000000"/>
          <w:highlight w:val="white"/>
        </w:rPr>
      </w:pPr>
      <w:r>
        <w:rPr>
          <w:rFonts w:ascii="Arial" w:eastAsia="Arial" w:hAnsi="Arial" w:cs="Arial"/>
          <w:b/>
          <w:color w:val="000000"/>
          <w:highlight w:val="white"/>
        </w:rPr>
        <w:t>Předmět smlouvy</w:t>
      </w:r>
    </w:p>
    <w:p w14:paraId="0000001F"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sz w:val="24"/>
          <w:szCs w:val="24"/>
          <w:highlight w:val="white"/>
        </w:rPr>
      </w:pPr>
      <w:r>
        <w:rPr>
          <w:rFonts w:ascii="Arial" w:eastAsia="Arial" w:hAnsi="Arial" w:cs="Arial"/>
          <w:color w:val="000000"/>
          <w:highlight w:val="white"/>
        </w:rPr>
        <w:tab/>
        <w:t>Předmětem smlouvy je sehrání divadelního představení CED-</w:t>
      </w:r>
      <w:proofErr w:type="spellStart"/>
      <w:proofErr w:type="gramStart"/>
      <w:r>
        <w:rPr>
          <w:rFonts w:ascii="Arial" w:eastAsia="Arial" w:hAnsi="Arial" w:cs="Arial"/>
          <w:color w:val="000000"/>
          <w:highlight w:val="white"/>
        </w:rPr>
        <w:t>HaDivadla,a</w:t>
      </w:r>
      <w:proofErr w:type="spellEnd"/>
      <w:proofErr w:type="gramEnd"/>
      <w:r>
        <w:rPr>
          <w:rFonts w:ascii="Arial" w:eastAsia="Arial" w:hAnsi="Arial" w:cs="Arial"/>
          <w:color w:val="000000"/>
          <w:highlight w:val="white"/>
        </w:rPr>
        <w:t xml:space="preserve"> to</w:t>
      </w:r>
      <w:r>
        <w:rPr>
          <w:rFonts w:ascii="Arial" w:eastAsia="Arial" w:hAnsi="Arial" w:cs="Arial"/>
          <w:b/>
          <w:highlight w:val="white"/>
        </w:rPr>
        <w:t xml:space="preserve"> Doma u Hitlerů aneb Historky z </w:t>
      </w:r>
      <w:proofErr w:type="spellStart"/>
      <w:r>
        <w:rPr>
          <w:rFonts w:ascii="Arial" w:eastAsia="Arial" w:hAnsi="Arial" w:cs="Arial"/>
          <w:b/>
          <w:highlight w:val="white"/>
        </w:rPr>
        <w:t>Hitlerovic</w:t>
      </w:r>
      <w:proofErr w:type="spellEnd"/>
      <w:r>
        <w:rPr>
          <w:rFonts w:ascii="Arial" w:eastAsia="Arial" w:hAnsi="Arial" w:cs="Arial"/>
          <w:b/>
          <w:highlight w:val="white"/>
        </w:rPr>
        <w:t xml:space="preserve"> kuchyně </w:t>
      </w:r>
      <w:r>
        <w:rPr>
          <w:rFonts w:ascii="Arial" w:eastAsia="Arial" w:hAnsi="Arial" w:cs="Arial"/>
          <w:color w:val="000000"/>
          <w:highlight w:val="white"/>
        </w:rPr>
        <w:t>v prostorách</w:t>
      </w:r>
      <w:r>
        <w:rPr>
          <w:rFonts w:ascii="Arial" w:eastAsia="Arial" w:hAnsi="Arial" w:cs="Arial"/>
          <w:highlight w:val="white"/>
        </w:rPr>
        <w:t xml:space="preserve"> Národního domu v Třebíči.</w:t>
      </w:r>
    </w:p>
    <w:p w14:paraId="00000020"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sz w:val="24"/>
          <w:szCs w:val="24"/>
          <w:highlight w:val="white"/>
        </w:rPr>
      </w:pPr>
    </w:p>
    <w:p w14:paraId="00000021" w14:textId="77777777" w:rsidR="00FD013B"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III.</w:t>
      </w:r>
    </w:p>
    <w:p w14:paraId="00000022" w14:textId="77777777" w:rsidR="00FD013B" w:rsidRDefault="00000000">
      <w:pPr>
        <w:widowControl w:val="0"/>
        <w:pBdr>
          <w:top w:val="nil"/>
          <w:left w:val="nil"/>
          <w:bottom w:val="nil"/>
          <w:right w:val="nil"/>
          <w:between w:val="nil"/>
        </w:pBdr>
        <w:tabs>
          <w:tab w:val="left" w:pos="300"/>
        </w:tabs>
        <w:jc w:val="center"/>
        <w:rPr>
          <w:rFonts w:ascii="Arial" w:eastAsia="Arial" w:hAnsi="Arial" w:cs="Arial"/>
          <w:color w:val="000000"/>
          <w:highlight w:val="white"/>
        </w:rPr>
      </w:pPr>
      <w:r>
        <w:rPr>
          <w:rFonts w:ascii="Arial" w:eastAsia="Arial" w:hAnsi="Arial" w:cs="Arial"/>
          <w:b/>
          <w:color w:val="000000"/>
          <w:highlight w:val="white"/>
        </w:rPr>
        <w:t>Práva a povinnosti</w:t>
      </w:r>
    </w:p>
    <w:p w14:paraId="00000023" w14:textId="4970B084"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CED-</w:t>
      </w:r>
      <w:proofErr w:type="spellStart"/>
      <w:proofErr w:type="gramStart"/>
      <w:r>
        <w:rPr>
          <w:rFonts w:ascii="Arial" w:eastAsia="Arial" w:hAnsi="Arial" w:cs="Arial"/>
          <w:color w:val="000000"/>
          <w:highlight w:val="white"/>
        </w:rPr>
        <w:t>HaDivadlo</w:t>
      </w:r>
      <w:proofErr w:type="spellEnd"/>
      <w:r>
        <w:rPr>
          <w:rFonts w:ascii="Arial" w:eastAsia="Arial" w:hAnsi="Arial" w:cs="Arial"/>
          <w:color w:val="000000"/>
          <w:highlight w:val="white"/>
        </w:rPr>
        <w:t xml:space="preserve">  se</w:t>
      </w:r>
      <w:proofErr w:type="gramEnd"/>
      <w:r>
        <w:rPr>
          <w:rFonts w:ascii="Arial" w:eastAsia="Arial" w:hAnsi="Arial" w:cs="Arial"/>
          <w:color w:val="000000"/>
          <w:highlight w:val="white"/>
        </w:rPr>
        <w:t xml:space="preserve">  zavazuje  zajistit  sehrání  výše  uvedeného  představení  v prostorách  objednatele,  a to dne</w:t>
      </w:r>
      <w:r>
        <w:rPr>
          <w:rFonts w:ascii="Arial" w:eastAsia="Arial" w:hAnsi="Arial" w:cs="Arial"/>
          <w:b/>
          <w:color w:val="000000"/>
          <w:highlight w:val="white"/>
        </w:rPr>
        <w:t xml:space="preserve"> </w:t>
      </w:r>
      <w:r>
        <w:rPr>
          <w:rFonts w:ascii="Arial" w:eastAsia="Arial" w:hAnsi="Arial" w:cs="Arial"/>
          <w:b/>
          <w:highlight w:val="white"/>
        </w:rPr>
        <w:t>30.</w:t>
      </w:r>
      <w:r>
        <w:rPr>
          <w:rFonts w:ascii="Arial" w:eastAsia="Arial" w:hAnsi="Arial" w:cs="Arial"/>
          <w:b/>
          <w:color w:val="000000"/>
          <w:highlight w:val="white"/>
        </w:rPr>
        <w:t xml:space="preserve"> </w:t>
      </w:r>
      <w:r>
        <w:rPr>
          <w:rFonts w:ascii="Arial" w:eastAsia="Arial" w:hAnsi="Arial" w:cs="Arial"/>
          <w:b/>
          <w:highlight w:val="white"/>
        </w:rPr>
        <w:t>května</w:t>
      </w:r>
      <w:r>
        <w:rPr>
          <w:rFonts w:ascii="Arial" w:eastAsia="Arial" w:hAnsi="Arial" w:cs="Arial"/>
          <w:b/>
          <w:color w:val="000000"/>
          <w:highlight w:val="white"/>
        </w:rPr>
        <w:t xml:space="preserve"> 20</w:t>
      </w:r>
      <w:r>
        <w:rPr>
          <w:rFonts w:ascii="Arial" w:eastAsia="Arial" w:hAnsi="Arial" w:cs="Arial"/>
          <w:b/>
          <w:highlight w:val="white"/>
        </w:rPr>
        <w:t>25</w:t>
      </w:r>
      <w:r>
        <w:rPr>
          <w:rFonts w:ascii="Arial" w:eastAsia="Arial" w:hAnsi="Arial" w:cs="Arial"/>
          <w:b/>
          <w:color w:val="000000"/>
          <w:highlight w:val="white"/>
        </w:rPr>
        <w:t xml:space="preserve"> od</w:t>
      </w:r>
      <w:r>
        <w:rPr>
          <w:rFonts w:ascii="Arial" w:eastAsia="Arial" w:hAnsi="Arial" w:cs="Arial"/>
          <w:b/>
        </w:rPr>
        <w:t xml:space="preserve"> 19</w:t>
      </w:r>
      <w:r>
        <w:rPr>
          <w:rFonts w:ascii="Arial" w:eastAsia="Arial" w:hAnsi="Arial" w:cs="Arial"/>
          <w:b/>
          <w:color w:val="000000"/>
        </w:rPr>
        <w:t>.00 hod.</w:t>
      </w:r>
      <w:r>
        <w:rPr>
          <w:rFonts w:ascii="Arial" w:eastAsia="Arial" w:hAnsi="Arial" w:cs="Arial"/>
          <w:color w:val="000000"/>
        </w:rPr>
        <w:t xml:space="preserve"> P</w:t>
      </w:r>
      <w:r>
        <w:rPr>
          <w:rFonts w:ascii="Arial" w:eastAsia="Arial" w:hAnsi="Arial" w:cs="Arial"/>
          <w:color w:val="000000"/>
          <w:highlight w:val="white"/>
        </w:rPr>
        <w:t xml:space="preserve">ředstavení bude sehráno obvyklým způsobem. Za tím účelem dopraví z Brna do </w:t>
      </w:r>
      <w:r w:rsidR="00E24792">
        <w:rPr>
          <w:rFonts w:ascii="Arial" w:eastAsia="Arial" w:hAnsi="Arial" w:cs="Arial"/>
          <w:highlight w:val="white"/>
        </w:rPr>
        <w:t>Třebíče</w:t>
      </w:r>
      <w:r>
        <w:rPr>
          <w:rFonts w:ascii="Arial" w:eastAsia="Arial" w:hAnsi="Arial" w:cs="Arial"/>
          <w:highlight w:val="white"/>
        </w:rPr>
        <w:t xml:space="preserve"> </w:t>
      </w:r>
      <w:r>
        <w:rPr>
          <w:rFonts w:ascii="Arial" w:eastAsia="Arial" w:hAnsi="Arial" w:cs="Arial"/>
          <w:color w:val="000000"/>
          <w:highlight w:val="white"/>
        </w:rPr>
        <w:t>vlastními dopravními prostředky dekorace, rekvizity, kostýmy. CED-</w:t>
      </w:r>
      <w:proofErr w:type="spellStart"/>
      <w:r>
        <w:rPr>
          <w:rFonts w:ascii="Arial" w:eastAsia="Arial" w:hAnsi="Arial" w:cs="Arial"/>
          <w:color w:val="000000"/>
          <w:highlight w:val="white"/>
        </w:rPr>
        <w:t>HaDivadlo</w:t>
      </w:r>
      <w:proofErr w:type="spellEnd"/>
      <w:r>
        <w:rPr>
          <w:rFonts w:ascii="Arial" w:eastAsia="Arial" w:hAnsi="Arial" w:cs="Arial"/>
          <w:color w:val="000000"/>
          <w:highlight w:val="white"/>
        </w:rPr>
        <w:t xml:space="preserve"> dále zajistí dopravu uměleckého souboru a technických pracovníků. CED-</w:t>
      </w:r>
      <w:proofErr w:type="spellStart"/>
      <w:r>
        <w:rPr>
          <w:rFonts w:ascii="Arial" w:eastAsia="Arial" w:hAnsi="Arial" w:cs="Arial"/>
          <w:color w:val="000000"/>
          <w:highlight w:val="white"/>
        </w:rPr>
        <w:t>HaDivadlo</w:t>
      </w:r>
      <w:proofErr w:type="spellEnd"/>
      <w:r>
        <w:rPr>
          <w:rFonts w:ascii="Arial" w:eastAsia="Arial" w:hAnsi="Arial" w:cs="Arial"/>
          <w:color w:val="000000"/>
          <w:highlight w:val="white"/>
        </w:rPr>
        <w:t xml:space="preserve"> zajistí včasnost příjezdu uměleckého souboru, technických pracovníků i dekorací, rekvizit a kostýmů.</w:t>
      </w:r>
    </w:p>
    <w:p w14:paraId="00000024"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25" w14:textId="77777777" w:rsidR="00FD013B" w:rsidRDefault="00000000">
      <w:pPr>
        <w:widowControl w:val="0"/>
        <w:pBdr>
          <w:top w:val="nil"/>
          <w:left w:val="nil"/>
          <w:bottom w:val="nil"/>
          <w:right w:val="nil"/>
          <w:between w:val="nil"/>
        </w:pBdr>
        <w:tabs>
          <w:tab w:val="left" w:pos="300"/>
        </w:tabs>
        <w:jc w:val="both"/>
        <w:rPr>
          <w:sz w:val="24"/>
          <w:szCs w:val="24"/>
          <w:highlight w:val="white"/>
        </w:rPr>
      </w:pPr>
      <w:r>
        <w:rPr>
          <w:rFonts w:ascii="Arial" w:eastAsia="Arial" w:hAnsi="Arial" w:cs="Arial"/>
          <w:highlight w:val="white"/>
        </w:rPr>
        <w:tab/>
      </w:r>
      <w:r>
        <w:rPr>
          <w:rFonts w:ascii="Arial" w:eastAsia="Arial" w:hAnsi="Arial" w:cs="Arial"/>
          <w:b/>
          <w:highlight w:val="white"/>
        </w:rPr>
        <w:t xml:space="preserve">Technické podmínky: </w:t>
      </w:r>
    </w:p>
    <w:p w14:paraId="00000026" w14:textId="77777777" w:rsidR="00FD013B" w:rsidRDefault="00000000">
      <w:pPr>
        <w:widowControl w:val="0"/>
        <w:tabs>
          <w:tab w:val="left" w:pos="300"/>
        </w:tabs>
        <w:jc w:val="both"/>
        <w:rPr>
          <w:rFonts w:ascii="Arial" w:eastAsia="Arial" w:hAnsi="Arial" w:cs="Arial"/>
          <w:b/>
          <w:highlight w:val="white"/>
        </w:rPr>
      </w:pPr>
      <w:r>
        <w:rPr>
          <w:rFonts w:ascii="Arial" w:eastAsia="Arial" w:hAnsi="Arial" w:cs="Arial"/>
          <w:highlight w:val="white"/>
        </w:rPr>
        <w:t xml:space="preserve">Příjezd techniky a přesný časový harmonogram stavby a souborové zkoušky budou dojednány mezi styčnými pracovníky ve shodě </w:t>
      </w:r>
      <w:proofErr w:type="gramStart"/>
      <w:r>
        <w:rPr>
          <w:rFonts w:ascii="Arial" w:eastAsia="Arial" w:hAnsi="Arial" w:cs="Arial"/>
          <w:highlight w:val="white"/>
        </w:rPr>
        <w:t>obou dvou</w:t>
      </w:r>
      <w:proofErr w:type="gramEnd"/>
      <w:r>
        <w:rPr>
          <w:rFonts w:ascii="Arial" w:eastAsia="Arial" w:hAnsi="Arial" w:cs="Arial"/>
          <w:highlight w:val="white"/>
        </w:rPr>
        <w:t xml:space="preserve"> stran. Sál bude vyklizen bez prodlevy po odehrání představení.</w:t>
      </w:r>
    </w:p>
    <w:p w14:paraId="00000027"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je povinen zajistit vhodné pracovní prostředí (šatny, umývárny) dle dispozic CED-</w:t>
      </w:r>
      <w:proofErr w:type="spellStart"/>
      <w:r>
        <w:rPr>
          <w:rFonts w:ascii="Arial" w:eastAsia="Arial" w:hAnsi="Arial" w:cs="Arial"/>
          <w:color w:val="000000"/>
          <w:highlight w:val="white"/>
        </w:rPr>
        <w:t>HaDivadla</w:t>
      </w:r>
      <w:proofErr w:type="spellEnd"/>
      <w:r>
        <w:rPr>
          <w:rFonts w:ascii="Arial" w:eastAsia="Arial" w:hAnsi="Arial" w:cs="Arial"/>
          <w:color w:val="000000"/>
          <w:highlight w:val="white"/>
        </w:rPr>
        <w:t>.</w:t>
      </w:r>
    </w:p>
    <w:p w14:paraId="00000028"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je dále povinen učinit veškerá obvyklá a přiměřená pořadatelská opatření k zajištění řádného a včasného živého provozování představení.</w:t>
      </w:r>
    </w:p>
    <w:p w14:paraId="00000029"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zajistí na vlastní náklady účelnou a dostatečnou propagaci pomocí plakátů, rozhlasu, tisku aj. způsobem.</w:t>
      </w:r>
    </w:p>
    <w:p w14:paraId="0000002A"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v den konání představení zajistí na vlastní náklady pořadatelskou, pokladní, technickou a požární službu tak, aby nebyl jakýmkoliv způsobem zdržen nebo ohrožen průběh představení, jinak odpovídá za vzniklou škodu.</w:t>
      </w:r>
    </w:p>
    <w:p w14:paraId="0000002B"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je povinen zajistit dodržení technických požadavků dle zvláštních ujednání.</w:t>
      </w:r>
    </w:p>
    <w:p w14:paraId="0000002C"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 xml:space="preserve">Objednatel se zavazuje zajistit možnost vykládky a nakládky dekorací, rekvizit a kostýmů před divadlem. </w:t>
      </w:r>
    </w:p>
    <w:p w14:paraId="0000002D" w14:textId="77777777" w:rsidR="00FD013B" w:rsidRDefault="00FD013B">
      <w:pPr>
        <w:widowControl w:val="0"/>
        <w:pBdr>
          <w:top w:val="nil"/>
          <w:left w:val="nil"/>
          <w:bottom w:val="nil"/>
          <w:right w:val="nil"/>
          <w:between w:val="nil"/>
        </w:pBdr>
        <w:tabs>
          <w:tab w:val="left" w:pos="300"/>
        </w:tabs>
        <w:jc w:val="both"/>
        <w:rPr>
          <w:color w:val="000000"/>
          <w:sz w:val="24"/>
          <w:szCs w:val="24"/>
          <w:highlight w:val="white"/>
        </w:rPr>
      </w:pPr>
    </w:p>
    <w:p w14:paraId="0000002E"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222222"/>
          <w:highlight w:val="white"/>
        </w:rPr>
      </w:pPr>
      <w:r>
        <w:rPr>
          <w:rFonts w:ascii="Arial" w:eastAsia="Arial" w:hAnsi="Arial" w:cs="Arial"/>
          <w:highlight w:val="white"/>
        </w:rPr>
        <w:t>Objednatel se zavazuje zaplatit:</w:t>
      </w:r>
    </w:p>
    <w:p w14:paraId="072EE188" w14:textId="1BAC1E97" w:rsidR="00E24792" w:rsidRPr="00E24792" w:rsidRDefault="00000000" w:rsidP="00E24792">
      <w:pPr>
        <w:widowControl w:val="0"/>
        <w:numPr>
          <w:ilvl w:val="0"/>
          <w:numId w:val="1"/>
        </w:numPr>
        <w:pBdr>
          <w:top w:val="nil"/>
          <w:left w:val="nil"/>
          <w:bottom w:val="nil"/>
          <w:right w:val="nil"/>
          <w:between w:val="nil"/>
        </w:pBdr>
        <w:tabs>
          <w:tab w:val="left" w:pos="300"/>
        </w:tabs>
        <w:spacing w:before="240"/>
        <w:jc w:val="both"/>
        <w:rPr>
          <w:rFonts w:ascii="Arial" w:eastAsia="Arial" w:hAnsi="Arial" w:cs="Arial"/>
          <w:color w:val="222222"/>
          <w:highlight w:val="white"/>
        </w:rPr>
      </w:pPr>
      <w:proofErr w:type="gramStart"/>
      <w:r>
        <w:rPr>
          <w:rFonts w:ascii="Arial" w:eastAsia="Arial" w:hAnsi="Arial" w:cs="Arial"/>
          <w:color w:val="222222"/>
          <w:highlight w:val="white"/>
        </w:rPr>
        <w:t xml:space="preserve">CED - </w:t>
      </w:r>
      <w:proofErr w:type="spellStart"/>
      <w:r>
        <w:rPr>
          <w:rFonts w:ascii="Arial" w:eastAsia="Arial" w:hAnsi="Arial" w:cs="Arial"/>
          <w:color w:val="222222"/>
          <w:highlight w:val="white"/>
        </w:rPr>
        <w:t>HaDivadlu</w:t>
      </w:r>
      <w:proofErr w:type="spellEnd"/>
      <w:proofErr w:type="gramEnd"/>
      <w:r>
        <w:rPr>
          <w:rFonts w:ascii="Arial" w:eastAsia="Arial" w:hAnsi="Arial" w:cs="Arial"/>
          <w:color w:val="222222"/>
          <w:highlight w:val="white"/>
        </w:rPr>
        <w:t xml:space="preserve"> honorář za představení ve výši 70 000 Kč (</w:t>
      </w:r>
      <w:proofErr w:type="spellStart"/>
      <w:r>
        <w:rPr>
          <w:rFonts w:ascii="Arial" w:eastAsia="Arial" w:hAnsi="Arial" w:cs="Arial"/>
          <w:color w:val="222222"/>
          <w:highlight w:val="white"/>
        </w:rPr>
        <w:t>sedmdesáttisíc</w:t>
      </w:r>
      <w:proofErr w:type="spellEnd"/>
      <w:r>
        <w:rPr>
          <w:rFonts w:ascii="Arial" w:eastAsia="Arial" w:hAnsi="Arial" w:cs="Arial"/>
          <w:color w:val="222222"/>
          <w:highlight w:val="white"/>
        </w:rPr>
        <w:t xml:space="preserve"> korun českých)</w:t>
      </w:r>
    </w:p>
    <w:p w14:paraId="00000030" w14:textId="77777777" w:rsidR="00FD013B" w:rsidRDefault="00000000">
      <w:pPr>
        <w:widowControl w:val="0"/>
        <w:numPr>
          <w:ilvl w:val="0"/>
          <w:numId w:val="1"/>
        </w:numPr>
        <w:pBdr>
          <w:top w:val="nil"/>
          <w:left w:val="nil"/>
          <w:bottom w:val="nil"/>
          <w:right w:val="nil"/>
          <w:between w:val="nil"/>
        </w:pBdr>
        <w:tabs>
          <w:tab w:val="left" w:pos="300"/>
        </w:tabs>
        <w:spacing w:before="240"/>
        <w:jc w:val="both"/>
        <w:rPr>
          <w:rFonts w:ascii="Arial" w:eastAsia="Arial" w:hAnsi="Arial" w:cs="Arial"/>
          <w:color w:val="222222"/>
          <w:highlight w:val="white"/>
        </w:rPr>
      </w:pPr>
      <w:r>
        <w:rPr>
          <w:rFonts w:ascii="Arial" w:eastAsia="Arial" w:hAnsi="Arial" w:cs="Arial"/>
          <w:color w:val="222222"/>
          <w:highlight w:val="white"/>
        </w:rPr>
        <w:t>Poplatky agenturám - 12% Aura-pont</w:t>
      </w:r>
    </w:p>
    <w:p w14:paraId="00000031" w14:textId="77777777" w:rsidR="00FD013B" w:rsidRDefault="00FD013B">
      <w:pPr>
        <w:widowControl w:val="0"/>
        <w:pBdr>
          <w:top w:val="nil"/>
          <w:left w:val="nil"/>
          <w:bottom w:val="nil"/>
          <w:right w:val="nil"/>
          <w:between w:val="nil"/>
        </w:pBdr>
        <w:tabs>
          <w:tab w:val="left" w:pos="300"/>
        </w:tabs>
        <w:spacing w:after="240"/>
        <w:ind w:left="720"/>
        <w:jc w:val="both"/>
        <w:rPr>
          <w:rFonts w:ascii="Arial" w:eastAsia="Arial" w:hAnsi="Arial" w:cs="Arial"/>
          <w:color w:val="222222"/>
          <w:highlight w:val="white"/>
        </w:rPr>
      </w:pPr>
    </w:p>
    <w:p w14:paraId="00000032" w14:textId="293B3407" w:rsidR="00FD013B" w:rsidRDefault="00E24792">
      <w:pPr>
        <w:widowControl w:val="0"/>
        <w:tabs>
          <w:tab w:val="left" w:pos="300"/>
        </w:tabs>
        <w:spacing w:before="240" w:after="240"/>
        <w:jc w:val="both"/>
        <w:rPr>
          <w:rFonts w:ascii="Arial" w:eastAsia="Arial" w:hAnsi="Arial" w:cs="Arial"/>
          <w:b/>
          <w:color w:val="000000"/>
          <w:highlight w:val="white"/>
        </w:rPr>
      </w:pPr>
      <w:r w:rsidRPr="00210EB5">
        <w:rPr>
          <w:rFonts w:ascii="Arial" w:eastAsia="Arial" w:hAnsi="Arial" w:cs="Arial"/>
        </w:rPr>
        <w:t xml:space="preserve">Smluvená částka je konečná a nepodléhá DPH. </w:t>
      </w:r>
      <w:r>
        <w:rPr>
          <w:rFonts w:ascii="Arial" w:eastAsia="Arial" w:hAnsi="Arial" w:cs="Arial"/>
          <w:highlight w:val="white"/>
        </w:rPr>
        <w:t>Celková smluvená částka bude zaplacena na základě faktury vystavené CED-</w:t>
      </w:r>
      <w:proofErr w:type="spellStart"/>
      <w:r>
        <w:rPr>
          <w:rFonts w:ascii="Arial" w:eastAsia="Arial" w:hAnsi="Arial" w:cs="Arial"/>
          <w:highlight w:val="white"/>
        </w:rPr>
        <w:t>HaDivadlem</w:t>
      </w:r>
      <w:proofErr w:type="spellEnd"/>
      <w:r>
        <w:rPr>
          <w:rFonts w:ascii="Arial" w:eastAsia="Arial" w:hAnsi="Arial" w:cs="Arial"/>
          <w:highlight w:val="white"/>
        </w:rPr>
        <w:t xml:space="preserve"> se splatností 14 dní od data vystavení.</w:t>
      </w:r>
      <w:r>
        <w:rPr>
          <w:rFonts w:ascii="Arial" w:eastAsia="Arial" w:hAnsi="Arial" w:cs="Arial"/>
          <w:color w:val="000000"/>
          <w:highlight w:val="white"/>
        </w:rPr>
        <w:t xml:space="preserve"> Právo fakturovat vzniká okamžikem realizace představení. Pro případ prodlení s úhradou peněžního závazku, který vznikl na základě této smlouvy, se sjednává úrok z prodlení ve výši 0,05 % z dlužné částky za každý den prodlení. Nárok na náhradu škody podle ustanovení zákona č. 89/2012 Sb., občanský zákoník, ve znění pozdějších předpisů tím není dotčen. Penále z prodlení faktury se neplatí za dobu, po kterou bylo zdržení proveditelné platby způsobeno peněžním ústavem. </w:t>
      </w:r>
    </w:p>
    <w:p w14:paraId="00000033" w14:textId="77777777" w:rsidR="00FD013B" w:rsidRDefault="00FD013B">
      <w:pPr>
        <w:widowControl w:val="0"/>
        <w:pBdr>
          <w:top w:val="nil"/>
          <w:left w:val="nil"/>
          <w:bottom w:val="nil"/>
          <w:right w:val="nil"/>
          <w:between w:val="nil"/>
        </w:pBdr>
        <w:tabs>
          <w:tab w:val="left" w:pos="300"/>
        </w:tabs>
        <w:jc w:val="center"/>
        <w:rPr>
          <w:rFonts w:ascii="Arial" w:eastAsia="Arial" w:hAnsi="Arial" w:cs="Arial"/>
          <w:b/>
          <w:color w:val="000000"/>
          <w:highlight w:val="white"/>
        </w:rPr>
      </w:pPr>
    </w:p>
    <w:p w14:paraId="00000034" w14:textId="77777777" w:rsidR="00FD013B" w:rsidRDefault="00FD013B">
      <w:pPr>
        <w:widowControl w:val="0"/>
        <w:pBdr>
          <w:top w:val="nil"/>
          <w:left w:val="nil"/>
          <w:bottom w:val="nil"/>
          <w:right w:val="nil"/>
          <w:between w:val="nil"/>
        </w:pBdr>
        <w:tabs>
          <w:tab w:val="left" w:pos="300"/>
        </w:tabs>
        <w:jc w:val="center"/>
        <w:rPr>
          <w:rFonts w:ascii="Arial" w:eastAsia="Arial" w:hAnsi="Arial" w:cs="Arial"/>
          <w:b/>
          <w:color w:val="000000"/>
          <w:highlight w:val="white"/>
        </w:rPr>
      </w:pPr>
    </w:p>
    <w:p w14:paraId="00000035" w14:textId="77777777" w:rsidR="00FD013B" w:rsidRDefault="00FD013B">
      <w:pPr>
        <w:widowControl w:val="0"/>
        <w:pBdr>
          <w:top w:val="nil"/>
          <w:left w:val="nil"/>
          <w:bottom w:val="nil"/>
          <w:right w:val="nil"/>
          <w:between w:val="nil"/>
        </w:pBdr>
        <w:tabs>
          <w:tab w:val="left" w:pos="300"/>
        </w:tabs>
        <w:rPr>
          <w:rFonts w:ascii="Arial" w:eastAsia="Arial" w:hAnsi="Arial" w:cs="Arial"/>
          <w:b/>
          <w:color w:val="000000"/>
          <w:highlight w:val="white"/>
        </w:rPr>
      </w:pPr>
    </w:p>
    <w:p w14:paraId="00000036" w14:textId="77777777" w:rsidR="00FD013B"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IV.</w:t>
      </w:r>
    </w:p>
    <w:p w14:paraId="00000037" w14:textId="77777777" w:rsidR="00FD013B" w:rsidRDefault="00000000">
      <w:pPr>
        <w:widowControl w:val="0"/>
        <w:pBdr>
          <w:top w:val="nil"/>
          <w:left w:val="nil"/>
          <w:bottom w:val="nil"/>
          <w:right w:val="nil"/>
          <w:between w:val="nil"/>
        </w:pBdr>
        <w:tabs>
          <w:tab w:val="left" w:pos="300"/>
        </w:tabs>
        <w:jc w:val="center"/>
        <w:rPr>
          <w:rFonts w:ascii="Arial" w:eastAsia="Arial" w:hAnsi="Arial" w:cs="Arial"/>
          <w:color w:val="000000"/>
          <w:highlight w:val="white"/>
        </w:rPr>
      </w:pPr>
      <w:r>
        <w:rPr>
          <w:rFonts w:ascii="Arial" w:eastAsia="Arial" w:hAnsi="Arial" w:cs="Arial"/>
          <w:b/>
          <w:color w:val="000000"/>
          <w:highlight w:val="white"/>
        </w:rPr>
        <w:t>Odpovědnost za škodu a náhrada škody</w:t>
      </w:r>
    </w:p>
    <w:p w14:paraId="00000038"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Odpovědnost smluvních stran za škodu a jejich povinnost k náhradě této škody se řídí ustanoveními § 2895 s násl. a dále ustanovením § 2913 odst. 1 a 2 </w:t>
      </w:r>
      <w:proofErr w:type="gramStart"/>
      <w:r>
        <w:rPr>
          <w:rFonts w:ascii="Arial" w:eastAsia="Arial" w:hAnsi="Arial" w:cs="Arial"/>
          <w:color w:val="000000"/>
          <w:highlight w:val="white"/>
        </w:rPr>
        <w:t>zákona .</w:t>
      </w:r>
      <w:proofErr w:type="gramEnd"/>
      <w:r>
        <w:rPr>
          <w:rFonts w:ascii="Arial" w:eastAsia="Arial" w:hAnsi="Arial" w:cs="Arial"/>
          <w:color w:val="000000"/>
          <w:highlight w:val="white"/>
        </w:rPr>
        <w:t xml:space="preserve"> 89/2012 Sb., občanský zákoník, ve znění pozdějších předpisů.</w:t>
      </w:r>
    </w:p>
    <w:p w14:paraId="00000039"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Za okolnost vylučující odpovědnost stran za škodu se považuje překážka, která nastane nezávisle na vůli povinné strany (např. nemoc povinného umělce nebo úmrtí osoby blízké, úřední mimořádné opatření při epidemii, živelní pohroma, stávka aj.) a bude povinné straně bránit ve splnění její povinnosti, jestliže nelze předpokládat, že by povinná strana tuto překážku nebo její důsledky odvrátila </w:t>
      </w:r>
      <w:proofErr w:type="gramStart"/>
      <w:r>
        <w:rPr>
          <w:rFonts w:ascii="Arial" w:eastAsia="Arial" w:hAnsi="Arial" w:cs="Arial"/>
          <w:color w:val="000000"/>
          <w:highlight w:val="white"/>
        </w:rPr>
        <w:t>a nebo</w:t>
      </w:r>
      <w:proofErr w:type="gramEnd"/>
      <w:r>
        <w:rPr>
          <w:rFonts w:ascii="Arial" w:eastAsia="Arial" w:hAnsi="Arial" w:cs="Arial"/>
          <w:color w:val="000000"/>
          <w:highlight w:val="white"/>
        </w:rPr>
        <w:t xml:space="preserve"> překonala, a dále, že by v době uzavření smlouvy tuto překážku předvídala (okolnost vis maior).</w:t>
      </w:r>
    </w:p>
    <w:p w14:paraId="0000003A"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Účinky vylučující odpovědnost jsou omezeny pouze na dobu, po kterou bude trvat překážka, s níž jsou její účinky spojeny.</w:t>
      </w:r>
    </w:p>
    <w:p w14:paraId="0000003B"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Překážkou vylučující odpovědnost stran za škodu není skutečnost, která vznikne teprve v době, kdy je povinná strana v prodlení </w:t>
      </w:r>
      <w:proofErr w:type="gramStart"/>
      <w:r>
        <w:rPr>
          <w:rFonts w:ascii="Arial" w:eastAsia="Arial" w:hAnsi="Arial" w:cs="Arial"/>
          <w:color w:val="000000"/>
          <w:highlight w:val="white"/>
        </w:rPr>
        <w:t>s</w:t>
      </w:r>
      <w:proofErr w:type="gramEnd"/>
      <w:r>
        <w:rPr>
          <w:rFonts w:ascii="Arial" w:eastAsia="Arial" w:hAnsi="Arial" w:cs="Arial"/>
          <w:color w:val="000000"/>
          <w:highlight w:val="white"/>
        </w:rPr>
        <w:t xml:space="preserve"> plnění své povinnosti, nebo která vznikne z hospodářských poměrů smluvních stran.</w:t>
      </w:r>
    </w:p>
    <w:p w14:paraId="0000003C"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Za překážku vylučující odpovědnost se dále rovněž nepovažuje nezájem či malý zájem veřejnosti o návštěvu dohodnutého představení nebo nepřízeň počasí, nejde-li o případ </w:t>
      </w:r>
      <w:proofErr w:type="gramStart"/>
      <w:r>
        <w:rPr>
          <w:rFonts w:ascii="Arial" w:eastAsia="Arial" w:hAnsi="Arial" w:cs="Arial"/>
          <w:color w:val="000000"/>
          <w:highlight w:val="white"/>
        </w:rPr>
        <w:t>živelné</w:t>
      </w:r>
      <w:proofErr w:type="gramEnd"/>
      <w:r>
        <w:rPr>
          <w:rFonts w:ascii="Arial" w:eastAsia="Arial" w:hAnsi="Arial" w:cs="Arial"/>
          <w:color w:val="000000"/>
          <w:highlight w:val="white"/>
        </w:rPr>
        <w:t xml:space="preserve"> pohromy či okolnosti vis maior.</w:t>
      </w:r>
    </w:p>
    <w:p w14:paraId="0000003D"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Další skutečnosti zde neuvedené se řídí podle obecných právních předpisů, zejména podle zákona č. 89/2012 Sb., občanský zákoník, ve znění pozdějších předpisů.</w:t>
      </w:r>
    </w:p>
    <w:p w14:paraId="0000003E"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3F" w14:textId="77777777" w:rsidR="00FD013B"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V.</w:t>
      </w:r>
    </w:p>
    <w:p w14:paraId="00000040" w14:textId="77777777" w:rsidR="00FD013B"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Závěrečná ustanovení</w:t>
      </w:r>
    </w:p>
    <w:p w14:paraId="00000041" w14:textId="77777777" w:rsidR="00FD013B" w:rsidRDefault="00000000">
      <w:pPr>
        <w:widowControl w:val="0"/>
        <w:ind w:firstLine="284"/>
        <w:jc w:val="both"/>
        <w:rPr>
          <w:rFonts w:ascii="Arial" w:eastAsia="Arial" w:hAnsi="Arial" w:cs="Arial"/>
          <w:highlight w:val="white"/>
        </w:rPr>
      </w:pPr>
      <w:r>
        <w:rPr>
          <w:rFonts w:ascii="Arial" w:eastAsia="Arial" w:hAnsi="Arial" w:cs="Arial"/>
          <w:highlight w:val="white"/>
        </w:rPr>
        <w:t>Smluvní strany prohlašují, že skutečnosti uvedené v této smlouvě nepovažují za důvěrné ani za obchodní tajemství a udělují svolení k jejich užití a zveřejnění bez stanovení jakýchkoliv dalších podmínek.</w:t>
      </w:r>
    </w:p>
    <w:p w14:paraId="00000042" w14:textId="77777777" w:rsidR="00FD013B" w:rsidRDefault="00000000">
      <w:pPr>
        <w:widowControl w:val="0"/>
        <w:ind w:firstLine="284"/>
        <w:jc w:val="both"/>
        <w:rPr>
          <w:rFonts w:ascii="Arial" w:eastAsia="Arial" w:hAnsi="Arial" w:cs="Arial"/>
          <w:highlight w:val="white"/>
        </w:rPr>
      </w:pPr>
      <w:r>
        <w:rPr>
          <w:rFonts w:ascii="Arial" w:eastAsia="Arial" w:hAnsi="Arial" w:cs="Arial"/>
          <w:highlight w:val="white"/>
        </w:rPr>
        <w:t xml:space="preserve">Ke smlouvě se váže povinnost jejího uveřejnění v registru smluv dle zákona č. 340/2015 Sb., v platném znění (zákon o registru smluv). Smluvní strany souhlasí bez výhrad s uveřejněním této smlouvy v registru smluv, při dodržení podmínek stanovených zákonem č. 110/2019 Sb., o zpracování osobních údajů, ve znění pozdějších předpisů. Smlouvu zašle do registru smluv CED – </w:t>
      </w:r>
      <w:proofErr w:type="spellStart"/>
      <w:r>
        <w:rPr>
          <w:rFonts w:ascii="Arial" w:eastAsia="Arial" w:hAnsi="Arial" w:cs="Arial"/>
          <w:highlight w:val="white"/>
        </w:rPr>
        <w:t>HaDivadlo</w:t>
      </w:r>
      <w:proofErr w:type="spellEnd"/>
      <w:r>
        <w:rPr>
          <w:rFonts w:ascii="Arial" w:eastAsia="Arial" w:hAnsi="Arial" w:cs="Arial"/>
          <w:highlight w:val="white"/>
        </w:rPr>
        <w:t>.</w:t>
      </w:r>
    </w:p>
    <w:p w14:paraId="00000043"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Tato smlouva je vyhotovena ve dvou stejnopisech, přičemž každá ze smluvních stran obdrží po jednom vyhotovení. Jakékoliv změny či doplňky této smlouvy jsou možné pouze písemným dodatkem. Smlouva nabývá platnosti dnem podpisu obou smluvních stran.</w:t>
      </w:r>
    </w:p>
    <w:p w14:paraId="00000044"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Smluvní strany prohlašují, že tato smlouva je projevem jejich pravé, shodné a svobodné vůle. Prohlašují, že si smlouvu před jejím podpisem přečetli, že porozuměli jejímu obsahu a s jejím obsahem souhlasí.</w:t>
      </w:r>
    </w:p>
    <w:p w14:paraId="00000045"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6"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7"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8"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V Brně dne</w:t>
      </w:r>
      <w:r>
        <w:rPr>
          <w:rFonts w:ascii="Arial" w:eastAsia="Arial" w:hAnsi="Arial" w:cs="Arial"/>
          <w:highlight w:val="white"/>
        </w:rPr>
        <w:tab/>
      </w:r>
      <w:r>
        <w:rPr>
          <w:rFonts w:ascii="Arial" w:eastAsia="Arial" w:hAnsi="Arial" w:cs="Arial"/>
          <w:color w:val="000000"/>
          <w:highlight w:val="white"/>
        </w:rPr>
        <w:tab/>
        <w:t xml:space="preserve">                                             </w:t>
      </w:r>
      <w:r>
        <w:rPr>
          <w:rFonts w:ascii="Arial" w:eastAsia="Arial" w:hAnsi="Arial" w:cs="Arial"/>
          <w:color w:val="000000"/>
          <w:highlight w:val="white"/>
        </w:rPr>
        <w:tab/>
        <w:t xml:space="preserve">     V</w:t>
      </w:r>
      <w:r>
        <w:rPr>
          <w:rFonts w:ascii="Arial" w:eastAsia="Arial" w:hAnsi="Arial" w:cs="Arial"/>
          <w:highlight w:val="white"/>
        </w:rPr>
        <w:t xml:space="preserve"> Třebíči </w:t>
      </w:r>
      <w:r>
        <w:rPr>
          <w:rFonts w:ascii="Arial" w:eastAsia="Arial" w:hAnsi="Arial" w:cs="Arial"/>
          <w:color w:val="000000"/>
          <w:highlight w:val="white"/>
        </w:rPr>
        <w:t xml:space="preserve">dne </w:t>
      </w:r>
    </w:p>
    <w:p w14:paraId="00000049"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A"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color w:val="000000"/>
          <w:highlight w:val="white"/>
        </w:rPr>
        <w:tab/>
        <w:t xml:space="preserve"> </w:t>
      </w:r>
      <w:r>
        <w:rPr>
          <w:rFonts w:ascii="Arial" w:eastAsia="Arial" w:hAnsi="Arial" w:cs="Arial"/>
          <w:color w:val="000000"/>
          <w:highlight w:val="white"/>
        </w:rPr>
        <w:tab/>
      </w:r>
    </w:p>
    <w:p w14:paraId="0000004B"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C"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D"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E" w14:textId="77777777" w:rsidR="00FD013B" w:rsidRDefault="00FD013B">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F" w14:textId="77777777" w:rsidR="00FD013B"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                        ….....................................................................</w:t>
      </w:r>
    </w:p>
    <w:p w14:paraId="00000050" w14:textId="5CD2D5C1" w:rsidR="00FD013B" w:rsidRDefault="00000000">
      <w:pPr>
        <w:widowControl w:val="0"/>
        <w:pBdr>
          <w:top w:val="nil"/>
          <w:left w:val="nil"/>
          <w:bottom w:val="nil"/>
          <w:right w:val="nil"/>
          <w:between w:val="nil"/>
        </w:pBdr>
        <w:tabs>
          <w:tab w:val="left" w:pos="300"/>
        </w:tabs>
        <w:jc w:val="both"/>
        <w:rPr>
          <w:rFonts w:ascii="Arial" w:eastAsia="Arial" w:hAnsi="Arial" w:cs="Arial"/>
          <w:highlight w:val="white"/>
        </w:rPr>
      </w:pPr>
      <w:r>
        <w:rPr>
          <w:rFonts w:ascii="Arial" w:eastAsia="Arial" w:hAnsi="Arial" w:cs="Arial"/>
          <w:highlight w:val="white"/>
        </w:rPr>
        <w:t xml:space="preserve">MgA. Jan </w:t>
      </w:r>
      <w:proofErr w:type="spellStart"/>
      <w:r>
        <w:rPr>
          <w:rFonts w:ascii="Arial" w:eastAsia="Arial" w:hAnsi="Arial" w:cs="Arial"/>
          <w:highlight w:val="white"/>
        </w:rPr>
        <w:t>Búrik</w:t>
      </w:r>
      <w:proofErr w:type="spellEnd"/>
      <w:r>
        <w:rPr>
          <w:rFonts w:ascii="Arial" w:eastAsia="Arial" w:hAnsi="Arial" w:cs="Arial"/>
          <w:highlight w:val="white"/>
        </w:rPr>
        <w:t xml:space="preserve">, ředitel CED, </w:t>
      </w:r>
      <w:proofErr w:type="spellStart"/>
      <w:r>
        <w:rPr>
          <w:rFonts w:ascii="Arial" w:eastAsia="Arial" w:hAnsi="Arial" w:cs="Arial"/>
          <w:highlight w:val="white"/>
        </w:rPr>
        <w:t>p.o</w:t>
      </w:r>
      <w:proofErr w:type="spellEnd"/>
      <w:r>
        <w:rPr>
          <w:rFonts w:ascii="Arial" w:eastAsia="Arial" w:hAnsi="Arial" w:cs="Arial"/>
          <w:highlight w:val="white"/>
        </w:rPr>
        <w:t>.</w:t>
      </w:r>
      <w:r>
        <w:rPr>
          <w:rFonts w:ascii="Arial" w:eastAsia="Arial" w:hAnsi="Arial" w:cs="Arial"/>
          <w:color w:val="000000"/>
          <w:highlight w:val="white"/>
        </w:rPr>
        <w:t xml:space="preserve">               </w:t>
      </w:r>
      <w:r>
        <w:rPr>
          <w:rFonts w:ascii="Arial" w:eastAsia="Arial" w:hAnsi="Arial" w:cs="Arial"/>
          <w:color w:val="000000"/>
          <w:highlight w:val="white"/>
        </w:rPr>
        <w:tab/>
        <w:t xml:space="preserve">      </w:t>
      </w:r>
      <w:r>
        <w:rPr>
          <w:rFonts w:ascii="Arial" w:eastAsia="Arial" w:hAnsi="Arial" w:cs="Arial"/>
          <w:highlight w:val="white"/>
        </w:rPr>
        <w:t xml:space="preserve">           </w:t>
      </w:r>
      <w:r w:rsidR="00210EB5">
        <w:rPr>
          <w:rFonts w:ascii="Arial" w:eastAsia="Arial" w:hAnsi="Arial" w:cs="Arial"/>
          <w:highlight w:val="white"/>
        </w:rPr>
        <w:t>XXX</w:t>
      </w:r>
    </w:p>
    <w:p w14:paraId="00000051" w14:textId="77777777" w:rsidR="00FD013B" w:rsidRDefault="00FD013B">
      <w:pPr>
        <w:widowControl w:val="0"/>
        <w:pBdr>
          <w:top w:val="nil"/>
          <w:left w:val="nil"/>
          <w:bottom w:val="nil"/>
          <w:right w:val="nil"/>
          <w:between w:val="nil"/>
        </w:pBdr>
        <w:tabs>
          <w:tab w:val="left" w:pos="300"/>
        </w:tabs>
        <w:jc w:val="both"/>
        <w:rPr>
          <w:rFonts w:ascii="Arial" w:eastAsia="Arial" w:hAnsi="Arial" w:cs="Arial"/>
          <w:highlight w:val="white"/>
        </w:rPr>
      </w:pPr>
    </w:p>
    <w:sectPr w:rsidR="00FD013B">
      <w:headerReference w:type="default" r:id="rId8"/>
      <w:footerReference w:type="even" r:id="rId9"/>
      <w:footerReference w:type="default" r:id="rId10"/>
      <w:headerReference w:type="first" r:id="rId11"/>
      <w:footerReference w:type="first" r:id="rId12"/>
      <w:pgSz w:w="11906" w:h="16838"/>
      <w:pgMar w:top="1457" w:right="1134" w:bottom="1204" w:left="1134"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1741" w14:textId="77777777" w:rsidR="00BC139A" w:rsidRDefault="00BC139A">
      <w:r>
        <w:separator/>
      </w:r>
    </w:p>
  </w:endnote>
  <w:endnote w:type="continuationSeparator" w:id="0">
    <w:p w14:paraId="0306613C" w14:textId="77777777" w:rsidR="00BC139A" w:rsidRDefault="00BC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FD013B" w:rsidRDefault="00FD013B">
    <w:pPr>
      <w:widowControl w:val="0"/>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FD013B" w:rsidRDefault="00000000">
    <w:pPr>
      <w:widowControl w:val="0"/>
      <w:pBdr>
        <w:top w:val="nil"/>
        <w:left w:val="nil"/>
        <w:bottom w:val="nil"/>
        <w:right w:val="nil"/>
        <w:between w:val="nil"/>
      </w:pBdr>
      <w:jc w:val="center"/>
      <w:rPr>
        <w:color w:val="000000"/>
        <w:sz w:val="24"/>
        <w:szCs w:val="24"/>
      </w:rPr>
    </w:pPr>
    <w:r>
      <w:rPr>
        <w:rFonts w:ascii="Arial" w:eastAsia="Arial" w:hAnsi="Arial" w:cs="Arial"/>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FD013B" w:rsidRDefault="00FD013B">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F290" w14:textId="77777777" w:rsidR="00BC139A" w:rsidRDefault="00BC139A">
      <w:r>
        <w:separator/>
      </w:r>
    </w:p>
  </w:footnote>
  <w:footnote w:type="continuationSeparator" w:id="0">
    <w:p w14:paraId="38289982" w14:textId="77777777" w:rsidR="00BC139A" w:rsidRDefault="00BC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FD013B"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rPr>
      <w:t xml:space="preserve">CENTRUM EXPERIMENTÁLNÍHO DIVADLA, PŘÍSPĚVKOVÁ ORGANIZACE – </w:t>
    </w:r>
    <w:proofErr w:type="spellStart"/>
    <w:r>
      <w:rPr>
        <w:rFonts w:ascii="Arial" w:eastAsia="Arial" w:hAnsi="Arial" w:cs="Arial"/>
        <w:b/>
        <w:color w:val="000000"/>
      </w:rPr>
      <w:t>HaDivadlo</w:t>
    </w:r>
    <w:proofErr w:type="spellEnd"/>
  </w:p>
  <w:p w14:paraId="00000053" w14:textId="77777777" w:rsidR="00FD013B" w:rsidRDefault="00000000">
    <w:pPr>
      <w:widowControl w:val="0"/>
      <w:pBdr>
        <w:top w:val="nil"/>
        <w:left w:val="nil"/>
        <w:bottom w:val="nil"/>
        <w:right w:val="nil"/>
        <w:between w:val="nil"/>
      </w:pBdr>
      <w:jc w:val="center"/>
      <w:rPr>
        <w:color w:val="000000"/>
        <w:sz w:val="24"/>
        <w:szCs w:val="24"/>
      </w:rPr>
    </w:pPr>
    <w:r>
      <w:rPr>
        <w:rFonts w:ascii="Arial" w:eastAsia="Arial" w:hAnsi="Arial" w:cs="Arial"/>
        <w:b/>
        <w:color w:val="000000"/>
        <w:sz w:val="18"/>
        <w:szCs w:val="18"/>
      </w:rPr>
      <w:t xml:space="preserve">Alfa pasáž, Poštovská </w:t>
    </w:r>
    <w:proofErr w:type="gramStart"/>
    <w:r>
      <w:rPr>
        <w:rFonts w:ascii="Arial" w:eastAsia="Arial" w:hAnsi="Arial" w:cs="Arial"/>
        <w:b/>
        <w:color w:val="000000"/>
        <w:sz w:val="18"/>
        <w:szCs w:val="18"/>
      </w:rPr>
      <w:t>8d</w:t>
    </w:r>
    <w:proofErr w:type="gramEnd"/>
    <w:r>
      <w:rPr>
        <w:rFonts w:ascii="Arial" w:eastAsia="Arial" w:hAnsi="Arial" w:cs="Arial"/>
        <w:b/>
        <w:color w:val="000000"/>
        <w:sz w:val="18"/>
        <w:szCs w:val="18"/>
      </w:rPr>
      <w:t>, Brno, tel.: 542 212 761, produkce@hadivadlo.cz, www.hadivadlo.cz, Česká republika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FD013B" w:rsidRDefault="00FD013B">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D2864"/>
    <w:multiLevelType w:val="multilevel"/>
    <w:tmpl w:val="624A4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562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3B"/>
    <w:rsid w:val="00210EB5"/>
    <w:rsid w:val="004C5269"/>
    <w:rsid w:val="004D25AF"/>
    <w:rsid w:val="00A82EBB"/>
    <w:rsid w:val="00BC139A"/>
    <w:rsid w:val="00E24792"/>
    <w:rsid w:val="00FD0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61AF"/>
  <w15:docId w15:val="{A53C455B-38AA-DB45-88DF-5730BDB9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rsid w:val="00576AAE"/>
  </w:style>
  <w:style w:type="paragraph" w:styleId="Odstavecseseznamem">
    <w:name w:val="List Paragraph"/>
    <w:basedOn w:val="Normln"/>
    <w:uiPriority w:val="34"/>
    <w:qFormat/>
    <w:rsid w:val="0095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Qnd4UfFQEDFffTmuhotwWalFw==">CgMxLjA4AHIhMUJxa3AtRGJWZENsc2VfOUYyLUZrd003U1UxU2hPSWNI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4967</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Petr</dc:creator>
  <cp:lastModifiedBy>Ondřej Petr</cp:lastModifiedBy>
  <cp:revision>2</cp:revision>
  <dcterms:created xsi:type="dcterms:W3CDTF">2025-03-11T10:10:00Z</dcterms:created>
  <dcterms:modified xsi:type="dcterms:W3CDTF">2025-03-11T10:10:00Z</dcterms:modified>
</cp:coreProperties>
</file>