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272" w:h="370" w:wrap="none" w:hAnchor="page" w:x="789" w:y="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Příloha č.1 - Servisní plán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(2025)</w:t>
      </w:r>
    </w:p>
    <w:p>
      <w:pPr>
        <w:pStyle w:val="Style2"/>
        <w:keepNext w:val="0"/>
        <w:keepLines w:val="0"/>
        <w:framePr w:w="1570" w:h="360" w:wrap="none" w:hAnchor="page" w:x="7384" w:y="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SZPI Praha</w:t>
      </w:r>
    </w:p>
    <w:p>
      <w:pPr>
        <w:pStyle w:val="Style5"/>
        <w:keepNext w:val="0"/>
        <w:keepLines w:val="0"/>
        <w:framePr w:w="1603" w:h="355" w:wrap="none" w:hAnchor="page" w:x="1450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</w:rPr>
        <w:t>Atlas Copco</w:t>
      </w:r>
    </w:p>
    <w:p>
      <w:pPr>
        <w:widowControl w:val="0"/>
        <w:spacing w:after="46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89" w:left="788" w:right="716" w:bottom="3512" w:header="161" w:footer="3084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589" w:left="0" w:right="0" w:bottom="589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542"/>
        <w:gridCol w:w="2837"/>
        <w:gridCol w:w="1133"/>
        <w:gridCol w:w="994"/>
        <w:gridCol w:w="2549"/>
        <w:gridCol w:w="854"/>
        <w:gridCol w:w="706"/>
        <w:gridCol w:w="2126"/>
        <w:gridCol w:w="994"/>
        <w:gridCol w:w="994"/>
        <w:gridCol w:w="1570"/>
      </w:tblGrid>
      <w:tr>
        <w:trPr>
          <w:trHeight w:val="821" w:hRule="exact"/>
        </w:trPr>
        <w:tc>
          <w:tcPr>
            <w:tcBorders/>
            <w:shd w:val="clear" w:color="auto" w:fill="0099C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0099CB"/>
            <w:vAlign w:val="center"/>
          </w:tcPr>
          <w:p>
            <w:pPr>
              <w:pStyle w:val="Style7"/>
              <w:keepNext w:val="0"/>
              <w:keepLines w:val="0"/>
              <w:widowControl w:val="0"/>
              <w:pBdr>
                <w:top w:val="single" w:sz="0" w:space="0" w:color="0099CB"/>
                <w:left w:val="single" w:sz="0" w:space="0" w:color="0099CB"/>
                <w:bottom w:val="single" w:sz="0" w:space="0" w:color="0099CB"/>
                <w:right w:val="single" w:sz="0" w:space="0" w:color="0099CB"/>
              </w:pBdr>
              <w:shd w:val="clear" w:color="auto" w:fill="0099CB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 Narrow" w:eastAsia="Arial Narrow" w:hAnsi="Arial Narrow" w:cs="Arial Narrow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0099CB"/>
            <w:vAlign w:val="center"/>
          </w:tcPr>
          <w:p>
            <w:pPr>
              <w:pStyle w:val="Style7"/>
              <w:keepNext w:val="0"/>
              <w:keepLines w:val="0"/>
              <w:widowControl w:val="0"/>
              <w:pBdr>
                <w:top w:val="single" w:sz="0" w:space="0" w:color="0099CB"/>
                <w:left w:val="single" w:sz="0" w:space="0" w:color="0099CB"/>
                <w:bottom w:val="single" w:sz="0" w:space="0" w:color="0099CB"/>
                <w:right w:val="single" w:sz="0" w:space="0" w:color="0099CB"/>
              </w:pBdr>
              <w:shd w:val="clear" w:color="auto" w:fill="0099CB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 Narrow" w:eastAsia="Arial Narrow" w:hAnsi="Arial Narrow" w:cs="Arial Narrow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Výrobní číslo</w:t>
            </w:r>
          </w:p>
        </w:tc>
        <w:tc>
          <w:tcPr>
            <w:tcBorders/>
            <w:shd w:val="clear" w:color="auto" w:fill="0099CB"/>
            <w:vAlign w:val="center"/>
          </w:tcPr>
          <w:p>
            <w:pPr>
              <w:pStyle w:val="Style7"/>
              <w:keepNext w:val="0"/>
              <w:keepLines w:val="0"/>
              <w:widowControl w:val="0"/>
              <w:pBdr>
                <w:top w:val="single" w:sz="0" w:space="0" w:color="0099CB"/>
                <w:left w:val="single" w:sz="0" w:space="0" w:color="0099CB"/>
                <w:bottom w:val="single" w:sz="0" w:space="0" w:color="0099CB"/>
                <w:right w:val="single" w:sz="0" w:space="0" w:color="0099CB"/>
              </w:pBdr>
              <w:shd w:val="clear" w:color="auto" w:fill="0099CB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 Narrow" w:eastAsia="Arial Narrow" w:hAnsi="Arial Narrow" w:cs="Arial Narrow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Provozní hodiny za rok</w:t>
            </w:r>
          </w:p>
        </w:tc>
        <w:tc>
          <w:tcPr>
            <w:tcBorders/>
            <w:shd w:val="clear" w:color="auto" w:fill="0099CB"/>
            <w:vAlign w:val="center"/>
          </w:tcPr>
          <w:p>
            <w:pPr>
              <w:pStyle w:val="Style7"/>
              <w:keepNext w:val="0"/>
              <w:keepLines w:val="0"/>
              <w:widowControl w:val="0"/>
              <w:pBdr>
                <w:top w:val="single" w:sz="0" w:space="0" w:color="0099CB"/>
                <w:left w:val="single" w:sz="0" w:space="0" w:color="0099CB"/>
                <w:bottom w:val="single" w:sz="0" w:space="0" w:color="0099CB"/>
                <w:right w:val="single" w:sz="0" w:space="0" w:color="0099CB"/>
              </w:pBdr>
              <w:shd w:val="clear" w:color="auto" w:fill="0099CB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 Narrow" w:eastAsia="Arial Narrow" w:hAnsi="Arial Narrow" w:cs="Arial Narrow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 smlouvy</w:t>
            </w:r>
          </w:p>
        </w:tc>
        <w:tc>
          <w:tcPr>
            <w:tcBorders/>
            <w:shd w:val="clear" w:color="auto" w:fill="0099CB"/>
            <w:vAlign w:val="center"/>
          </w:tcPr>
          <w:p>
            <w:pPr>
              <w:pStyle w:val="Style7"/>
              <w:keepNext w:val="0"/>
              <w:keepLines w:val="0"/>
              <w:widowControl w:val="0"/>
              <w:pBdr>
                <w:top w:val="single" w:sz="0" w:space="0" w:color="0099CB"/>
                <w:left w:val="single" w:sz="0" w:space="0" w:color="0099CB"/>
                <w:bottom w:val="single" w:sz="0" w:space="0" w:color="0099CB"/>
                <w:right w:val="single" w:sz="0" w:space="0" w:color="0099CB"/>
              </w:pBdr>
              <w:shd w:val="clear" w:color="auto" w:fill="0099CB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 Narrow" w:eastAsia="Arial Narrow" w:hAnsi="Arial Narrow" w:cs="Arial Narrow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Trvání smlouvy</w:t>
            </w:r>
          </w:p>
        </w:tc>
        <w:tc>
          <w:tcPr>
            <w:tcBorders/>
            <w:shd w:val="clear" w:color="auto" w:fill="0099CB"/>
            <w:vAlign w:val="center"/>
          </w:tcPr>
          <w:p>
            <w:pPr>
              <w:pStyle w:val="Style7"/>
              <w:keepNext w:val="0"/>
              <w:keepLines w:val="0"/>
              <w:widowControl w:val="0"/>
              <w:pBdr>
                <w:top w:val="single" w:sz="0" w:space="0" w:color="0099CB"/>
                <w:left w:val="single" w:sz="0" w:space="0" w:color="0099CB"/>
                <w:bottom w:val="single" w:sz="0" w:space="0" w:color="0099CB"/>
                <w:right w:val="single" w:sz="0" w:space="0" w:color="0099CB"/>
              </w:pBdr>
              <w:shd w:val="clear" w:color="auto" w:fill="0099CB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 Narrow" w:eastAsia="Arial Narrow" w:hAnsi="Arial Narrow" w:cs="Arial Narrow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Počet návštěv za rok</w:t>
            </w:r>
          </w:p>
        </w:tc>
        <w:tc>
          <w:tcPr>
            <w:tcBorders/>
            <w:shd w:val="clear" w:color="auto" w:fill="0099CB"/>
            <w:vAlign w:val="center"/>
          </w:tcPr>
          <w:p>
            <w:pPr>
              <w:pStyle w:val="Style7"/>
              <w:keepNext w:val="0"/>
              <w:keepLines w:val="0"/>
              <w:widowControl w:val="0"/>
              <w:pBdr>
                <w:top w:val="single" w:sz="0" w:space="0" w:color="0099CB"/>
                <w:left w:val="single" w:sz="0" w:space="0" w:color="0099CB"/>
                <w:bottom w:val="single" w:sz="0" w:space="0" w:color="0099CB"/>
                <w:right w:val="single" w:sz="0" w:space="0" w:color="0099CB"/>
              </w:pBdr>
              <w:shd w:val="clear" w:color="auto" w:fill="0099CB"/>
              <w:bidi w:val="0"/>
              <w:spacing w:before="0" w:after="120" w:line="240" w:lineRule="auto"/>
              <w:ind w:left="0" w:right="0" w:firstLine="0"/>
              <w:jc w:val="center"/>
            </w:pPr>
            <w:r>
              <w:rPr>
                <w:rFonts w:ascii="Arial Narrow" w:eastAsia="Arial Narrow" w:hAnsi="Arial Narrow" w:cs="Arial Narrow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Plán návštěv</w:t>
            </w:r>
          </w:p>
          <w:p>
            <w:pPr>
              <w:pStyle w:val="Style7"/>
              <w:keepNext w:val="0"/>
              <w:keepLines w:val="0"/>
              <w:widowControl w:val="0"/>
              <w:pBdr>
                <w:top w:val="single" w:sz="0" w:space="0" w:color="0099CB"/>
                <w:left w:val="single" w:sz="0" w:space="0" w:color="0099CB"/>
                <w:bottom w:val="single" w:sz="0" w:space="0" w:color="0099CB"/>
                <w:right w:val="single" w:sz="0" w:space="0" w:color="0099CB"/>
              </w:pBdr>
              <w:shd w:val="clear" w:color="auto" w:fill="0099CB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 Narrow" w:eastAsia="Arial Narrow" w:hAnsi="Arial Narrow" w:cs="Arial Narrow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Typ servisní prohlídky</w:t>
            </w:r>
          </w:p>
        </w:tc>
        <w:tc>
          <w:tcPr>
            <w:tcBorders/>
            <w:shd w:val="clear" w:color="auto" w:fill="0099CB"/>
            <w:vAlign w:val="center"/>
          </w:tcPr>
          <w:p>
            <w:pPr>
              <w:pStyle w:val="Style7"/>
              <w:keepNext w:val="0"/>
              <w:keepLines w:val="0"/>
              <w:widowControl w:val="0"/>
              <w:pBdr>
                <w:top w:val="single" w:sz="0" w:space="0" w:color="0099CB"/>
                <w:left w:val="single" w:sz="0" w:space="0" w:color="0099CB"/>
                <w:bottom w:val="single" w:sz="0" w:space="0" w:color="0099CB"/>
                <w:right w:val="single" w:sz="0" w:space="0" w:color="0099CB"/>
              </w:pBdr>
              <w:shd w:val="clear" w:color="auto" w:fill="0099CB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 Narrow" w:eastAsia="Arial Narrow" w:hAnsi="Arial Narrow" w:cs="Arial Narrow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Množství oleje</w:t>
            </w:r>
          </w:p>
        </w:tc>
        <w:tc>
          <w:tcPr>
            <w:tcBorders/>
            <w:shd w:val="clear" w:color="auto" w:fill="0099CB"/>
            <w:vAlign w:val="center"/>
          </w:tcPr>
          <w:p>
            <w:pPr>
              <w:pStyle w:val="Style7"/>
              <w:keepNext w:val="0"/>
              <w:keepLines w:val="0"/>
              <w:widowControl w:val="0"/>
              <w:pBdr>
                <w:top w:val="single" w:sz="0" w:space="0" w:color="0099CB"/>
                <w:left w:val="single" w:sz="0" w:space="0" w:color="0099CB"/>
                <w:bottom w:val="single" w:sz="0" w:space="0" w:color="0099CB"/>
                <w:right w:val="single" w:sz="0" w:space="0" w:color="0099CB"/>
              </w:pBdr>
              <w:shd w:val="clear" w:color="auto" w:fill="0099CB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 Narrow" w:eastAsia="Arial Narrow" w:hAnsi="Arial Narrow" w:cs="Arial Narrow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Druh oleje</w:t>
            </w:r>
          </w:p>
        </w:tc>
        <w:tc>
          <w:tcPr>
            <w:tcBorders/>
            <w:shd w:val="clear" w:color="auto" w:fill="0099CB"/>
            <w:vAlign w:val="top"/>
          </w:tcPr>
          <w:p>
            <w:pPr>
              <w:pStyle w:val="Style7"/>
              <w:keepNext w:val="0"/>
              <w:keepLines w:val="0"/>
              <w:widowControl w:val="0"/>
              <w:pBdr>
                <w:top w:val="single" w:sz="0" w:space="0" w:color="0099CB"/>
                <w:left w:val="single" w:sz="0" w:space="0" w:color="0099CB"/>
                <w:bottom w:val="single" w:sz="0" w:space="0" w:color="0099CB"/>
                <w:right w:val="single" w:sz="0" w:space="0" w:color="0099CB"/>
              </w:pBdr>
              <w:shd w:val="clear" w:color="auto" w:fill="0099CB"/>
              <w:bidi w:val="0"/>
              <w:spacing w:before="0" w:after="12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za rok (Kč)</w:t>
            </w:r>
          </w:p>
          <w:p>
            <w:pPr>
              <w:pStyle w:val="Style7"/>
              <w:keepNext w:val="0"/>
              <w:keepLines w:val="0"/>
              <w:widowControl w:val="0"/>
              <w:pBdr>
                <w:top w:val="single" w:sz="0" w:space="0" w:color="0099CB"/>
                <w:left w:val="single" w:sz="0" w:space="0" w:color="0099CB"/>
                <w:bottom w:val="single" w:sz="0" w:space="0" w:color="0099CB"/>
                <w:right w:val="single" w:sz="0" w:space="0" w:color="0099CB"/>
              </w:pBdr>
              <w:shd w:val="clear" w:color="auto" w:fill="0099CB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 Narrow" w:eastAsia="Arial Narrow" w:hAnsi="Arial Narrow" w:cs="Arial Narrow"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Vč. dílů, oleje, práce, dopravy</w:t>
            </w:r>
          </w:p>
        </w:tc>
      </w:tr>
      <w:tr>
        <w:trPr>
          <w:trHeight w:val="514" w:hRule="exact"/>
        </w:trPr>
        <w:tc>
          <w:tcPr>
            <w:tcBorders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Kompresor SF4</w:t>
            </w:r>
          </w:p>
        </w:tc>
        <w:tc>
          <w:tcPr>
            <w:tcBorders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AII685633</w:t>
            </w:r>
          </w:p>
        </w:tc>
        <w:tc>
          <w:tcPr>
            <w:tcBorders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Preventive Maintenance</w:t>
            </w:r>
          </w:p>
        </w:tc>
        <w:tc>
          <w:tcPr>
            <w:tcBorders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1.00</w:t>
            </w:r>
          </w:p>
        </w:tc>
        <w:tc>
          <w:tcPr>
            <w:tcBorders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 C A</w:t>
            </w:r>
          </w:p>
        </w:tc>
        <w:tc>
          <w:tcPr>
            <w:tcBorders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18.780,-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Kompresor SF4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AII686517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Preventive Maintenance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B A 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12.915,-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Sušič CD5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APIW61369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Preventive Maintenance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 B 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6.460,-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Sušič CD+5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AII632422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Preventive Maintenance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 B 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9.560,-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EWD50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NSE087193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Preventive Maintenance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en-US" w:eastAsia="en-US" w:bidi="en-US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A A 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1.710,-</w:t>
            </w:r>
          </w:p>
        </w:tc>
      </w:tr>
      <w:tr>
        <w:trPr>
          <w:trHeight w:val="398" w:hRule="exact"/>
        </w:trPr>
        <w:tc>
          <w:tcPr>
            <w:gridSpan w:val="10"/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49.425,-</w:t>
            </w:r>
          </w:p>
        </w:tc>
      </w:tr>
    </w:tbl>
    <w:p>
      <w:pPr>
        <w:widowControl w:val="0"/>
        <w:spacing w:after="53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Vysvětlivky: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SF4: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- servis po 2 500mth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(nebo rok)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B - servis po 5 000mth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(nebo 2 roky)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 - servis po 10 000mth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CD5, CD+5: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A - servis po 4 000mth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(nebo rok)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B - servis po 12 000mth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(nebo 2 roky)</w:t>
      </w:r>
    </w:p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589" w:left="826" w:right="716" w:bottom="58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Základní text (3)_"/>
    <w:basedOn w:val="DefaultParagraphFont"/>
    <w:link w:val="Style5"/>
    <w:rPr>
      <w:rFonts w:ascii="Arial" w:eastAsia="Arial" w:hAnsi="Arial" w:cs="Arial"/>
      <w:b/>
      <w:bCs/>
      <w:i/>
      <w:iCs/>
      <w:smallCaps w:val="0"/>
      <w:strike w:val="0"/>
      <w:color w:val="0498CA"/>
      <w:sz w:val="22"/>
      <w:szCs w:val="22"/>
      <w:u w:val="none"/>
      <w:lang w:val="en-US" w:eastAsia="en-US" w:bidi="en-US"/>
    </w:rPr>
  </w:style>
  <w:style w:type="character" w:customStyle="1" w:styleId="CharStyle8">
    <w:name w:val="Jiné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/>
      <w:bCs/>
      <w:i/>
      <w:iCs/>
      <w:smallCaps w:val="0"/>
      <w:strike w:val="0"/>
      <w:color w:val="0498CA"/>
      <w:sz w:val="22"/>
      <w:szCs w:val="22"/>
      <w:u w:val="none"/>
      <w:lang w:val="en-US" w:eastAsia="en-US" w:bidi="en-US"/>
    </w:rPr>
  </w:style>
  <w:style w:type="paragraph" w:customStyle="1" w:styleId="Style7">
    <w:name w:val="Jiné"/>
    <w:basedOn w:val="Normal"/>
    <w:link w:val="CharStyle8"/>
    <w:pPr>
      <w:widowControl w:val="0"/>
      <w:shd w:val="clear" w:color="auto" w:fill="FFFFFF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QUOTATION</dc:title>
  <dc:subject/>
  <dc:creator>AIR13356</dc:creator>
  <cp:keywords/>
</cp:coreProperties>
</file>