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5D30" w14:textId="0451EF33" w:rsidR="0033078F" w:rsidRDefault="00F718F9" w:rsidP="00DB3E2E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162965576"/>
      <w:r>
        <w:t>Vytvoření datové základny a provedení a</w:t>
      </w:r>
      <w:r w:rsidR="0033078F">
        <w:t xml:space="preserve">nalýzy </w:t>
      </w:r>
      <w:r>
        <w:t xml:space="preserve">dat pro potřeby transpozice směrnic 2023/1791 o energetické účinnosti a </w:t>
      </w:r>
      <w:r w:rsidR="0033078F">
        <w:t>2024/1275 o energetické náročnosti budov</w:t>
      </w:r>
    </w:p>
    <w:p w14:paraId="5E1282FB" w14:textId="77777777" w:rsidR="0033078F" w:rsidRDefault="0033078F" w:rsidP="00DB3E2E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</w:p>
    <w:p w14:paraId="1ABE2EED" w14:textId="56AF6196" w:rsidR="00DC7EF5" w:rsidRPr="00855312" w:rsidRDefault="008F6E1F" w:rsidP="00855312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AA1930">
        <w:rPr>
          <w:rFonts w:asciiTheme="minorHAnsi" w:hAnsiTheme="minorHAnsi" w:cstheme="minorHAnsi"/>
          <w:sz w:val="22"/>
          <w:szCs w:val="22"/>
        </w:rPr>
        <w:t>PŘEDMĚT PLNĚNÍ VEŘEJNÉ ZAKÁZKY</w:t>
      </w:r>
      <w:bookmarkStart w:id="1" w:name="_Hlk178949275"/>
      <w:bookmarkEnd w:id="0"/>
    </w:p>
    <w:bookmarkEnd w:id="1"/>
    <w:p w14:paraId="00984B29" w14:textId="21BA5D04" w:rsidR="008F6E1F" w:rsidRDefault="008F6E1F" w:rsidP="007F66D3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A1930">
        <w:rPr>
          <w:rFonts w:asciiTheme="minorHAnsi" w:hAnsiTheme="minorHAnsi" w:cstheme="minorHAnsi"/>
          <w:sz w:val="22"/>
          <w:szCs w:val="22"/>
        </w:rPr>
        <w:t>Bližší specifikace předmětu plnění</w:t>
      </w:r>
    </w:p>
    <w:p w14:paraId="058F29A4" w14:textId="0A671153" w:rsidR="00CC667D" w:rsidRPr="00CC667D" w:rsidRDefault="00CC667D" w:rsidP="007F66D3">
      <w:pPr>
        <w:jc w:val="both"/>
      </w:pPr>
      <w:r>
        <w:t xml:space="preserve"> </w:t>
      </w:r>
    </w:p>
    <w:p w14:paraId="0560DC31" w14:textId="7C064355" w:rsidR="00B92264" w:rsidRPr="003E1CC8" w:rsidRDefault="00290507" w:rsidP="007F66D3">
      <w:pPr>
        <w:pStyle w:val="Odstavecseseznamem"/>
        <w:numPr>
          <w:ilvl w:val="0"/>
          <w:numId w:val="25"/>
        </w:numPr>
        <w:jc w:val="both"/>
      </w:pPr>
      <w:r w:rsidRPr="00290507">
        <w:rPr>
          <w:b/>
          <w:bCs/>
        </w:rPr>
        <w:t xml:space="preserve">Dataset pro vnitrostátní fond budov dle </w:t>
      </w:r>
      <w:r w:rsidR="00B80B93">
        <w:rPr>
          <w:b/>
          <w:bCs/>
        </w:rPr>
        <w:t>EPBD</w:t>
      </w:r>
    </w:p>
    <w:p w14:paraId="75A328DE" w14:textId="5DE60DEF" w:rsidR="00B80B93" w:rsidRPr="00DB3E2E" w:rsidRDefault="00E27AB9" w:rsidP="007F66D3">
      <w:pPr>
        <w:spacing w:after="160" w:line="276" w:lineRule="auto"/>
        <w:jc w:val="both"/>
      </w:pPr>
      <w:r w:rsidRPr="00DB3E2E">
        <w:t xml:space="preserve">Cílem </w:t>
      </w:r>
      <w:r w:rsidR="00290507" w:rsidRPr="00DB3E2E">
        <w:t xml:space="preserve">vnitrostátního </w:t>
      </w:r>
      <w:r w:rsidRPr="00DB3E2E">
        <w:t>plánu renovaci budov je zajistit renovaci národního fondu obytných a</w:t>
      </w:r>
      <w:r w:rsidR="0034669B">
        <w:t> </w:t>
      </w:r>
      <w:r w:rsidRPr="00DB3E2E">
        <w:t>nebytových budov, veřejných i</w:t>
      </w:r>
      <w:r w:rsidR="0034669B">
        <w:t> </w:t>
      </w:r>
      <w:r w:rsidRPr="00DB3E2E">
        <w:t>soukromých, na vysoce energeticky účinný a</w:t>
      </w:r>
      <w:r w:rsidR="0034669B">
        <w:t> </w:t>
      </w:r>
      <w:r w:rsidRPr="00DB3E2E">
        <w:t>dekarbonizovaný fond budov do roku 2050 s</w:t>
      </w:r>
      <w:r w:rsidR="0034669B">
        <w:t> </w:t>
      </w:r>
      <w:r w:rsidRPr="00DB3E2E">
        <w:t>cílem transformovat stávající budovy do</w:t>
      </w:r>
      <w:bookmarkStart w:id="2" w:name="_Hlk155354539"/>
      <w:r w:rsidRPr="00DB3E2E">
        <w:t xml:space="preserve"> budov s</w:t>
      </w:r>
      <w:r w:rsidR="0034669B">
        <w:t> </w:t>
      </w:r>
      <w:r w:rsidRPr="00DB3E2E">
        <w:t>nulovými emisemi.</w:t>
      </w:r>
      <w:bookmarkEnd w:id="2"/>
      <w:r w:rsidR="00290507" w:rsidRPr="00DB3E2E">
        <w:t xml:space="preserve"> </w:t>
      </w:r>
      <w:r w:rsidR="00C95C4E" w:rsidRPr="00DB3E2E">
        <w:t>Plán</w:t>
      </w:r>
      <w:r w:rsidR="007F3095" w:rsidRPr="00DB3E2E">
        <w:t xml:space="preserve"> </w:t>
      </w:r>
      <w:r w:rsidR="00290507" w:rsidRPr="00DB3E2E">
        <w:t>má být</w:t>
      </w:r>
      <w:r w:rsidR="007F3095" w:rsidRPr="00DB3E2E">
        <w:t xml:space="preserve"> </w:t>
      </w:r>
      <w:r w:rsidR="007D6313" w:rsidRPr="00DB3E2E">
        <w:t>aktualizován</w:t>
      </w:r>
      <w:r w:rsidR="007F3095" w:rsidRPr="00DB3E2E">
        <w:t xml:space="preserve"> každých 5 let</w:t>
      </w:r>
      <w:r w:rsidR="008708D2">
        <w:t>,</w:t>
      </w:r>
      <w:r w:rsidR="007F3095" w:rsidRPr="00DB3E2E">
        <w:t xml:space="preserve"> </w:t>
      </w:r>
      <w:r w:rsidR="00C95C4E" w:rsidRPr="00DB3E2E">
        <w:t xml:space="preserve">proto je důležité nastavit </w:t>
      </w:r>
      <w:r w:rsidR="00153090" w:rsidRPr="00DB3E2E">
        <w:t xml:space="preserve">průběžné </w:t>
      </w:r>
      <w:r w:rsidR="00C95C4E" w:rsidRPr="00DB3E2E">
        <w:t>sledovaní indikátor</w:t>
      </w:r>
      <w:r w:rsidR="00F3364D">
        <w:t>ů</w:t>
      </w:r>
      <w:r w:rsidR="00290507" w:rsidRPr="00DB3E2E">
        <w:t xml:space="preserve">. </w:t>
      </w:r>
      <w:r w:rsidRPr="00DB3E2E">
        <w:t xml:space="preserve">První návrh plánu renovace budov </w:t>
      </w:r>
      <w:r w:rsidR="00D40851" w:rsidRPr="00DB3E2E">
        <w:t xml:space="preserve">bude </w:t>
      </w:r>
      <w:r w:rsidR="00855312">
        <w:t>Evropské k</w:t>
      </w:r>
      <w:r w:rsidRPr="00DB3E2E">
        <w:t>omisi</w:t>
      </w:r>
      <w:r w:rsidR="00D40851" w:rsidRPr="00DB3E2E">
        <w:t xml:space="preserve"> předložen</w:t>
      </w:r>
      <w:r w:rsidRPr="00DB3E2E">
        <w:t xml:space="preserve"> do 31. prosince 2025.</w:t>
      </w:r>
      <w:r w:rsidR="00290507" w:rsidRPr="00DB3E2E">
        <w:t xml:space="preserve"> </w:t>
      </w:r>
      <w:r w:rsidRPr="00DB3E2E">
        <w:t xml:space="preserve">První plán renovace budov bude Komisi </w:t>
      </w:r>
      <w:r w:rsidR="00D40851" w:rsidRPr="00DB3E2E">
        <w:t xml:space="preserve">předložen </w:t>
      </w:r>
      <w:r w:rsidRPr="00DB3E2E">
        <w:t>do 31. prosince 2026.</w:t>
      </w:r>
    </w:p>
    <w:p w14:paraId="1C2F6D72" w14:textId="6EBE9BED" w:rsidR="00C90CE5" w:rsidRPr="00D46849" w:rsidRDefault="00C90CE5" w:rsidP="007F66D3">
      <w:pPr>
        <w:spacing w:after="200" w:line="276" w:lineRule="auto"/>
        <w:jc w:val="both"/>
        <w:rPr>
          <w:rFonts w:asciiTheme="majorHAnsi" w:hAnsiTheme="majorHAnsi" w:cstheme="majorHAnsi"/>
          <w:b/>
          <w:bCs/>
        </w:rPr>
      </w:pPr>
      <w:r w:rsidRPr="00D46849">
        <w:rPr>
          <w:rFonts w:asciiTheme="majorHAnsi" w:hAnsiTheme="majorHAnsi" w:cstheme="majorHAnsi"/>
          <w:b/>
          <w:bCs/>
        </w:rPr>
        <w:t xml:space="preserve">Cíle analýzy: </w:t>
      </w:r>
    </w:p>
    <w:p w14:paraId="628678E4" w14:textId="01BF41A9" w:rsidR="00C90CE5" w:rsidRDefault="00C90CE5" w:rsidP="007F66D3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B876B9">
        <w:rPr>
          <w:rFonts w:asciiTheme="majorHAnsi" w:hAnsiTheme="majorHAnsi" w:cstheme="majorHAnsi"/>
        </w:rPr>
        <w:t>Identifikace a</w:t>
      </w:r>
      <w:r w:rsidR="0034669B">
        <w:rPr>
          <w:rFonts w:asciiTheme="majorHAnsi" w:hAnsiTheme="majorHAnsi" w:cstheme="majorHAnsi"/>
        </w:rPr>
        <w:t> </w:t>
      </w:r>
      <w:r w:rsidRPr="00B876B9">
        <w:rPr>
          <w:rFonts w:asciiTheme="majorHAnsi" w:hAnsiTheme="majorHAnsi" w:cstheme="majorHAnsi"/>
        </w:rPr>
        <w:t xml:space="preserve">sběr dat </w:t>
      </w:r>
      <w:r w:rsidR="00C44424">
        <w:rPr>
          <w:rFonts w:asciiTheme="majorHAnsi" w:hAnsiTheme="majorHAnsi" w:cstheme="majorHAnsi"/>
        </w:rPr>
        <w:t xml:space="preserve">o </w:t>
      </w:r>
      <w:r w:rsidRPr="00B876B9">
        <w:rPr>
          <w:rFonts w:asciiTheme="majorHAnsi" w:hAnsiTheme="majorHAnsi" w:cstheme="majorHAnsi"/>
        </w:rPr>
        <w:t>vnitrostátní</w:t>
      </w:r>
      <w:r w:rsidR="00C44424">
        <w:rPr>
          <w:rFonts w:asciiTheme="majorHAnsi" w:hAnsiTheme="majorHAnsi" w:cstheme="majorHAnsi"/>
        </w:rPr>
        <w:t>m</w:t>
      </w:r>
      <w:r w:rsidRPr="00B876B9">
        <w:rPr>
          <w:rFonts w:asciiTheme="majorHAnsi" w:hAnsiTheme="majorHAnsi" w:cstheme="majorHAnsi"/>
        </w:rPr>
        <w:t xml:space="preserve"> fondu budov v</w:t>
      </w:r>
      <w:r w:rsidR="0034669B">
        <w:rPr>
          <w:rFonts w:asciiTheme="majorHAnsi" w:hAnsiTheme="majorHAnsi" w:cstheme="majorHAnsi"/>
        </w:rPr>
        <w:t> </w:t>
      </w:r>
      <w:r w:rsidRPr="00B876B9">
        <w:rPr>
          <w:rFonts w:asciiTheme="majorHAnsi" w:hAnsiTheme="majorHAnsi" w:cstheme="majorHAnsi"/>
        </w:rPr>
        <w:t>souladu s</w:t>
      </w:r>
      <w:r w:rsidR="0034669B">
        <w:rPr>
          <w:rFonts w:asciiTheme="majorHAnsi" w:hAnsiTheme="majorHAnsi" w:cstheme="majorHAnsi"/>
        </w:rPr>
        <w:t> </w:t>
      </w:r>
      <w:r w:rsidRPr="00B876B9">
        <w:rPr>
          <w:rFonts w:asciiTheme="majorHAnsi" w:hAnsiTheme="majorHAnsi" w:cstheme="majorHAnsi"/>
        </w:rPr>
        <w:t>článkem 3 a</w:t>
      </w:r>
      <w:r w:rsidR="0034669B">
        <w:rPr>
          <w:rFonts w:asciiTheme="majorHAnsi" w:hAnsiTheme="majorHAnsi" w:cstheme="majorHAnsi"/>
        </w:rPr>
        <w:t> </w:t>
      </w:r>
      <w:r w:rsidRPr="00B876B9">
        <w:rPr>
          <w:rFonts w:asciiTheme="majorHAnsi" w:hAnsiTheme="majorHAnsi" w:cstheme="majorHAnsi"/>
        </w:rPr>
        <w:t xml:space="preserve">přílohou </w:t>
      </w:r>
      <w:r w:rsidR="008708D2">
        <w:rPr>
          <w:rFonts w:asciiTheme="majorHAnsi" w:hAnsiTheme="majorHAnsi" w:cstheme="majorHAnsi"/>
        </w:rPr>
        <w:t>II</w:t>
      </w:r>
      <w:r w:rsidRPr="00B876B9">
        <w:rPr>
          <w:rFonts w:asciiTheme="majorHAnsi" w:hAnsiTheme="majorHAnsi" w:cstheme="majorHAnsi"/>
        </w:rPr>
        <w:t xml:space="preserve"> </w:t>
      </w:r>
      <w:r w:rsidR="00B80B93">
        <w:rPr>
          <w:rFonts w:asciiTheme="majorHAnsi" w:hAnsiTheme="majorHAnsi" w:cstheme="majorHAnsi"/>
        </w:rPr>
        <w:t>EPBD</w:t>
      </w:r>
      <w:r w:rsidR="00CC427B">
        <w:rPr>
          <w:rFonts w:asciiTheme="majorHAnsi" w:hAnsiTheme="majorHAnsi" w:cstheme="majorHAnsi"/>
        </w:rPr>
        <w:t xml:space="preserve"> a požadavky rezortů MPO a MŽP</w:t>
      </w:r>
      <w:r w:rsidRPr="00B876B9">
        <w:rPr>
          <w:rFonts w:asciiTheme="majorHAnsi" w:hAnsiTheme="majorHAnsi" w:cstheme="majorHAnsi"/>
        </w:rPr>
        <w:t>.</w:t>
      </w:r>
    </w:p>
    <w:p w14:paraId="5BD8B1CC" w14:textId="4F1E2CFE" w:rsidR="00C90CE5" w:rsidRPr="00D46849" w:rsidRDefault="00D5038F" w:rsidP="002E2E2F">
      <w:pPr>
        <w:keepNext/>
        <w:spacing w:after="20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Požadované </w:t>
      </w:r>
      <w:r w:rsidR="00C90CE5" w:rsidRPr="00D46849">
        <w:rPr>
          <w:rFonts w:asciiTheme="majorHAnsi" w:hAnsiTheme="majorHAnsi" w:cstheme="majorHAnsi"/>
          <w:b/>
          <w:bCs/>
        </w:rPr>
        <w:t>výstupy:</w:t>
      </w:r>
    </w:p>
    <w:p w14:paraId="2329B953" w14:textId="629CBFB3" w:rsidR="00C90CE5" w:rsidRPr="0095456B" w:rsidRDefault="00C90CE5" w:rsidP="007F66D3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95456B">
        <w:rPr>
          <w:rFonts w:asciiTheme="majorHAnsi" w:hAnsiTheme="majorHAnsi" w:cstheme="majorHAnsi"/>
        </w:rPr>
        <w:t>Excel soubor</w:t>
      </w:r>
      <w:r w:rsidR="00EC42AF" w:rsidRPr="0095456B">
        <w:rPr>
          <w:rFonts w:asciiTheme="majorHAnsi" w:hAnsiTheme="majorHAnsi" w:cstheme="majorHAnsi"/>
        </w:rPr>
        <w:t>y</w:t>
      </w:r>
      <w:r w:rsidR="004C7303" w:rsidRPr="0095456B">
        <w:rPr>
          <w:rFonts w:asciiTheme="majorHAnsi" w:hAnsiTheme="majorHAnsi" w:cstheme="majorHAnsi"/>
        </w:rPr>
        <w:t xml:space="preserve"> odpovídající zadaným datasetům</w:t>
      </w:r>
    </w:p>
    <w:p w14:paraId="12B7734E" w14:textId="77777777" w:rsidR="00C90CE5" w:rsidRDefault="00C90CE5" w:rsidP="007F66D3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Podrobný soubor se zdroji dat, které byly použité pro sestavení datasetu</w:t>
      </w:r>
    </w:p>
    <w:p w14:paraId="5B64931E" w14:textId="1B93AD4C" w:rsidR="004C7303" w:rsidRPr="00D46849" w:rsidRDefault="00C90CE5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Theme="majorHAnsi" w:hAnsiTheme="majorHAnsi" w:cstheme="majorHAnsi"/>
        </w:rPr>
      </w:pPr>
      <w:r w:rsidRPr="004C7303">
        <w:rPr>
          <w:rFonts w:asciiTheme="majorHAnsi" w:hAnsiTheme="majorHAnsi" w:cstheme="majorHAnsi"/>
        </w:rPr>
        <w:t>Podrobný soubor vysvětlující, jak</w:t>
      </w:r>
      <w:r w:rsidR="008708D2" w:rsidRPr="004C7303">
        <w:rPr>
          <w:rFonts w:asciiTheme="majorHAnsi" w:hAnsiTheme="majorHAnsi" w:cstheme="majorHAnsi"/>
        </w:rPr>
        <w:t>á</w:t>
      </w:r>
      <w:r w:rsidRPr="004C7303">
        <w:rPr>
          <w:rFonts w:asciiTheme="majorHAnsi" w:hAnsiTheme="majorHAnsi" w:cstheme="majorHAnsi"/>
        </w:rPr>
        <w:t xml:space="preserve"> data</w:t>
      </w:r>
      <w:r w:rsidR="008708D2" w:rsidRPr="004C7303">
        <w:rPr>
          <w:rFonts w:asciiTheme="majorHAnsi" w:hAnsiTheme="majorHAnsi" w:cstheme="majorHAnsi"/>
        </w:rPr>
        <w:t xml:space="preserve"> a</w:t>
      </w:r>
      <w:r w:rsidRPr="004C7303">
        <w:rPr>
          <w:rFonts w:asciiTheme="majorHAnsi" w:hAnsiTheme="majorHAnsi" w:cstheme="majorHAnsi"/>
        </w:rPr>
        <w:t xml:space="preserve"> metody byly využity při identifikaci a</w:t>
      </w:r>
      <w:r w:rsidR="0034669B" w:rsidRPr="004C7303">
        <w:rPr>
          <w:rFonts w:asciiTheme="majorHAnsi" w:hAnsiTheme="majorHAnsi" w:cstheme="majorHAnsi"/>
        </w:rPr>
        <w:t> </w:t>
      </w:r>
      <w:r w:rsidRPr="004C7303">
        <w:rPr>
          <w:rFonts w:asciiTheme="majorHAnsi" w:hAnsiTheme="majorHAnsi" w:cstheme="majorHAnsi"/>
        </w:rPr>
        <w:t xml:space="preserve">sběru dat </w:t>
      </w:r>
    </w:p>
    <w:p w14:paraId="6472028C" w14:textId="2E09AC6B" w:rsidR="00DA1FBC" w:rsidRPr="003E1CC8" w:rsidRDefault="00023E14" w:rsidP="0095456B">
      <w:pPr>
        <w:spacing w:after="200" w:line="276" w:lineRule="auto"/>
        <w:ind w:left="360"/>
        <w:jc w:val="both"/>
      </w:pPr>
      <w:r>
        <w:t>D</w:t>
      </w:r>
      <w:r w:rsidR="00DB55B6">
        <w:t>ataset</w:t>
      </w:r>
      <w:r>
        <w:t xml:space="preserve"> </w:t>
      </w:r>
      <w:r w:rsidR="00DB55B6">
        <w:t xml:space="preserve">se </w:t>
      </w:r>
      <w:r w:rsidR="00290507">
        <w:t>skládá z</w:t>
      </w:r>
      <w:r w:rsidR="0034669B">
        <w:t> </w:t>
      </w:r>
      <w:r w:rsidR="00290507">
        <w:t>následujících</w:t>
      </w:r>
      <w:r w:rsidR="00DB55B6">
        <w:t xml:space="preserve"> část</w:t>
      </w:r>
      <w:r w:rsidR="005D7009">
        <w:t>í</w:t>
      </w:r>
      <w:r w:rsidR="00DB55B6">
        <w:t xml:space="preserve"> (</w:t>
      </w:r>
      <w:r w:rsidR="008708D2">
        <w:t>u</w:t>
      </w:r>
      <w:r w:rsidR="00DB55B6">
        <w:t xml:space="preserve"> každé části je stručný popis a</w:t>
      </w:r>
      <w:r w:rsidR="0034669B">
        <w:t> </w:t>
      </w:r>
      <w:r w:rsidR="00DB55B6">
        <w:t>indikátory</w:t>
      </w:r>
      <w:r w:rsidR="00E1605B">
        <w:t xml:space="preserve">, </w:t>
      </w:r>
      <w:r w:rsidR="00DB55B6">
        <w:t>které je potřeba dodat)</w:t>
      </w:r>
      <w:r w:rsidR="00290507">
        <w:t>:</w:t>
      </w:r>
    </w:p>
    <w:p w14:paraId="3FA8E65B" w14:textId="395B9881" w:rsidR="003402A7" w:rsidRPr="008708D2" w:rsidRDefault="00B92264" w:rsidP="007F66D3">
      <w:pPr>
        <w:pStyle w:val="Odstavecseseznamem"/>
        <w:numPr>
          <w:ilvl w:val="0"/>
          <w:numId w:val="29"/>
        </w:numPr>
        <w:jc w:val="both"/>
        <w:rPr>
          <w:b/>
          <w:bCs/>
        </w:rPr>
      </w:pPr>
      <w:r w:rsidRPr="008708D2">
        <w:rPr>
          <w:b/>
          <w:bCs/>
        </w:rPr>
        <w:t xml:space="preserve">Přehled národního fondu budov pro různé typy budov </w:t>
      </w:r>
    </w:p>
    <w:p w14:paraId="0E670AC7" w14:textId="63A474AB" w:rsidR="008B0CAF" w:rsidRDefault="00883E9C" w:rsidP="007F66D3">
      <w:pPr>
        <w:spacing w:line="276" w:lineRule="auto"/>
        <w:jc w:val="both"/>
      </w:pPr>
      <w:r>
        <w:t xml:space="preserve">Zajištění </w:t>
      </w:r>
      <w:r w:rsidR="0077652E" w:rsidRPr="00DB3E2E">
        <w:t xml:space="preserve">dat </w:t>
      </w:r>
      <w:r>
        <w:t xml:space="preserve">o </w:t>
      </w:r>
      <w:r w:rsidR="000038A8" w:rsidRPr="00DB3E2E">
        <w:t>aktuální</w:t>
      </w:r>
      <w:r>
        <w:t>m</w:t>
      </w:r>
      <w:r w:rsidR="000038A8" w:rsidRPr="00DB3E2E">
        <w:t xml:space="preserve"> stavu národního fondu budov pro </w:t>
      </w:r>
      <w:r w:rsidR="006F470D">
        <w:t>definované</w:t>
      </w:r>
      <w:r w:rsidR="006F470D" w:rsidRPr="00DB3E2E">
        <w:t xml:space="preserve"> </w:t>
      </w:r>
      <w:r w:rsidR="000038A8" w:rsidRPr="00DB3E2E">
        <w:t xml:space="preserve">typy budov, včetně jejich podílu na </w:t>
      </w:r>
      <w:r w:rsidR="004C7303">
        <w:t xml:space="preserve">celkovém </w:t>
      </w:r>
      <w:r w:rsidR="000038A8" w:rsidRPr="00DB3E2E">
        <w:t>fondu budov, období výstavby</w:t>
      </w:r>
      <w:r w:rsidR="0077652E" w:rsidRPr="00DB3E2E">
        <w:t xml:space="preserve"> (</w:t>
      </w:r>
      <w:r w:rsidR="00290507" w:rsidRPr="00DB3E2E">
        <w:t>přehled může být založen</w:t>
      </w:r>
      <w:r w:rsidR="00CB6B8C">
        <w:t>, avšak nikoli výlučně,</w:t>
      </w:r>
      <w:r w:rsidR="00290507" w:rsidRPr="00DB3E2E">
        <w:t xml:space="preserve"> na statistickém vzorku a</w:t>
      </w:r>
      <w:r w:rsidR="0034669B">
        <w:t> </w:t>
      </w:r>
      <w:r w:rsidR="00290507" w:rsidRPr="00DB3E2E">
        <w:t>datech o</w:t>
      </w:r>
      <w:r w:rsidR="0034669B">
        <w:t> </w:t>
      </w:r>
      <w:r w:rsidR="00290507" w:rsidRPr="00DB3E2E">
        <w:t>PENB z</w:t>
      </w:r>
      <w:r w:rsidR="0034669B">
        <w:t> </w:t>
      </w:r>
      <w:r w:rsidR="00290507" w:rsidRPr="00DB3E2E">
        <w:t>Enexu</w:t>
      </w:r>
      <w:r w:rsidR="0077652E" w:rsidRPr="00DB3E2E">
        <w:t>)</w:t>
      </w:r>
      <w:r w:rsidR="00CD1571">
        <w:t>.</w:t>
      </w:r>
      <w:r w:rsidR="00FD1F91">
        <w:t xml:space="preserve"> </w:t>
      </w:r>
      <w:r w:rsidR="001D11F2" w:rsidRPr="001D11F2">
        <w:t>Především je důležité podrobně analyzovat fond budov jiných než obytných, o kterém je nedostatek informací. Podklad bude sloužit MPO kromě jiného pro stanovení minimálních a maximálních standardů energetické náročnosti budov. Hodnoty budou vyjádřeny ukazatelem konečné a primární energie v kWh</w:t>
      </w:r>
      <w:proofErr w:type="gramStart"/>
      <w:r w:rsidR="001D11F2" w:rsidRPr="001D11F2">
        <w:t>/(</w:t>
      </w:r>
      <w:proofErr w:type="gramEnd"/>
      <w:r w:rsidR="001D11F2" w:rsidRPr="001D11F2">
        <w:t>m².r) k roku 2019.</w:t>
      </w:r>
    </w:p>
    <w:p w14:paraId="371CA6A7" w14:textId="550D4142" w:rsidR="001D30FC" w:rsidRDefault="001D30FC" w:rsidP="007F66D3">
      <w:pPr>
        <w:spacing w:line="276" w:lineRule="auto"/>
        <w:jc w:val="both"/>
      </w:pPr>
      <w:r>
        <w:t>U jednotlivých indikátorech</w:t>
      </w:r>
      <w:r w:rsidR="002827FD">
        <w:t xml:space="preserve"> (tam kde to je možné a dává to smysl)</w:t>
      </w:r>
      <w:r>
        <w:t xml:space="preserve"> </w:t>
      </w:r>
      <w:r w:rsidR="003A062F">
        <w:t>u</w:t>
      </w:r>
      <w:r>
        <w:t>vést</w:t>
      </w:r>
      <w:r w:rsidR="003A062F">
        <w:t xml:space="preserve"> ještě navíc stejné jednotky pro porovnání.</w:t>
      </w:r>
    </w:p>
    <w:p w14:paraId="788D738A" w14:textId="148A9D27" w:rsidR="009C277B" w:rsidRDefault="002B21F1" w:rsidP="007F66D3">
      <w:pPr>
        <w:spacing w:line="276" w:lineRule="auto"/>
        <w:jc w:val="both"/>
      </w:pPr>
      <w:r w:rsidRPr="002B21F1">
        <w:t>Další významnou skupinou, kterou je potřeba analyzovat, jsou veřejné budovy. Ministerstvo průmyslu a obchodu disponuje seznamem institucí a budov vlastněných veřejnými subjekty, na jehož základě je třeba zpracovat analýzu fondu těchto budov</w:t>
      </w:r>
      <w:r w:rsidR="009C277B">
        <w:t>.</w:t>
      </w:r>
    </w:p>
    <w:p w14:paraId="0DDE7092" w14:textId="77777777" w:rsidR="001D11F2" w:rsidRPr="001D11F2" w:rsidRDefault="001D11F2" w:rsidP="001D11F2">
      <w:pPr>
        <w:spacing w:line="276" w:lineRule="auto"/>
        <w:jc w:val="both"/>
      </w:pPr>
    </w:p>
    <w:p w14:paraId="232D56A9" w14:textId="29913814" w:rsidR="001D11F2" w:rsidRPr="001D11F2" w:rsidRDefault="001D11F2" w:rsidP="001D11F2">
      <w:pPr>
        <w:spacing w:line="276" w:lineRule="auto"/>
        <w:jc w:val="both"/>
      </w:pPr>
      <w:r w:rsidRPr="001D11F2">
        <w:t xml:space="preserve">Podrobnější rozpad typů budov a které indikátory je potřebné vyčíslit u jednotlivých typů budov se nachází v příloze List </w:t>
      </w:r>
      <w:r w:rsidRPr="001D11F2">
        <w:rPr>
          <w:i/>
          <w:iCs/>
        </w:rPr>
        <w:t>Přehled národního fondu budov</w:t>
      </w:r>
      <w:r w:rsidRPr="001D11F2">
        <w:t>. Značka „x" značí, u jakého typu budov je potřeba vyčíslit jednotlivý indikátor.</w:t>
      </w:r>
    </w:p>
    <w:p w14:paraId="7ED33BCC" w14:textId="77777777" w:rsidR="008B0CAF" w:rsidRDefault="008B0CAF" w:rsidP="007F66D3">
      <w:pPr>
        <w:spacing w:line="276" w:lineRule="auto"/>
        <w:jc w:val="both"/>
      </w:pPr>
    </w:p>
    <w:p w14:paraId="22375E0B" w14:textId="79BE0E10" w:rsidR="00701287" w:rsidRDefault="008B0CAF" w:rsidP="007F66D3">
      <w:pPr>
        <w:spacing w:line="276" w:lineRule="auto"/>
        <w:jc w:val="both"/>
      </w:pPr>
      <w:r>
        <w:t>Další indikátory, které je potřebné vyčíslit</w:t>
      </w:r>
      <w:r w:rsidR="00C459C3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6"/>
        <w:gridCol w:w="2977"/>
      </w:tblGrid>
      <w:tr w:rsidR="00FD1F91" w:rsidRPr="00DA1FBC" w14:paraId="37C0CF04" w14:textId="77777777" w:rsidTr="00A40547">
        <w:trPr>
          <w:trHeight w:val="330"/>
        </w:trPr>
        <w:tc>
          <w:tcPr>
            <w:tcW w:w="6506" w:type="dxa"/>
            <w:shd w:val="clear" w:color="000000" w:fill="FFFFFF"/>
            <w:vAlign w:val="center"/>
            <w:hideMark/>
          </w:tcPr>
          <w:p w14:paraId="2C04E3C2" w14:textId="2E8A4E74" w:rsidR="00FD1F91" w:rsidRPr="00DA1FBC" w:rsidRDefault="00423B90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Indikátory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52A24F16" w14:textId="77777777" w:rsidR="00FD1F91" w:rsidRPr="00DA1FBC" w:rsidRDefault="00FD1F91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Poznámky</w:t>
            </w:r>
          </w:p>
        </w:tc>
      </w:tr>
      <w:tr w:rsidR="00FD1F91" w:rsidRPr="00DA1FBC" w14:paraId="19D9D55A" w14:textId="77777777" w:rsidTr="00A40547">
        <w:trPr>
          <w:trHeight w:val="343"/>
        </w:trPr>
        <w:tc>
          <w:tcPr>
            <w:tcW w:w="6506" w:type="dxa"/>
            <w:shd w:val="clear" w:color="000000" w:fill="FFFFFF"/>
            <w:hideMark/>
          </w:tcPr>
          <w:p w14:paraId="7AD2A5FD" w14:textId="77777777" w:rsidR="00FD1F91" w:rsidRPr="00DA1FBC" w:rsidRDefault="00FD1F91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Počet budov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celková podlahová plocha (m²):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E36DD6F" w14:textId="7B17622C" w:rsidR="00FD1F91" w:rsidRPr="000D25B7" w:rsidRDefault="00FD1F91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53685" w:rsidRPr="00DA1FBC" w14:paraId="3A86CBA7" w14:textId="77777777" w:rsidTr="00A40547">
        <w:trPr>
          <w:trHeight w:val="315"/>
        </w:trPr>
        <w:tc>
          <w:tcPr>
            <w:tcW w:w="6506" w:type="dxa"/>
            <w:shd w:val="clear" w:color="000000" w:fill="FFFFFF"/>
          </w:tcPr>
          <w:p w14:paraId="21A9CC98" w14:textId="6F79F403" w:rsidR="00253685" w:rsidRPr="00253685" w:rsidRDefault="00253685" w:rsidP="00253685">
            <w:pPr>
              <w:jc w:val="both"/>
              <w:rPr>
                <w:b/>
                <w:bCs/>
                <w:sz w:val="20"/>
                <w:szCs w:val="20"/>
              </w:rPr>
            </w:pPr>
            <w:r w:rsidRPr="00253685">
              <w:rPr>
                <w:sz w:val="20"/>
                <w:szCs w:val="20"/>
              </w:rPr>
              <w:t>budovy s téměř nulovou spotřebou energie</w:t>
            </w:r>
          </w:p>
        </w:tc>
        <w:tc>
          <w:tcPr>
            <w:tcW w:w="2977" w:type="dxa"/>
            <w:shd w:val="clear" w:color="000000" w:fill="FFFFFF"/>
          </w:tcPr>
          <w:p w14:paraId="0A1AA05D" w14:textId="3492F739" w:rsidR="00253685" w:rsidRPr="00253685" w:rsidRDefault="00253685" w:rsidP="00253685">
            <w:pPr>
              <w:jc w:val="both"/>
              <w:rPr>
                <w:sz w:val="20"/>
                <w:szCs w:val="20"/>
              </w:rPr>
            </w:pPr>
            <w:r w:rsidRPr="00253685">
              <w:rPr>
                <w:sz w:val="20"/>
                <w:szCs w:val="20"/>
              </w:rPr>
              <w:t xml:space="preserve">spolupráce s námi, je potřeba nadefinovat z naší strany </w:t>
            </w:r>
          </w:p>
        </w:tc>
      </w:tr>
      <w:tr w:rsidR="00253685" w:rsidRPr="00DA1FBC" w14:paraId="500FE3D8" w14:textId="77777777" w:rsidTr="00A40547">
        <w:trPr>
          <w:trHeight w:val="315"/>
        </w:trPr>
        <w:tc>
          <w:tcPr>
            <w:tcW w:w="6506" w:type="dxa"/>
            <w:shd w:val="clear" w:color="000000" w:fill="FFFFFF"/>
          </w:tcPr>
          <w:p w14:paraId="6C4CACB2" w14:textId="10CB25FE" w:rsidR="00253685" w:rsidRPr="00253685" w:rsidRDefault="00253685" w:rsidP="00253685">
            <w:pPr>
              <w:jc w:val="both"/>
              <w:rPr>
                <w:b/>
                <w:bCs/>
                <w:sz w:val="20"/>
                <w:szCs w:val="20"/>
              </w:rPr>
            </w:pPr>
            <w:r w:rsidRPr="00253685">
              <w:rPr>
                <w:sz w:val="20"/>
                <w:szCs w:val="20"/>
              </w:rPr>
              <w:t>na úrovně budov s téměř nulovou spotřebou energie nebo budov s nulovými emisemi</w:t>
            </w:r>
          </w:p>
        </w:tc>
        <w:tc>
          <w:tcPr>
            <w:tcW w:w="2977" w:type="dxa"/>
            <w:shd w:val="clear" w:color="000000" w:fill="FFFFFF"/>
          </w:tcPr>
          <w:p w14:paraId="548A1336" w14:textId="5C7D4814" w:rsidR="00253685" w:rsidRPr="00253685" w:rsidRDefault="00253685" w:rsidP="00253685">
            <w:pPr>
              <w:jc w:val="both"/>
              <w:rPr>
                <w:sz w:val="20"/>
                <w:szCs w:val="20"/>
              </w:rPr>
            </w:pPr>
            <w:r w:rsidRPr="00253685">
              <w:rPr>
                <w:sz w:val="20"/>
                <w:szCs w:val="20"/>
              </w:rPr>
              <w:t xml:space="preserve">spolupráce s námi, je potřeba nadefinovat z naší strany </w:t>
            </w:r>
          </w:p>
        </w:tc>
      </w:tr>
      <w:tr w:rsidR="009837EA" w:rsidRPr="00DA1FBC" w14:paraId="268B12C9" w14:textId="77777777" w:rsidTr="00A40547">
        <w:trPr>
          <w:trHeight w:val="315"/>
        </w:trPr>
        <w:tc>
          <w:tcPr>
            <w:tcW w:w="6506" w:type="dxa"/>
            <w:shd w:val="clear" w:color="000000" w:fill="FFFFFF"/>
          </w:tcPr>
          <w:p w14:paraId="45F10EAB" w14:textId="77777777" w:rsidR="009837EA" w:rsidRPr="00253685" w:rsidRDefault="009837EA" w:rsidP="009837EA">
            <w:pPr>
              <w:jc w:val="both"/>
              <w:rPr>
                <w:b/>
                <w:bCs/>
                <w:sz w:val="20"/>
                <w:szCs w:val="20"/>
              </w:rPr>
            </w:pPr>
            <w:r w:rsidRPr="00253685">
              <w:rPr>
                <w:b/>
                <w:bCs/>
                <w:sz w:val="20"/>
                <w:szCs w:val="20"/>
              </w:rPr>
              <w:lastRenderedPageBreak/>
              <w:t>Primární a konečná roční spotřeba energie (ktoe):</w:t>
            </w:r>
          </w:p>
          <w:p w14:paraId="0AD38F2A" w14:textId="7C330D06" w:rsidR="009837EA" w:rsidRPr="00C3313C" w:rsidRDefault="009837EA" w:rsidP="009837EA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53685">
              <w:rPr>
                <w:sz w:val="20"/>
                <w:szCs w:val="20"/>
              </w:rPr>
              <w:t xml:space="preserve">podle konečného využití </w:t>
            </w:r>
            <w:r w:rsidR="003A062F">
              <w:rPr>
                <w:sz w:val="20"/>
                <w:szCs w:val="20"/>
              </w:rPr>
              <w:t xml:space="preserve">a dle </w:t>
            </w:r>
            <w:r w:rsidR="002827FD">
              <w:rPr>
                <w:sz w:val="20"/>
                <w:szCs w:val="20"/>
              </w:rPr>
              <w:t>energonositelů</w:t>
            </w:r>
            <w:r w:rsidRPr="00253685">
              <w:rPr>
                <w:sz w:val="20"/>
                <w:szCs w:val="20"/>
              </w:rPr>
              <w:t>– vytápění, chlazení, ohřev vody, vaření, osvětlení a spotřebiče</w:t>
            </w:r>
          </w:p>
        </w:tc>
        <w:tc>
          <w:tcPr>
            <w:tcW w:w="2977" w:type="dxa"/>
            <w:shd w:val="clear" w:color="000000" w:fill="FFFFFF"/>
          </w:tcPr>
          <w:p w14:paraId="7127FFBE" w14:textId="71BAFCD9" w:rsidR="009837EA" w:rsidRPr="00DA1FBC" w:rsidRDefault="009837EA" w:rsidP="009837EA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23377">
              <w:t xml:space="preserve"> </w:t>
            </w:r>
          </w:p>
        </w:tc>
      </w:tr>
      <w:tr w:rsidR="00B515E2" w:rsidRPr="00DA1FBC" w14:paraId="435168B5" w14:textId="77777777" w:rsidTr="00A40547">
        <w:trPr>
          <w:trHeight w:val="315"/>
        </w:trPr>
        <w:tc>
          <w:tcPr>
            <w:tcW w:w="6506" w:type="dxa"/>
            <w:shd w:val="clear" w:color="000000" w:fill="FFFFFF"/>
          </w:tcPr>
          <w:p w14:paraId="0C328834" w14:textId="53F59C9C" w:rsidR="00B515E2" w:rsidRPr="00253685" w:rsidRDefault="00B515E2" w:rsidP="00B515E2">
            <w:pPr>
              <w:jc w:val="both"/>
              <w:rPr>
                <w:b/>
                <w:bCs/>
                <w:sz w:val="20"/>
                <w:szCs w:val="20"/>
              </w:rPr>
            </w:pPr>
            <w:r w:rsidRPr="00253685">
              <w:rPr>
                <w:b/>
                <w:bCs/>
                <w:sz w:val="20"/>
                <w:szCs w:val="20"/>
              </w:rPr>
              <w:t>Podíl energie z</w:t>
            </w:r>
            <w:r w:rsidR="00423B90">
              <w:rPr>
                <w:b/>
                <w:bCs/>
                <w:sz w:val="20"/>
                <w:szCs w:val="20"/>
              </w:rPr>
              <w:t> </w:t>
            </w:r>
            <w:r w:rsidRPr="00253685">
              <w:rPr>
                <w:b/>
                <w:bCs/>
                <w:sz w:val="20"/>
                <w:szCs w:val="20"/>
              </w:rPr>
              <w:t>obnovitelných zdrojů v</w:t>
            </w:r>
            <w:r w:rsidR="00423B90">
              <w:rPr>
                <w:b/>
                <w:bCs/>
                <w:sz w:val="20"/>
                <w:szCs w:val="20"/>
              </w:rPr>
              <w:t> </w:t>
            </w:r>
            <w:r w:rsidRPr="00253685">
              <w:rPr>
                <w:b/>
                <w:bCs/>
                <w:sz w:val="20"/>
                <w:szCs w:val="20"/>
              </w:rPr>
              <w:t>sektoru budov (MW instalované</w:t>
            </w:r>
            <w:r w:rsidR="000E435C">
              <w:rPr>
                <w:b/>
                <w:bCs/>
                <w:sz w:val="20"/>
                <w:szCs w:val="20"/>
              </w:rPr>
              <w:t>ho výkonu</w:t>
            </w:r>
            <w:r w:rsidRPr="00253685">
              <w:rPr>
                <w:b/>
                <w:bCs/>
                <w:sz w:val="20"/>
                <w:szCs w:val="20"/>
              </w:rPr>
              <w:t xml:space="preserve"> nebo GWh vyrobené energie):</w:t>
            </w:r>
          </w:p>
          <w:p w14:paraId="15EAFAA6" w14:textId="29271F68" w:rsidR="00B515E2" w:rsidRPr="00B515E2" w:rsidRDefault="00B515E2" w:rsidP="00B515E2">
            <w:pPr>
              <w:jc w:val="both"/>
              <w:rPr>
                <w:b/>
                <w:bCs/>
                <w:sz w:val="20"/>
                <w:szCs w:val="20"/>
              </w:rPr>
            </w:pPr>
            <w:r w:rsidRPr="00253685">
              <w:rPr>
                <w:sz w:val="20"/>
                <w:szCs w:val="20"/>
              </w:rPr>
              <w:t>pro různá využití – vytápění, chlazení, ohřev vody, vaření, osvětlení a spotřebiče</w:t>
            </w:r>
          </w:p>
        </w:tc>
        <w:tc>
          <w:tcPr>
            <w:tcW w:w="2977" w:type="dxa"/>
            <w:shd w:val="clear" w:color="000000" w:fill="FFFFFF"/>
          </w:tcPr>
          <w:p w14:paraId="729E7091" w14:textId="205FC46B" w:rsidR="00B515E2" w:rsidRPr="00023377" w:rsidRDefault="00B515E2" w:rsidP="00B515E2">
            <w:pPr>
              <w:jc w:val="both"/>
            </w:pPr>
            <w:r w:rsidRPr="00A210B4">
              <w:t xml:space="preserve"> </w:t>
            </w:r>
          </w:p>
        </w:tc>
      </w:tr>
      <w:tr w:rsidR="00B515E2" w:rsidRPr="00DA1FBC" w14:paraId="5924F9CA" w14:textId="77777777" w:rsidTr="00A40547">
        <w:trPr>
          <w:trHeight w:val="315"/>
        </w:trPr>
        <w:tc>
          <w:tcPr>
            <w:tcW w:w="6506" w:type="dxa"/>
            <w:shd w:val="clear" w:color="000000" w:fill="FFFFFF"/>
          </w:tcPr>
          <w:p w14:paraId="0A8311D7" w14:textId="02432525" w:rsidR="00B515E2" w:rsidRPr="00B515E2" w:rsidRDefault="00B515E2" w:rsidP="00B515E2">
            <w:pPr>
              <w:jc w:val="both"/>
              <w:rPr>
                <w:b/>
                <w:bCs/>
                <w:sz w:val="20"/>
                <w:szCs w:val="20"/>
              </w:rPr>
            </w:pPr>
            <w:r w:rsidRPr="00253685">
              <w:rPr>
                <w:sz w:val="20"/>
                <w:szCs w:val="20"/>
              </w:rPr>
              <w:t>Podíl otopné soustavy v</w:t>
            </w:r>
            <w:r w:rsidR="00423B90">
              <w:rPr>
                <w:sz w:val="20"/>
                <w:szCs w:val="20"/>
              </w:rPr>
              <w:t> </w:t>
            </w:r>
            <w:r w:rsidRPr="00253685">
              <w:rPr>
                <w:sz w:val="20"/>
                <w:szCs w:val="20"/>
              </w:rPr>
              <w:t>sektoru budov podle typu soustavy kotlů / otopné soustavy</w:t>
            </w:r>
          </w:p>
        </w:tc>
        <w:tc>
          <w:tcPr>
            <w:tcW w:w="2977" w:type="dxa"/>
            <w:shd w:val="clear" w:color="000000" w:fill="FFFFFF"/>
          </w:tcPr>
          <w:p w14:paraId="61501AE7" w14:textId="77777777" w:rsidR="00B515E2" w:rsidRPr="00023377" w:rsidRDefault="00B515E2" w:rsidP="00B515E2">
            <w:pPr>
              <w:jc w:val="both"/>
            </w:pPr>
          </w:p>
        </w:tc>
      </w:tr>
    </w:tbl>
    <w:p w14:paraId="6EF07C38" w14:textId="77777777" w:rsidR="00FD1F91" w:rsidRDefault="00FD1F91" w:rsidP="007F66D3">
      <w:pPr>
        <w:spacing w:line="276" w:lineRule="auto"/>
        <w:jc w:val="both"/>
      </w:pPr>
    </w:p>
    <w:p w14:paraId="1E0A3C8F" w14:textId="09C1EC01" w:rsidR="001D11F2" w:rsidRDefault="001D11F2" w:rsidP="007F66D3">
      <w:pPr>
        <w:spacing w:line="276" w:lineRule="auto"/>
        <w:jc w:val="both"/>
      </w:pPr>
      <w:r w:rsidRPr="001D11F2">
        <w:t>Dále se analýza bude věnovat přehledu překážek trhu a selhání trhu, přehledu kapacit v odvětví stavebnictví, energetické účinnosti a obnovitelných zdrojů energie a podílu zranitelných domácností (případně na základě statistického vzorku). Výstup bude obsahovat následující indikátory: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0"/>
        <w:gridCol w:w="1843"/>
      </w:tblGrid>
      <w:tr w:rsidR="00701287" w:rsidRPr="00DA1FBC" w14:paraId="46B9CDEE" w14:textId="77777777" w:rsidTr="002E2E2F">
        <w:trPr>
          <w:trHeight w:val="330"/>
        </w:trPr>
        <w:tc>
          <w:tcPr>
            <w:tcW w:w="7640" w:type="dxa"/>
            <w:shd w:val="clear" w:color="000000" w:fill="FFFFFF"/>
            <w:vAlign w:val="center"/>
            <w:hideMark/>
          </w:tcPr>
          <w:p w14:paraId="39F8BF65" w14:textId="0AAAD534" w:rsidR="00701287" w:rsidRPr="00DA1FBC" w:rsidRDefault="0070128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Indikátory: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6D36441" w14:textId="77777777" w:rsidR="00701287" w:rsidRPr="00DA1FBC" w:rsidRDefault="0070128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Poznámky</w:t>
            </w:r>
          </w:p>
        </w:tc>
      </w:tr>
      <w:tr w:rsidR="00701287" w:rsidRPr="002A6ABB" w14:paraId="159798CD" w14:textId="77777777" w:rsidTr="002E2E2F">
        <w:trPr>
          <w:trHeight w:val="321"/>
        </w:trPr>
        <w:tc>
          <w:tcPr>
            <w:tcW w:w="7640" w:type="dxa"/>
            <w:shd w:val="clear" w:color="000000" w:fill="FFFFFF"/>
          </w:tcPr>
          <w:p w14:paraId="1F251322" w14:textId="78A17B45" w:rsidR="00701287" w:rsidRPr="00DA1FBC" w:rsidRDefault="0070128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2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Snížení nákladů na energii (v EUR) na domácnost (průměr)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C5BB765" w14:textId="77777777" w:rsidR="00701287" w:rsidRPr="00701287" w:rsidRDefault="00701287" w:rsidP="00701287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507B8" w:rsidRPr="002A6ABB" w14:paraId="4C6DCF29" w14:textId="77777777" w:rsidTr="002E2E2F">
        <w:trPr>
          <w:trHeight w:val="630"/>
        </w:trPr>
        <w:tc>
          <w:tcPr>
            <w:tcW w:w="7640" w:type="dxa"/>
            <w:shd w:val="clear" w:color="000000" w:fill="FFFFFF"/>
            <w:hideMark/>
          </w:tcPr>
          <w:p w14:paraId="1313C189" w14:textId="77777777" w:rsidR="00A507B8" w:rsidRDefault="00A507B8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Překážky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selhání trhu (popis):</w:t>
            </w:r>
          </w:p>
          <w:p w14:paraId="77F4553F" w14:textId="686D94C4" w:rsidR="00A507B8" w:rsidRDefault="00A507B8" w:rsidP="0001762F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správní</w:t>
            </w:r>
            <w:r w:rsidR="003D78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(administrativní)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</w:t>
            </w:r>
          </w:p>
          <w:p w14:paraId="73773FBB" w14:textId="77777777" w:rsidR="00A507B8" w:rsidRDefault="00A507B8" w:rsidP="0001762F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finanční,</w:t>
            </w:r>
          </w:p>
          <w:p w14:paraId="40D4CDDD" w14:textId="77777777" w:rsidR="00A507B8" w:rsidRDefault="00A507B8" w:rsidP="0001762F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technické,</w:t>
            </w:r>
          </w:p>
          <w:p w14:paraId="3EEA6489" w14:textId="77777777" w:rsidR="00A507B8" w:rsidRDefault="00A507B8" w:rsidP="0001762F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osvětové,</w:t>
            </w:r>
          </w:p>
          <w:p w14:paraId="231AEBED" w14:textId="5DB174E5" w:rsidR="00A507B8" w:rsidRDefault="00A507B8" w:rsidP="0001762F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60D52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  <w:p w14:paraId="411FC006" w14:textId="5545642E" w:rsidR="00A507B8" w:rsidRPr="00855312" w:rsidRDefault="00855312" w:rsidP="00A507B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3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="00A507B8" w:rsidRPr="008553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ozdělené pobídky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A16815D" w14:textId="44734585" w:rsidR="00A507B8" w:rsidRPr="00701287" w:rsidRDefault="00E22554" w:rsidP="00701287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Vyčíslit u všech kategorii a popsat jaké mají dopady</w:t>
            </w:r>
          </w:p>
        </w:tc>
      </w:tr>
      <w:tr w:rsidR="00A507B8" w:rsidRPr="00DA1FBC" w14:paraId="427FB44D" w14:textId="77777777" w:rsidTr="002E2E2F">
        <w:trPr>
          <w:trHeight w:val="840"/>
        </w:trPr>
        <w:tc>
          <w:tcPr>
            <w:tcW w:w="7640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57AA7EF" w14:textId="77777777" w:rsidR="00A507B8" w:rsidRDefault="00A507B8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Posouzení kapacit v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odvětví stavebnictví, energetické účinnosti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energie 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obnovitelných zdrojů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4D892FAD" w14:textId="77777777" w:rsidR="00A507B8" w:rsidRDefault="00A507B8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Počet:</w:t>
            </w:r>
          </w:p>
          <w:p w14:paraId="22F6CE00" w14:textId="77777777" w:rsidR="00A507B8" w:rsidRDefault="00A507B8" w:rsidP="0001762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společností poskytujících energetické služby,</w:t>
            </w:r>
          </w:p>
          <w:p w14:paraId="71499AC8" w14:textId="77777777" w:rsidR="00A507B8" w:rsidRDefault="00A507B8" w:rsidP="0001762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stavebních společností,</w:t>
            </w:r>
          </w:p>
          <w:p w14:paraId="2FC3E11F" w14:textId="77777777" w:rsidR="00A507B8" w:rsidRDefault="00A507B8" w:rsidP="0001762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architektů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inženýrů,</w:t>
            </w:r>
          </w:p>
          <w:p w14:paraId="08A01C7C" w14:textId="77777777" w:rsidR="00A507B8" w:rsidRDefault="00A507B8" w:rsidP="0001762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kvalifikovaných pracovníků,</w:t>
            </w:r>
          </w:p>
          <w:p w14:paraId="017179B2" w14:textId="5748DF21" w:rsidR="00A507B8" w:rsidRDefault="00A507B8" w:rsidP="0001762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jednotn</w:t>
            </w:r>
            <w:r w:rsidR="003D78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ých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kontaktní</w:t>
            </w:r>
            <w:r w:rsidR="003D784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míst,</w:t>
            </w:r>
          </w:p>
          <w:p w14:paraId="7956616D" w14:textId="77777777" w:rsidR="00A507B8" w:rsidRDefault="00A507B8" w:rsidP="0001762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malých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středních podniků 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odvětví stavebnictví nebo renovace,</w:t>
            </w:r>
          </w:p>
          <w:p w14:paraId="01E4828C" w14:textId="77777777" w:rsidR="00A507B8" w:rsidRPr="002A6ABB" w:rsidRDefault="00A507B8" w:rsidP="0001762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společenství pro obnovitelné zdroje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občanské iniciativy 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oblasti renovací</w:t>
            </w:r>
          </w:p>
          <w:p w14:paraId="3670DBC0" w14:textId="77777777" w:rsidR="00A507B8" w:rsidRDefault="00A507B8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  <w:p w14:paraId="22AB12A5" w14:textId="77777777" w:rsidR="00A507B8" w:rsidRPr="00DA1FBC" w:rsidRDefault="00A507B8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Prognózy týkající se pracovníků ve stavebnictví:</w:t>
            </w:r>
          </w:p>
          <w:p w14:paraId="17F70FC6" w14:textId="77777777" w:rsidR="00A507B8" w:rsidRDefault="00A507B8" w:rsidP="0001762F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architekti / inženýři / kvalifikovaní pracovníci 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důchodu,</w:t>
            </w:r>
          </w:p>
          <w:p w14:paraId="7C24CB82" w14:textId="77777777" w:rsidR="00A507B8" w:rsidRDefault="00A507B8" w:rsidP="0001762F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architekti / inženýři / kvalifikovaní pracovníci vstupující na trh,</w:t>
            </w:r>
          </w:p>
          <w:p w14:paraId="2A4931A0" w14:textId="77777777" w:rsidR="00A507B8" w:rsidRDefault="00A507B8" w:rsidP="0001762F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mladí lidé 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2A6AB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tomto odvětví,</w:t>
            </w:r>
          </w:p>
          <w:p w14:paraId="605E7ABD" w14:textId="00752CED" w:rsidR="00A507B8" w:rsidRPr="00A507B8" w:rsidRDefault="00A507B8" w:rsidP="00A507B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A507B8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ženy v tomto odvětví</w:t>
            </w:r>
          </w:p>
          <w:p w14:paraId="3AE7DCA3" w14:textId="77777777" w:rsidR="00A507B8" w:rsidRDefault="00A507B8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  <w:p w14:paraId="239784B8" w14:textId="5501A370" w:rsidR="00A507B8" w:rsidRPr="00DA1FBC" w:rsidRDefault="00A507B8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A1F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Přehled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DA1F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prognóza vývoje cen stavebních materiálů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DA1FB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vývoje na vnitrostátním trhu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6CB5B71" w14:textId="77777777" w:rsidR="00A507B8" w:rsidRPr="00DA1FBC" w:rsidRDefault="00A507B8" w:rsidP="0001762F">
            <w:pPr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A507B8" w:rsidRPr="00DA1FBC" w14:paraId="05A9C2BE" w14:textId="77777777" w:rsidTr="002E2E2F">
        <w:trPr>
          <w:trHeight w:val="315"/>
        </w:trPr>
        <w:tc>
          <w:tcPr>
            <w:tcW w:w="7640" w:type="dxa"/>
            <w:shd w:val="clear" w:color="000000" w:fill="FFFFFF"/>
          </w:tcPr>
          <w:p w14:paraId="417A9489" w14:textId="77777777" w:rsidR="00A507B8" w:rsidRPr="00517798" w:rsidRDefault="00A507B8" w:rsidP="0001762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51779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Energetická chudoba:</w:t>
            </w:r>
          </w:p>
          <w:p w14:paraId="7ECAA740" w14:textId="77777777" w:rsidR="001D11F2" w:rsidRPr="00517798" w:rsidRDefault="001D11F2" w:rsidP="001D11F2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517798">
              <w:rPr>
                <w:rFonts w:eastAsia="Times New Roman"/>
                <w:sz w:val="20"/>
                <w:szCs w:val="20"/>
                <w:lang w:eastAsia="cs-CZ"/>
              </w:rPr>
              <w:t>% osob postižených energetickou chudobou,</w:t>
            </w:r>
          </w:p>
          <w:p w14:paraId="67B2D7B3" w14:textId="77777777" w:rsidR="001D11F2" w:rsidRPr="00517798" w:rsidRDefault="001D11F2" w:rsidP="001D11F2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517798">
              <w:rPr>
                <w:rFonts w:eastAsia="Times New Roman"/>
                <w:sz w:val="20"/>
                <w:szCs w:val="20"/>
                <w:lang w:eastAsia="cs-CZ"/>
              </w:rPr>
              <w:t>podíl disponibilního příjmu domácnosti vynaloženého na energie,</w:t>
            </w:r>
          </w:p>
          <w:p w14:paraId="3834B4EE" w14:textId="58AD4BF2" w:rsidR="001D11F2" w:rsidRPr="00517798" w:rsidRDefault="001D11F2" w:rsidP="001D11F2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517798">
              <w:rPr>
                <w:rFonts w:eastAsia="Times New Roman"/>
                <w:sz w:val="20"/>
                <w:szCs w:val="20"/>
                <w:lang w:eastAsia="cs-CZ"/>
              </w:rPr>
              <w:t>obyvatelstvo žijící v nevyhovujících podmínkách bydlení (např. prosakující střecha) nebo s nedostatečnými podmínkami tepelné pohody (</w:t>
            </w:r>
            <w:hyperlink r:id="rId8" w:history="1">
              <w:r w:rsidRPr="00517798">
                <w:rPr>
                  <w:rFonts w:eastAsia="Times New Roman"/>
                  <w:sz w:val="20"/>
                  <w:szCs w:val="20"/>
                  <w:lang w:eastAsia="cs-CZ"/>
                </w:rPr>
                <w:t>v % se nachází v EUROSTAT</w:t>
              </w:r>
            </w:hyperlink>
            <w:r w:rsidRPr="00517798">
              <w:rPr>
                <w:rFonts w:eastAsia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90DE8D3" w14:textId="3D9367C0" w:rsidR="00A507B8" w:rsidRPr="00517798" w:rsidRDefault="001D11F2" w:rsidP="00437DF2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517798">
              <w:rPr>
                <w:sz w:val="20"/>
                <w:szCs w:val="20"/>
              </w:rPr>
              <w:t xml:space="preserve">spolupráce s </w:t>
            </w:r>
            <w:r w:rsidR="00FB2F4A" w:rsidRPr="00517798">
              <w:rPr>
                <w:sz w:val="20"/>
                <w:szCs w:val="20"/>
              </w:rPr>
              <w:t>MPO</w:t>
            </w:r>
            <w:r w:rsidRPr="00517798">
              <w:rPr>
                <w:sz w:val="20"/>
                <w:szCs w:val="20"/>
              </w:rPr>
              <w:t>, je potřeba nadefinovat z</w:t>
            </w:r>
            <w:r w:rsidR="00437DF2" w:rsidRPr="00517798">
              <w:rPr>
                <w:sz w:val="20"/>
                <w:szCs w:val="20"/>
              </w:rPr>
              <w:t>e</w:t>
            </w:r>
            <w:r w:rsidRPr="00517798">
              <w:rPr>
                <w:sz w:val="20"/>
                <w:szCs w:val="20"/>
              </w:rPr>
              <w:t xml:space="preserve"> strany</w:t>
            </w:r>
            <w:r w:rsidR="00437DF2" w:rsidRPr="00517798">
              <w:rPr>
                <w:sz w:val="20"/>
                <w:szCs w:val="20"/>
              </w:rPr>
              <w:t xml:space="preserve"> MPO</w:t>
            </w:r>
          </w:p>
        </w:tc>
      </w:tr>
      <w:tr w:rsidR="002827FD" w:rsidRPr="00DA1FBC" w14:paraId="1F62FA9D" w14:textId="77777777" w:rsidTr="002E2E2F">
        <w:trPr>
          <w:trHeight w:val="315"/>
        </w:trPr>
        <w:tc>
          <w:tcPr>
            <w:tcW w:w="7640" w:type="dxa"/>
            <w:shd w:val="clear" w:color="000000" w:fill="FFFFFF"/>
          </w:tcPr>
          <w:p w14:paraId="0335C0EA" w14:textId="6644432D" w:rsidR="002827FD" w:rsidRDefault="002827FD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27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Kvalita vnitřního prostředí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143133A0" w14:textId="068438E1" w:rsidR="002827FD" w:rsidRPr="00BB1244" w:rsidRDefault="002827FD" w:rsidP="002827FD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B12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způsoby měření chemických </w:t>
            </w:r>
            <w:r w:rsidR="00BB1244" w:rsidRPr="00BB12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ukazatelů – </w:t>
            </w:r>
            <w:proofErr w:type="gramStart"/>
            <w:r w:rsidR="00BB1244" w:rsidRPr="00BB12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CO2</w:t>
            </w:r>
            <w:r w:rsidRPr="00BB12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max</w:t>
            </w:r>
            <w:proofErr w:type="gramEnd"/>
            <w:r w:rsidRPr="00BB12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hodnota, která nesmí být překročena je 1200 ppm </w:t>
            </w:r>
          </w:p>
          <w:p w14:paraId="795B0B55" w14:textId="03857135" w:rsidR="00BB1244" w:rsidRDefault="002827FD" w:rsidP="00BB124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B12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těkavé látky</w:t>
            </w:r>
          </w:p>
          <w:p w14:paraId="7906EF7A" w14:textId="76D4D888" w:rsidR="00BB1244" w:rsidRDefault="00BB1244" w:rsidP="00BB124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B12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vlhkost vnitřního prostředí</w:t>
            </w:r>
          </w:p>
          <w:p w14:paraId="33D8D068" w14:textId="075FD9DE" w:rsidR="002827FD" w:rsidRPr="00BB1244" w:rsidRDefault="002827FD" w:rsidP="00BB1244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FBFE28D" w14:textId="77777777" w:rsidR="002827FD" w:rsidRPr="00253685" w:rsidRDefault="002827FD" w:rsidP="00437DF2">
            <w:pPr>
              <w:rPr>
                <w:sz w:val="20"/>
                <w:szCs w:val="20"/>
              </w:rPr>
            </w:pPr>
          </w:p>
        </w:tc>
      </w:tr>
    </w:tbl>
    <w:p w14:paraId="7CA31774" w14:textId="77777777" w:rsidR="00D46849" w:rsidRDefault="00D46849" w:rsidP="007F66D3">
      <w:pPr>
        <w:jc w:val="both"/>
        <w:rPr>
          <w:b/>
          <w:bCs/>
        </w:rPr>
      </w:pPr>
    </w:p>
    <w:p w14:paraId="68ECC5AF" w14:textId="71B490F7" w:rsidR="00B92264" w:rsidRPr="008708D2" w:rsidRDefault="00B92264" w:rsidP="007F66D3">
      <w:pPr>
        <w:pStyle w:val="Odstavecseseznamem"/>
        <w:numPr>
          <w:ilvl w:val="0"/>
          <w:numId w:val="29"/>
        </w:numPr>
        <w:jc w:val="both"/>
        <w:rPr>
          <w:b/>
          <w:bCs/>
        </w:rPr>
      </w:pPr>
      <w:r w:rsidRPr="008708D2">
        <w:rPr>
          <w:b/>
          <w:bCs/>
        </w:rPr>
        <w:t>Roadmap</w:t>
      </w:r>
      <w:r w:rsidR="0038593C">
        <w:rPr>
          <w:b/>
          <w:bCs/>
        </w:rPr>
        <w:t>y</w:t>
      </w:r>
      <w:r w:rsidRPr="008708D2">
        <w:rPr>
          <w:b/>
          <w:bCs/>
        </w:rPr>
        <w:t xml:space="preserve"> pro rok</w:t>
      </w:r>
      <w:r w:rsidR="00D5038F">
        <w:rPr>
          <w:b/>
          <w:bCs/>
        </w:rPr>
        <w:t>y</w:t>
      </w:r>
      <w:r w:rsidRPr="008708D2">
        <w:rPr>
          <w:b/>
          <w:bCs/>
        </w:rPr>
        <w:t xml:space="preserve"> 2030, 2040 a</w:t>
      </w:r>
      <w:r w:rsidR="0034669B" w:rsidRPr="008708D2">
        <w:rPr>
          <w:b/>
          <w:bCs/>
        </w:rPr>
        <w:t> </w:t>
      </w:r>
      <w:r w:rsidRPr="008708D2">
        <w:rPr>
          <w:b/>
          <w:bCs/>
        </w:rPr>
        <w:t>2050</w:t>
      </w:r>
    </w:p>
    <w:p w14:paraId="4FE44E03" w14:textId="77777777" w:rsidR="001D11F2" w:rsidRDefault="001D11F2" w:rsidP="001D11F2">
      <w:pPr>
        <w:spacing w:line="276" w:lineRule="auto"/>
        <w:jc w:val="both"/>
      </w:pPr>
      <w:r>
        <w:t>Výstupem této části je namodelování tří scénářů na základě níže popsaných indikátorů.</w:t>
      </w:r>
    </w:p>
    <w:p w14:paraId="657CEF97" w14:textId="77777777" w:rsidR="001D11F2" w:rsidRDefault="001D11F2" w:rsidP="001D11F2">
      <w:pPr>
        <w:spacing w:line="276" w:lineRule="auto"/>
        <w:jc w:val="both"/>
      </w:pPr>
      <w:r>
        <w:t>Výstup bude sloužit MPO jako:</w:t>
      </w:r>
    </w:p>
    <w:p w14:paraId="7ACF7EDC" w14:textId="19102CED" w:rsidR="001D11F2" w:rsidRDefault="001D11F2" w:rsidP="001D11F2">
      <w:pPr>
        <w:pStyle w:val="Odstavecseseznamem"/>
        <w:numPr>
          <w:ilvl w:val="0"/>
          <w:numId w:val="35"/>
        </w:numPr>
        <w:spacing w:line="276" w:lineRule="auto"/>
        <w:jc w:val="both"/>
      </w:pPr>
      <w:r>
        <w:lastRenderedPageBreak/>
        <w:t>podklad pro sestavení plánu s vnitrostátními cíli s ohledem na klimatickou neutralitu do roku 2050</w:t>
      </w:r>
    </w:p>
    <w:p w14:paraId="34DEFBD9" w14:textId="6F556408" w:rsidR="001D11F2" w:rsidRDefault="001D11F2" w:rsidP="001D11F2">
      <w:pPr>
        <w:pStyle w:val="Odstavecseseznamem"/>
        <w:numPr>
          <w:ilvl w:val="0"/>
          <w:numId w:val="35"/>
        </w:numPr>
        <w:spacing w:line="276" w:lineRule="auto"/>
        <w:jc w:val="both"/>
      </w:pPr>
      <w:r>
        <w:t>ukazatele pro měření pokroku Vnitrostátního plánu renovace budov</w:t>
      </w:r>
    </w:p>
    <w:p w14:paraId="1C23A059" w14:textId="1F14645B" w:rsidR="00D45713" w:rsidRDefault="001D11F2" w:rsidP="001D11F2">
      <w:pPr>
        <w:pStyle w:val="Odstavecseseznamem"/>
        <w:numPr>
          <w:ilvl w:val="0"/>
          <w:numId w:val="35"/>
        </w:numPr>
        <w:spacing w:line="276" w:lineRule="auto"/>
        <w:jc w:val="both"/>
      </w:pPr>
      <w:r>
        <w:t>podklad, díky kterému bude možné stanovit minimální a maximální standardy energetické náročnosti budov</w:t>
      </w:r>
    </w:p>
    <w:p w14:paraId="7DF2B036" w14:textId="4E0CD697" w:rsidR="001D11F2" w:rsidRDefault="001D11F2" w:rsidP="001D11F2">
      <w:pPr>
        <w:spacing w:line="276" w:lineRule="auto"/>
        <w:jc w:val="both"/>
      </w:pPr>
      <w:r>
        <w:t xml:space="preserve">Jedná se tedy o modelování snižování indikátorů fondu budov k roku 2050 s cílem dosáhnout klimatické neutrality. Časový rámec </w:t>
      </w:r>
      <w:r w:rsidR="00F12923">
        <w:t>indikátorů</w:t>
      </w:r>
      <w:r>
        <w:t xml:space="preserve"> bude v rozpětí 2019 až 2023 (dle dostupnosti dat), a pak</w:t>
      </w:r>
      <w:r w:rsidR="00F12923">
        <w:t xml:space="preserve"> výhledové</w:t>
      </w:r>
      <w:r>
        <w:t xml:space="preserve"> roční modelování až po rok 2050.</w:t>
      </w:r>
    </w:p>
    <w:p w14:paraId="625EF875" w14:textId="77777777" w:rsidR="001D11F2" w:rsidRDefault="001D11F2" w:rsidP="001D11F2">
      <w:pPr>
        <w:spacing w:line="276" w:lineRule="auto"/>
        <w:jc w:val="both"/>
      </w:pPr>
    </w:p>
    <w:p w14:paraId="706E8F9F" w14:textId="40BAEC7E" w:rsidR="001D11F2" w:rsidRDefault="001D11F2" w:rsidP="001D11F2">
      <w:pPr>
        <w:spacing w:line="276" w:lineRule="auto"/>
        <w:jc w:val="both"/>
      </w:pPr>
      <w:r>
        <w:t>U fondu obytných budov je potřeba modelace trajektorie pro postupnou renovaci (rodinné domy různých typů a bytové domy) od roku 2019 až do roku 2050 s cílem transformace vnitrostátního fondu budov na fond budov</w:t>
      </w:r>
      <w:r w:rsidR="00F12923">
        <w:t>y</w:t>
      </w:r>
      <w:r>
        <w:t xml:space="preserve"> s nulovými emisemi do roku 2050. Vnitrostátní trajektorie pro postupnou renovaci vnitrostátního fondu obytných budov se vyjádří jako pokles průměrné spotřeby primární energie v kWh</w:t>
      </w:r>
      <w:r w:rsidR="00E22554">
        <w:t>/ (</w:t>
      </w:r>
      <w:r>
        <w:t>m².r) celého fondu obytných budov za období od roku 2019 do roku 2050. Tato trajektorie určí počet obytných budov a bytových jednotek a podlahovou plochu, které mají být každoročně renovovány. Jedná se o data z let 2019 až 2050</w:t>
      </w:r>
      <w:r w:rsidR="00F12923">
        <w:t>, třeba</w:t>
      </w:r>
      <w:r>
        <w:t xml:space="preserve"> vypracov</w:t>
      </w:r>
      <w:r w:rsidR="00F12923">
        <w:t>at</w:t>
      </w:r>
      <w:r>
        <w:t xml:space="preserve"> na roční bázi.</w:t>
      </w:r>
    </w:p>
    <w:p w14:paraId="5C88AEE9" w14:textId="77777777" w:rsidR="001D11F2" w:rsidRDefault="001D11F2" w:rsidP="001D11F2">
      <w:pPr>
        <w:spacing w:line="276" w:lineRule="auto"/>
        <w:jc w:val="both"/>
      </w:pPr>
    </w:p>
    <w:p w14:paraId="11F9589A" w14:textId="772118A5" w:rsidR="00D45713" w:rsidRDefault="001D11F2" w:rsidP="001D11F2">
      <w:pPr>
        <w:spacing w:line="276" w:lineRule="auto"/>
        <w:jc w:val="both"/>
      </w:pPr>
      <w:r>
        <w:t>Posledním výstupem bude fakticky podložený odhad očekávaných úspor energie dle článku 8 a přílohy V EED a širších přínosů, včetně přínosů co do kvality vnitřního prostředí, pro roky 2040 a 2050.</w:t>
      </w:r>
    </w:p>
    <w:p w14:paraId="4BBB591F" w14:textId="77777777" w:rsidR="001D11F2" w:rsidRDefault="001D11F2" w:rsidP="001D11F2">
      <w:pPr>
        <w:spacing w:line="276" w:lineRule="auto"/>
        <w:jc w:val="both"/>
      </w:pPr>
    </w:p>
    <w:p w14:paraId="4B30E47F" w14:textId="41D9CAF5" w:rsidR="00843B75" w:rsidRPr="001D11F2" w:rsidRDefault="001D11F2" w:rsidP="007F66D3">
      <w:pPr>
        <w:spacing w:line="276" w:lineRule="auto"/>
        <w:jc w:val="both"/>
      </w:pPr>
      <w:r w:rsidRPr="001D11F2">
        <w:t>Podrobnější rozpad typů budov a které indikátory je potřebné vyčíslit u jednotlivých typů budov se nachází v příloze List</w:t>
      </w:r>
      <w:r w:rsidR="00843B75">
        <w:t xml:space="preserve"> </w:t>
      </w:r>
      <w:r w:rsidR="00843B75">
        <w:rPr>
          <w:i/>
          <w:iCs/>
        </w:rPr>
        <w:t>Roadmapy.</w:t>
      </w:r>
      <w:r>
        <w:rPr>
          <w:i/>
          <w:iCs/>
        </w:rPr>
        <w:t xml:space="preserve"> </w:t>
      </w:r>
      <w:r w:rsidRPr="001D11F2">
        <w:t>Značka „x" značí, u jakého typu budov je potřeba vyčíslit jednotlivý indikátor.</w:t>
      </w:r>
    </w:p>
    <w:p w14:paraId="28D3B45C" w14:textId="77777777" w:rsidR="001D11F2" w:rsidRDefault="001D11F2" w:rsidP="007F66D3">
      <w:pPr>
        <w:spacing w:line="276" w:lineRule="auto"/>
        <w:jc w:val="both"/>
      </w:pPr>
    </w:p>
    <w:p w14:paraId="50B2FD6B" w14:textId="00C36AF8" w:rsidR="00843B75" w:rsidRPr="00DB3E2E" w:rsidRDefault="00843B75" w:rsidP="007F66D3">
      <w:pPr>
        <w:spacing w:line="276" w:lineRule="auto"/>
        <w:jc w:val="both"/>
      </w:pPr>
      <w:r>
        <w:t>Další indikátory, které je potřebné vyčíslit:</w:t>
      </w:r>
    </w:p>
    <w:p w14:paraId="261FBA21" w14:textId="5488CA03" w:rsidR="00C459C3" w:rsidRDefault="00C459C3" w:rsidP="00C459C3">
      <w:pPr>
        <w:jc w:val="both"/>
        <w:rPr>
          <w:b/>
          <w:bCs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3"/>
      </w:tblGrid>
      <w:tr w:rsidR="000D25B7" w:rsidRPr="00DA1FBC" w14:paraId="05DF5652" w14:textId="77777777" w:rsidTr="000D25B7">
        <w:trPr>
          <w:trHeight w:val="330"/>
        </w:trPr>
        <w:tc>
          <w:tcPr>
            <w:tcW w:w="9483" w:type="dxa"/>
            <w:shd w:val="clear" w:color="000000" w:fill="FFFFFF"/>
            <w:vAlign w:val="center"/>
            <w:hideMark/>
          </w:tcPr>
          <w:p w14:paraId="177233DB" w14:textId="6A7C6449" w:rsidR="000D25B7" w:rsidRPr="00DA1FBC" w:rsidRDefault="000D25B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Indikátory</w:t>
            </w:r>
          </w:p>
        </w:tc>
      </w:tr>
      <w:tr w:rsidR="000D25B7" w:rsidRPr="00727F44" w14:paraId="278750C0" w14:textId="77777777" w:rsidTr="000D25B7">
        <w:trPr>
          <w:trHeight w:val="323"/>
        </w:trPr>
        <w:tc>
          <w:tcPr>
            <w:tcW w:w="9483" w:type="dxa"/>
            <w:shd w:val="clear" w:color="000000" w:fill="FFFFFF"/>
            <w:hideMark/>
          </w:tcPr>
          <w:p w14:paraId="0A9933D8" w14:textId="77777777" w:rsidR="000D25B7" w:rsidRPr="00727F44" w:rsidRDefault="000D25B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rimární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konečn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roční spotřeb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energie (ktoe):</w:t>
            </w:r>
          </w:p>
        </w:tc>
      </w:tr>
      <w:tr w:rsidR="000D25B7" w:rsidRPr="00727F44" w14:paraId="4335091C" w14:textId="77777777" w:rsidTr="000D25B7">
        <w:trPr>
          <w:trHeight w:val="330"/>
        </w:trPr>
        <w:tc>
          <w:tcPr>
            <w:tcW w:w="9483" w:type="dxa"/>
            <w:shd w:val="clear" w:color="000000" w:fill="FFFFFF"/>
            <w:hideMark/>
          </w:tcPr>
          <w:p w14:paraId="56398D2E" w14:textId="2B64CDAC" w:rsidR="000D25B7" w:rsidRPr="00727F44" w:rsidRDefault="000D25B7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podle konečného </w:t>
            </w:r>
            <w:r w:rsidR="005E50CD"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využití</w:t>
            </w:r>
            <w:r w:rsidR="005E50CD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vytápění</w:t>
            </w:r>
            <w:r w:rsidRPr="000D25B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chlazení, ohřev vody, vaření, osvětlení a spotřebiče</w:t>
            </w:r>
          </w:p>
        </w:tc>
      </w:tr>
      <w:tr w:rsidR="000D25B7" w:rsidRPr="00727F44" w14:paraId="4D96AE5B" w14:textId="77777777" w:rsidTr="000D25B7">
        <w:trPr>
          <w:trHeight w:val="330"/>
        </w:trPr>
        <w:tc>
          <w:tcPr>
            <w:tcW w:w="9483" w:type="dxa"/>
            <w:shd w:val="clear" w:color="000000" w:fill="FFFFFF"/>
          </w:tcPr>
          <w:p w14:paraId="64AB519C" w14:textId="1085F9FF" w:rsidR="000D25B7" w:rsidRPr="00727F44" w:rsidRDefault="000D25B7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</w:t>
            </w:r>
            <w:r w:rsidRPr="003B40F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odíl energie z obnovitelných zdrojů (MW instalované</w:t>
            </w:r>
            <w:r w:rsidR="000E435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ho výkonu</w:t>
            </w:r>
            <w:r w:rsidRPr="003B40F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nebo GWh vyrobené energie)</w:t>
            </w:r>
          </w:p>
        </w:tc>
      </w:tr>
      <w:tr w:rsidR="000D25B7" w:rsidRPr="00727F44" w14:paraId="75B04008" w14:textId="77777777" w:rsidTr="000D25B7">
        <w:trPr>
          <w:trHeight w:val="330"/>
        </w:trPr>
        <w:tc>
          <w:tcPr>
            <w:tcW w:w="9483" w:type="dxa"/>
            <w:shd w:val="clear" w:color="000000" w:fill="FFFFFF"/>
          </w:tcPr>
          <w:p w14:paraId="28ABAA48" w14:textId="77777777" w:rsidR="000D25B7" w:rsidRPr="003B40F5" w:rsidRDefault="000D25B7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vývoj </w:t>
            </w:r>
            <w:r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solární energie 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budovách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a její predikce</w:t>
            </w:r>
          </w:p>
        </w:tc>
      </w:tr>
      <w:tr w:rsidR="000D25B7" w:rsidRPr="00727F44" w14:paraId="6A7B929E" w14:textId="77777777" w:rsidTr="000D25B7">
        <w:trPr>
          <w:trHeight w:val="315"/>
        </w:trPr>
        <w:tc>
          <w:tcPr>
            <w:tcW w:w="9483" w:type="dxa"/>
            <w:shd w:val="clear" w:color="000000" w:fill="FFFFFF"/>
            <w:hideMark/>
          </w:tcPr>
          <w:p w14:paraId="453FF962" w14:textId="77777777" w:rsidR="000D25B7" w:rsidRPr="00727F44" w:rsidRDefault="000D25B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Očekávané širší přínosy:</w:t>
            </w:r>
          </w:p>
        </w:tc>
      </w:tr>
      <w:tr w:rsidR="000D25B7" w:rsidRPr="00727F44" w14:paraId="48041A01" w14:textId="77777777" w:rsidTr="000D25B7">
        <w:trPr>
          <w:trHeight w:val="315"/>
        </w:trPr>
        <w:tc>
          <w:tcPr>
            <w:tcW w:w="9483" w:type="dxa"/>
            <w:shd w:val="clear" w:color="000000" w:fill="FFFFFF"/>
            <w:hideMark/>
          </w:tcPr>
          <w:p w14:paraId="21B4B2A8" w14:textId="13BBA0C9" w:rsidR="000D25B7" w:rsidRPr="00727F44" w:rsidRDefault="005E50CD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</w:t>
            </w:r>
            <w:r w:rsidR="000D25B7"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nížení počtu osob postižených energetickou chudobou (v %)</w:t>
            </w:r>
          </w:p>
        </w:tc>
      </w:tr>
      <w:tr w:rsidR="000D25B7" w:rsidRPr="00727F44" w14:paraId="02CDC6C1" w14:textId="77777777" w:rsidTr="000D25B7">
        <w:trPr>
          <w:trHeight w:val="330"/>
        </w:trPr>
        <w:tc>
          <w:tcPr>
            <w:tcW w:w="9483" w:type="dxa"/>
            <w:shd w:val="clear" w:color="000000" w:fill="FFFFFF"/>
            <w:hideMark/>
          </w:tcPr>
          <w:p w14:paraId="60667439" w14:textId="553312E1" w:rsidR="000D25B7" w:rsidRPr="00727F44" w:rsidRDefault="000D25B7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3B40F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Vytvoření nových pracovních příležitostí</w:t>
            </w:r>
          </w:p>
        </w:tc>
      </w:tr>
      <w:tr w:rsidR="000D25B7" w:rsidRPr="00727F44" w14:paraId="4E33049F" w14:textId="77777777" w:rsidTr="000D25B7">
        <w:trPr>
          <w:trHeight w:val="330"/>
        </w:trPr>
        <w:tc>
          <w:tcPr>
            <w:tcW w:w="9483" w:type="dxa"/>
            <w:shd w:val="clear" w:color="000000" w:fill="FFFFFF"/>
            <w:vAlign w:val="center"/>
          </w:tcPr>
          <w:p w14:paraId="2B4E8C18" w14:textId="3B58A0A2" w:rsidR="000D25B7" w:rsidRPr="00727F44" w:rsidRDefault="005E50CD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</w:t>
            </w:r>
            <w:r w:rsidR="000D25B7"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výšení HDP (podíl a</w:t>
            </w:r>
            <w:r w:rsidR="000D25B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="000D25B7"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miliardy EUR)</w:t>
            </w:r>
          </w:p>
        </w:tc>
      </w:tr>
      <w:tr w:rsidR="000D25B7" w:rsidRPr="00727F44" w14:paraId="0538E1EC" w14:textId="77777777" w:rsidTr="007233E1">
        <w:trPr>
          <w:trHeight w:val="611"/>
        </w:trPr>
        <w:tc>
          <w:tcPr>
            <w:tcW w:w="9483" w:type="dxa"/>
            <w:shd w:val="clear" w:color="000000" w:fill="FFFFFF"/>
            <w:hideMark/>
          </w:tcPr>
          <w:p w14:paraId="16452BCB" w14:textId="77777777" w:rsidR="000D25B7" w:rsidRPr="00727F44" w:rsidRDefault="000D25B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Příspěvek členského státu k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dosažení cílů Unie v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oblasti energetické účinnosti v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souladu 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článkem 4 směrnice (EU) 2023/1791, který lze připsat renovaci jeho fondu budov (podíl 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hodnota v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ktoe)</w:t>
            </w:r>
          </w:p>
        </w:tc>
      </w:tr>
      <w:tr w:rsidR="000D25B7" w:rsidRPr="00727F44" w14:paraId="154F1DBF" w14:textId="77777777" w:rsidTr="007233E1">
        <w:trPr>
          <w:trHeight w:val="562"/>
        </w:trPr>
        <w:tc>
          <w:tcPr>
            <w:tcW w:w="9483" w:type="dxa"/>
            <w:shd w:val="clear" w:color="000000" w:fill="FFFFFF"/>
            <w:hideMark/>
          </w:tcPr>
          <w:p w14:paraId="723FCF42" w14:textId="7ED45FA2" w:rsidR="000D25B7" w:rsidRPr="00727F44" w:rsidRDefault="000D25B7" w:rsidP="0001762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Příspěvek členského státu k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dosažení cílů Unie v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oblasti energie z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obnovitelných zdrojů v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souladu se směrnicí (EU) </w:t>
            </w:r>
            <w:r w:rsidR="000E7508" w:rsidRPr="000E750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2023/2413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, který lze připsat renovaci jeho fondu budov (podíl, MW instalované</w:t>
            </w:r>
            <w:r w:rsidR="000E435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 výkonu</w:t>
            </w:r>
            <w:r w:rsidRPr="00727F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nebo GWh vyrobené energie)</w:t>
            </w:r>
          </w:p>
        </w:tc>
      </w:tr>
    </w:tbl>
    <w:p w14:paraId="1EBAC928" w14:textId="77777777" w:rsidR="00C459C3" w:rsidRPr="003D1363" w:rsidRDefault="00C459C3" w:rsidP="000D25B7">
      <w:pPr>
        <w:jc w:val="both"/>
        <w:rPr>
          <w:b/>
          <w:bCs/>
        </w:rPr>
      </w:pPr>
    </w:p>
    <w:p w14:paraId="4ABDA29D" w14:textId="0BE56069" w:rsidR="00B92264" w:rsidRPr="008708D2" w:rsidRDefault="00B92264" w:rsidP="007F66D3">
      <w:pPr>
        <w:pStyle w:val="Odstavecseseznamem"/>
        <w:numPr>
          <w:ilvl w:val="0"/>
          <w:numId w:val="29"/>
        </w:numPr>
        <w:jc w:val="both"/>
        <w:rPr>
          <w:b/>
          <w:bCs/>
        </w:rPr>
      </w:pPr>
      <w:r w:rsidRPr="008708D2">
        <w:rPr>
          <w:b/>
          <w:bCs/>
        </w:rPr>
        <w:t>Přehled realizovaných a</w:t>
      </w:r>
      <w:r w:rsidR="0034669B" w:rsidRPr="008708D2">
        <w:rPr>
          <w:b/>
          <w:bCs/>
        </w:rPr>
        <w:t> </w:t>
      </w:r>
      <w:r w:rsidRPr="008708D2">
        <w:rPr>
          <w:b/>
          <w:bCs/>
        </w:rPr>
        <w:t>plánovaných politik a</w:t>
      </w:r>
      <w:r w:rsidR="0034669B" w:rsidRPr="008708D2">
        <w:rPr>
          <w:b/>
          <w:bCs/>
        </w:rPr>
        <w:t> </w:t>
      </w:r>
      <w:r w:rsidRPr="008708D2">
        <w:rPr>
          <w:b/>
          <w:bCs/>
        </w:rPr>
        <w:t>opatření</w:t>
      </w:r>
    </w:p>
    <w:p w14:paraId="154E7655" w14:textId="538AD6AC" w:rsidR="00DB3E2E" w:rsidRDefault="001C1E2E" w:rsidP="007F66D3">
      <w:pPr>
        <w:spacing w:line="276" w:lineRule="auto"/>
        <w:jc w:val="both"/>
      </w:pPr>
      <w:r>
        <w:t>T</w:t>
      </w:r>
      <w:r w:rsidR="00D5038F">
        <w:t xml:space="preserve">ato </w:t>
      </w:r>
      <w:r w:rsidR="0077652E">
        <w:t xml:space="preserve">část </w:t>
      </w:r>
      <w:r w:rsidR="00D5038F">
        <w:t xml:space="preserve">obsahuje </w:t>
      </w:r>
      <w:r w:rsidR="0077652E">
        <w:t>p</w:t>
      </w:r>
      <w:r w:rsidR="00267BA1" w:rsidRPr="00B4114A">
        <w:t>řehled prováděných a</w:t>
      </w:r>
      <w:r w:rsidR="0034669B">
        <w:t> </w:t>
      </w:r>
      <w:r w:rsidR="00267BA1" w:rsidRPr="00B4114A">
        <w:t>plánovaných politik a</w:t>
      </w:r>
      <w:r w:rsidR="0034669B">
        <w:t> </w:t>
      </w:r>
      <w:r w:rsidR="00267BA1" w:rsidRPr="00B4114A">
        <w:t>opatření,</w:t>
      </w:r>
      <w:r w:rsidR="000225A4" w:rsidRPr="00B4114A">
        <w:t xml:space="preserve"> </w:t>
      </w:r>
      <w:r w:rsidR="00946D92" w:rsidRPr="00B4114A">
        <w:t>podporujících realizaci Roadmap.</w:t>
      </w:r>
      <w:r w:rsidR="00855312">
        <w:t xml:space="preserve"> Dodavatel ji musí zohlednit při</w:t>
      </w:r>
      <w:r w:rsidR="00693CD6">
        <w:t xml:space="preserve"> sestavování dat dle části a) a b</w:t>
      </w:r>
      <w:r w:rsidR="00983C39">
        <w:t>)</w:t>
      </w:r>
      <w:r w:rsidR="00855312">
        <w:t>. T</w:t>
      </w:r>
      <w:r w:rsidR="00983C39">
        <w:t xml:space="preserve">ato data budou sloužit jako podklad </w:t>
      </w:r>
      <w:r w:rsidR="00727F44">
        <w:t>p</w:t>
      </w:r>
      <w:r w:rsidR="00983C39">
        <w:t>ro</w:t>
      </w:r>
      <w:r w:rsidR="00727F44">
        <w:t xml:space="preserve"> tvo</w:t>
      </w:r>
      <w:r w:rsidR="00983C39">
        <w:t>rbu</w:t>
      </w:r>
      <w:r w:rsidR="00727F44">
        <w:t xml:space="preserve"> opatření a</w:t>
      </w:r>
      <w:r w:rsidR="0034669B">
        <w:t> </w:t>
      </w:r>
      <w:r w:rsidR="00727F44">
        <w:t>politik</w:t>
      </w:r>
      <w:r w:rsidR="00983C39">
        <w:t xml:space="preserve"> specifikovaných v této části</w:t>
      </w:r>
      <w:r w:rsidR="00727F44"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FB67B4" w:rsidRPr="00B525D9" w14:paraId="688547AC" w14:textId="77777777" w:rsidTr="003D1363">
        <w:tc>
          <w:tcPr>
            <w:tcW w:w="4957" w:type="dxa"/>
          </w:tcPr>
          <w:p w14:paraId="023A55EF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Indikátory</w:t>
            </w:r>
          </w:p>
        </w:tc>
        <w:tc>
          <w:tcPr>
            <w:tcW w:w="4536" w:type="dxa"/>
          </w:tcPr>
          <w:p w14:paraId="12FF55A5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Další</w:t>
            </w:r>
            <w:r w:rsidRPr="00DA1F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indikátory</w:t>
            </w:r>
          </w:p>
        </w:tc>
      </w:tr>
      <w:tr w:rsidR="00FB67B4" w:rsidRPr="00B525D9" w14:paraId="41D925E0" w14:textId="77777777" w:rsidTr="003D1363">
        <w:tc>
          <w:tcPr>
            <w:tcW w:w="4957" w:type="dxa"/>
          </w:tcPr>
          <w:p w14:paraId="5C1B932F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Politiky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opatření týkající se těchto prvků:</w:t>
            </w:r>
          </w:p>
        </w:tc>
        <w:tc>
          <w:tcPr>
            <w:tcW w:w="4536" w:type="dxa"/>
          </w:tcPr>
          <w:p w14:paraId="28EA5C06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Politiky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opatření týkající se těchto prvků:</w:t>
            </w:r>
          </w:p>
        </w:tc>
      </w:tr>
      <w:tr w:rsidR="00FB67B4" w:rsidRPr="00B525D9" w14:paraId="3F7C4F12" w14:textId="77777777" w:rsidTr="003D1363">
        <w:tc>
          <w:tcPr>
            <w:tcW w:w="4957" w:type="dxa"/>
          </w:tcPr>
          <w:p w14:paraId="428ED818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a) stanovení nákladově efektivních přístupů k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renovacím pro různé typy budov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klimatická pásma se zohledněním potenciálních relevantních aktivačních momentů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průběhu doby životnosti budovy;</w:t>
            </w:r>
          </w:p>
        </w:tc>
        <w:tc>
          <w:tcPr>
            <w:tcW w:w="4536" w:type="dxa"/>
          </w:tcPr>
          <w:p w14:paraId="7D04E2C3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a) zvýšení odolnosti budov vůči změně klimatu;</w:t>
            </w:r>
          </w:p>
        </w:tc>
      </w:tr>
      <w:tr w:rsidR="00FB67B4" w:rsidRPr="00B525D9" w14:paraId="584CABD9" w14:textId="77777777" w:rsidTr="003D1363">
        <w:tc>
          <w:tcPr>
            <w:tcW w:w="4957" w:type="dxa"/>
          </w:tcPr>
          <w:p w14:paraId="1EF245AD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lastRenderedPageBreak/>
              <w:t xml:space="preserve">b) vnitrostátní minimální </w:t>
            </w:r>
            <w:r>
              <w:rPr>
                <w:sz w:val="20"/>
                <w:szCs w:val="20"/>
              </w:rPr>
              <w:t>standardy</w:t>
            </w:r>
            <w:r w:rsidRPr="00B525D9">
              <w:rPr>
                <w:sz w:val="20"/>
                <w:szCs w:val="20"/>
              </w:rPr>
              <w:t xml:space="preserve"> energetické náročnosti podle článku 9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další politiky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opatření zaměřené na energeticky nejnáročnější segmenty vnitrostátního fondu budov, včetně záruk uvedených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čl. 17 odst. 19;</w:t>
            </w:r>
          </w:p>
        </w:tc>
        <w:tc>
          <w:tcPr>
            <w:tcW w:w="4536" w:type="dxa"/>
          </w:tcPr>
          <w:p w14:paraId="4F67B30C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b) podpora trhu s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energetickými službami;</w:t>
            </w:r>
          </w:p>
        </w:tc>
      </w:tr>
      <w:tr w:rsidR="00FB67B4" w:rsidRPr="00B525D9" w14:paraId="60A7D1F2" w14:textId="77777777" w:rsidTr="003D1363">
        <w:tc>
          <w:tcPr>
            <w:tcW w:w="4957" w:type="dxa"/>
          </w:tcPr>
          <w:p w14:paraId="10699188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c) podpora rozsáhlé renovace budov, včetně postupné rozsáhlé renovace;</w:t>
            </w:r>
          </w:p>
        </w:tc>
        <w:tc>
          <w:tcPr>
            <w:tcW w:w="4536" w:type="dxa"/>
          </w:tcPr>
          <w:p w14:paraId="3D00BEE3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c) zvýšení požární bezpečnosti;</w:t>
            </w:r>
          </w:p>
        </w:tc>
      </w:tr>
      <w:tr w:rsidR="00FB67B4" w:rsidRPr="00B525D9" w14:paraId="1012DF73" w14:textId="77777777" w:rsidTr="003D1363">
        <w:tc>
          <w:tcPr>
            <w:tcW w:w="4957" w:type="dxa"/>
          </w:tcPr>
          <w:p w14:paraId="212E15B2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d) posílení postavení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ochrana zranitelných zákazníků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zmírnění energetické chudoby, včetně politik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opatření podle článku 24 směrnice (EU) 2023/1791,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cenová dostupnost bydlení;</w:t>
            </w:r>
          </w:p>
        </w:tc>
        <w:tc>
          <w:tcPr>
            <w:tcW w:w="4536" w:type="dxa"/>
          </w:tcPr>
          <w:p w14:paraId="00030CE8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d) zvýšení odolnosti vůči rizikům katastrof, včetně rizik spojených s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intenzivní seismickou aktivitou;</w:t>
            </w:r>
          </w:p>
        </w:tc>
      </w:tr>
      <w:tr w:rsidR="00FB67B4" w:rsidRPr="00B525D9" w14:paraId="01742620" w14:textId="77777777" w:rsidTr="003D1363">
        <w:tc>
          <w:tcPr>
            <w:tcW w:w="4957" w:type="dxa"/>
          </w:tcPr>
          <w:p w14:paraId="3F12F6FA" w14:textId="176F477A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 xml:space="preserve">e) vytvoření jednotných kontaktních míst nebo podobných mechanismů podle článku 18 </w:t>
            </w:r>
            <w:r w:rsidR="000E7508">
              <w:rPr>
                <w:sz w:val="20"/>
                <w:szCs w:val="20"/>
              </w:rPr>
              <w:t xml:space="preserve">EPBD IV </w:t>
            </w:r>
            <w:r w:rsidRPr="00B525D9">
              <w:rPr>
                <w:sz w:val="20"/>
                <w:szCs w:val="20"/>
              </w:rPr>
              <w:t>pro poskytování technického, administrativního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finančního poradenství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pomoci;</w:t>
            </w:r>
          </w:p>
        </w:tc>
        <w:tc>
          <w:tcPr>
            <w:tcW w:w="4536" w:type="dxa"/>
          </w:tcPr>
          <w:p w14:paraId="55999EF6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e) odstranění nebezpečných látek včetně azbestu;</w:t>
            </w:r>
          </w:p>
        </w:tc>
      </w:tr>
      <w:tr w:rsidR="00FB67B4" w:rsidRPr="00B525D9" w14:paraId="2B6B893B" w14:textId="77777777" w:rsidTr="003D1363">
        <w:tc>
          <w:tcPr>
            <w:tcW w:w="4957" w:type="dxa"/>
          </w:tcPr>
          <w:p w14:paraId="5FE75C89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f) dekarbonizace vytápění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chlazení, mimo jiné prostřednictvím sítí dálkového vytápění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chlazení,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postupné ukončení používání fosilních paliv při vytápění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chlazení s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cílem dosáhnout úplného ukončení používání kotlů na fosilní paliva do roku 2040;</w:t>
            </w:r>
          </w:p>
        </w:tc>
        <w:tc>
          <w:tcPr>
            <w:tcW w:w="4536" w:type="dxa"/>
          </w:tcPr>
          <w:p w14:paraId="49D5D57A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f) přístupnost pro osoby se zdravotním postižením;</w:t>
            </w:r>
          </w:p>
        </w:tc>
      </w:tr>
      <w:tr w:rsidR="00FB67B4" w:rsidRPr="00B525D9" w14:paraId="3FAF33D3" w14:textId="77777777" w:rsidTr="003D1363">
        <w:tc>
          <w:tcPr>
            <w:tcW w:w="4957" w:type="dxa"/>
          </w:tcPr>
          <w:p w14:paraId="577C6317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g) zabránění vzniku stavebního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demoličního odpadu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jeho vysoce kvalitní zpracování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souladu se směrnicí 2008/98/ES, zejména pokud jde o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hierarchii způsobů nakládání s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odpady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cíle oběhového hospodářství;</w:t>
            </w:r>
          </w:p>
        </w:tc>
        <w:tc>
          <w:tcPr>
            <w:tcW w:w="4536" w:type="dxa"/>
          </w:tcPr>
          <w:p w14:paraId="59F24E35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g) úloha společenství pro obnovitelné zdroje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občanských energetických společenství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přístupech na úrovni oblastí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čtvrtí;</w:t>
            </w:r>
          </w:p>
        </w:tc>
      </w:tr>
      <w:tr w:rsidR="00FB67B4" w:rsidRPr="00B525D9" w14:paraId="05C1F3C4" w14:textId="77777777" w:rsidTr="003D1363">
        <w:tc>
          <w:tcPr>
            <w:tcW w:w="4957" w:type="dxa"/>
          </w:tcPr>
          <w:p w14:paraId="3F64070F" w14:textId="0B5D2718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h) podpora energie z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obnovitelných zdrojů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budovách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souladu s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orientačním cílem pro podíl energie z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obnovitelných zdrojů ve stavebnictví stanoveným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čl. 15 a odst. 1 směrnice (EU) 2018/2001;</w:t>
            </w:r>
          </w:p>
        </w:tc>
        <w:tc>
          <w:tcPr>
            <w:tcW w:w="4536" w:type="dxa"/>
          </w:tcPr>
          <w:p w14:paraId="7B6FA961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h) řešení nesouladu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oblasti lidských kapacit a</w:t>
            </w:r>
          </w:p>
        </w:tc>
      </w:tr>
      <w:tr w:rsidR="00FB67B4" w:rsidRPr="00B525D9" w14:paraId="0F193E23" w14:textId="77777777" w:rsidTr="003D1363">
        <w:tc>
          <w:tcPr>
            <w:tcW w:w="4957" w:type="dxa"/>
          </w:tcPr>
          <w:p w14:paraId="7CB14DB0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i) zavádění solárních zařízení na budovách;</w:t>
            </w:r>
          </w:p>
        </w:tc>
        <w:tc>
          <w:tcPr>
            <w:tcW w:w="4536" w:type="dxa"/>
          </w:tcPr>
          <w:p w14:paraId="38FE4E93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2827FD">
              <w:rPr>
                <w:sz w:val="20"/>
                <w:szCs w:val="20"/>
              </w:rPr>
              <w:t>i) zabývání se zlepšením kvality vnitřního prostředí</w:t>
            </w:r>
            <w:r w:rsidRPr="00B525D9">
              <w:rPr>
                <w:sz w:val="20"/>
                <w:szCs w:val="20"/>
              </w:rPr>
              <w:t>.</w:t>
            </w:r>
          </w:p>
        </w:tc>
      </w:tr>
      <w:tr w:rsidR="00FB67B4" w:rsidRPr="00B525D9" w14:paraId="5E5DEA46" w14:textId="77777777" w:rsidTr="003D1363">
        <w:tc>
          <w:tcPr>
            <w:tcW w:w="4957" w:type="dxa"/>
          </w:tcPr>
          <w:p w14:paraId="56718B4C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j) snížení emisí skleníkových plynů během celého životního cyklu při výstavbě, renovaci, provozu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skončení životnosti budov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zavádění pohlcování uhlíku;</w:t>
            </w:r>
          </w:p>
        </w:tc>
        <w:tc>
          <w:tcPr>
            <w:tcW w:w="4536" w:type="dxa"/>
            <w:vMerge w:val="restart"/>
            <w:vAlign w:val="center"/>
          </w:tcPr>
          <w:p w14:paraId="5CF9C07E" w14:textId="77777777" w:rsidR="00FB67B4" w:rsidRPr="00B525D9" w:rsidRDefault="00FB67B4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 všechny politiky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opatření:</w:t>
            </w:r>
          </w:p>
          <w:p w14:paraId="745A9276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administrativní zdroje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kapacity,</w:t>
            </w:r>
          </w:p>
          <w:p w14:paraId="51B1C043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pokrytá oblast (pokryté oblasti):</w:t>
            </w:r>
          </w:p>
          <w:p w14:paraId="2B29ACDF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energeticky nejnáročnější,</w:t>
            </w:r>
          </w:p>
          <w:p w14:paraId="78D9BB61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minimální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standardy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energetické náročnosti,</w:t>
            </w:r>
          </w:p>
          <w:p w14:paraId="53F6664F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energetická chudoba, sociální bydlení,</w:t>
            </w:r>
          </w:p>
          <w:p w14:paraId="2EBFB819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veřejné budovy,</w:t>
            </w:r>
          </w:p>
          <w:p w14:paraId="0C0650EE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obytné (jedna rodina, více rodin),</w:t>
            </w:r>
          </w:p>
          <w:p w14:paraId="695B76A0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jiné než obytné,</w:t>
            </w:r>
          </w:p>
          <w:p w14:paraId="74E2D2DB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průmysl,</w:t>
            </w:r>
          </w:p>
          <w:p w14:paraId="3CC009A1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obnovitelné zdroje energie,</w:t>
            </w:r>
          </w:p>
          <w:p w14:paraId="2E3E38E3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postupné ukončení využívání fosilních paliv při vytápění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chlazení,</w:t>
            </w:r>
          </w:p>
          <w:p w14:paraId="24191650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emise skleníkových plynů během celého životního cyklu,</w:t>
            </w:r>
          </w:p>
          <w:p w14:paraId="7179B73A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oběhové hospodářství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odpady,</w:t>
            </w:r>
          </w:p>
          <w:p w14:paraId="657726CD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jednotná kontaktní místa,</w:t>
            </w:r>
          </w:p>
          <w:p w14:paraId="271874B2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pasy pro renovaci budov,</w:t>
            </w:r>
          </w:p>
          <w:p w14:paraId="70418B8E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inteligentní technologie,</w:t>
            </w:r>
          </w:p>
          <w:p w14:paraId="1D93BDF3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udržitelná mobilita 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budovách,</w:t>
            </w:r>
          </w:p>
          <w:p w14:paraId="47EAD464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přístupy na úrovni oblastí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čtvrtí,</w:t>
            </w:r>
          </w:p>
          <w:p w14:paraId="16E2D440" w14:textId="77777777" w:rsidR="00FB67B4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kvalifikace, odborná příprava,</w:t>
            </w:r>
          </w:p>
          <w:p w14:paraId="16F55F83" w14:textId="77777777" w:rsidR="00FB67B4" w:rsidRPr="00B525D9" w:rsidRDefault="00FB67B4" w:rsidP="0001762F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osvětové kampaně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poradenské nástroje</w:t>
            </w:r>
          </w:p>
        </w:tc>
      </w:tr>
      <w:tr w:rsidR="00FB67B4" w:rsidRPr="00B525D9" w14:paraId="0242DD35" w14:textId="77777777" w:rsidTr="003D1363">
        <w:tc>
          <w:tcPr>
            <w:tcW w:w="4957" w:type="dxa"/>
          </w:tcPr>
          <w:p w14:paraId="53F1566C" w14:textId="420BBD45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k) podpora přístupů na úrovni oblastí či čtvrtí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integrovaných oblastních programů renovací, které mohou řešit otázky, jako jsou energetika, mobilita, zelená infrastruktura, odpady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čištěním vod, jakož i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další aspekty územního plánování,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mohou zohledňovat místní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regionální zdroje, oběhovost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dostatečnost;</w:t>
            </w:r>
          </w:p>
        </w:tc>
        <w:tc>
          <w:tcPr>
            <w:tcW w:w="4536" w:type="dxa"/>
            <w:vMerge/>
          </w:tcPr>
          <w:p w14:paraId="6C8D42A6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  <w:tr w:rsidR="00FB67B4" w:rsidRPr="00B525D9" w14:paraId="3258D855" w14:textId="77777777" w:rsidTr="003D1363">
        <w:tc>
          <w:tcPr>
            <w:tcW w:w="4957" w:type="dxa"/>
          </w:tcPr>
          <w:p w14:paraId="5A2CFA51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l) zhodnocení budov ve vlastnictví veřejných subjektů, včetně politik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opatření podle článků 5, 6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7 směrnice (EU) 2023/1791;</w:t>
            </w:r>
          </w:p>
        </w:tc>
        <w:tc>
          <w:tcPr>
            <w:tcW w:w="4536" w:type="dxa"/>
            <w:vMerge/>
          </w:tcPr>
          <w:p w14:paraId="0A8BDAE2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  <w:tr w:rsidR="00FB67B4" w:rsidRPr="00B525D9" w14:paraId="5F4375A8" w14:textId="77777777" w:rsidTr="003D1363">
        <w:tc>
          <w:tcPr>
            <w:tcW w:w="4957" w:type="dxa"/>
          </w:tcPr>
          <w:p w14:paraId="1570129E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m) podpora inteligentních technologií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infrastruktury pro udržitelnou mobilitu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budovách;</w:t>
            </w:r>
          </w:p>
        </w:tc>
        <w:tc>
          <w:tcPr>
            <w:tcW w:w="4536" w:type="dxa"/>
            <w:vMerge/>
          </w:tcPr>
          <w:p w14:paraId="0786F3CB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  <w:tr w:rsidR="00FB67B4" w:rsidRPr="00B525D9" w14:paraId="6EBE4C7B" w14:textId="77777777" w:rsidTr="003D1363">
        <w:tc>
          <w:tcPr>
            <w:tcW w:w="4957" w:type="dxa"/>
          </w:tcPr>
          <w:p w14:paraId="3A058FBD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n) řešení tržních překážek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selhání trhu;</w:t>
            </w:r>
          </w:p>
        </w:tc>
        <w:tc>
          <w:tcPr>
            <w:tcW w:w="4536" w:type="dxa"/>
            <w:vMerge/>
          </w:tcPr>
          <w:p w14:paraId="02681A1C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  <w:tr w:rsidR="00FB67B4" w:rsidRPr="00B525D9" w14:paraId="52386BED" w14:textId="77777777" w:rsidTr="003D1363">
        <w:tc>
          <w:tcPr>
            <w:tcW w:w="4957" w:type="dxa"/>
          </w:tcPr>
          <w:p w14:paraId="15890040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o) řešení nedostatečných kvalifikací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podpora vzdělávání, cílené odborné přípravy, prohlubování dovedností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rekvalifikace v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odvětví stavebnictví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v odvětvích energetické účinnosti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energie z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obnovitelných zdrojů (veřejných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soukromých) s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cílem zajistit dostatečný počet pracovních sil s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odpovídající úrovní dovedností odpovídající potřebám ve stavebnictví, se zvláštním zaměřením na nedostatečně zastoupené skupiny;</w:t>
            </w:r>
          </w:p>
        </w:tc>
        <w:tc>
          <w:tcPr>
            <w:tcW w:w="4536" w:type="dxa"/>
            <w:vMerge/>
          </w:tcPr>
          <w:p w14:paraId="43DB6181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  <w:tr w:rsidR="00FB67B4" w:rsidRPr="00B525D9" w14:paraId="44ACE6B9" w14:textId="77777777" w:rsidTr="003D1363">
        <w:tc>
          <w:tcPr>
            <w:tcW w:w="4957" w:type="dxa"/>
          </w:tcPr>
          <w:p w14:paraId="599149AC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p) osvětové kampaně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další poradenské nástroje</w:t>
            </w:r>
          </w:p>
        </w:tc>
        <w:tc>
          <w:tcPr>
            <w:tcW w:w="4536" w:type="dxa"/>
            <w:vMerge/>
          </w:tcPr>
          <w:p w14:paraId="35C43EE0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  <w:tr w:rsidR="00FB67B4" w:rsidRPr="00B525D9" w14:paraId="609A0D49" w14:textId="77777777" w:rsidTr="003D1363">
        <w:tc>
          <w:tcPr>
            <w:tcW w:w="4957" w:type="dxa"/>
          </w:tcPr>
          <w:p w14:paraId="381C2EC2" w14:textId="5F9F2E7E" w:rsidR="00F64C44" w:rsidRPr="00B525D9" w:rsidRDefault="00FB67B4" w:rsidP="0001762F">
            <w:pPr>
              <w:jc w:val="both"/>
              <w:rPr>
                <w:sz w:val="20"/>
                <w:szCs w:val="20"/>
              </w:rPr>
            </w:pPr>
            <w:r w:rsidRPr="00B525D9">
              <w:rPr>
                <w:sz w:val="20"/>
                <w:szCs w:val="20"/>
              </w:rPr>
              <w:t>q) podpora modulárních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průmyslových řešení pro výstavbu a</w:t>
            </w:r>
            <w:r>
              <w:rPr>
                <w:sz w:val="20"/>
                <w:szCs w:val="20"/>
              </w:rPr>
              <w:t> </w:t>
            </w:r>
            <w:r w:rsidRPr="00B525D9">
              <w:rPr>
                <w:sz w:val="20"/>
                <w:szCs w:val="20"/>
              </w:rPr>
              <w:t>renovaci budov</w:t>
            </w:r>
          </w:p>
        </w:tc>
        <w:tc>
          <w:tcPr>
            <w:tcW w:w="4536" w:type="dxa"/>
            <w:vMerge/>
          </w:tcPr>
          <w:p w14:paraId="2C3AA35E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  <w:tr w:rsidR="00FB67B4" w:rsidRPr="00B525D9" w14:paraId="263345D7" w14:textId="77777777" w:rsidTr="003D1363">
        <w:tc>
          <w:tcPr>
            <w:tcW w:w="4957" w:type="dxa"/>
          </w:tcPr>
          <w:p w14:paraId="10FC95F2" w14:textId="77777777" w:rsidR="00FB67B4" w:rsidRPr="00B525D9" w:rsidRDefault="00FB67B4" w:rsidP="0001762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Pro všechny politiky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727F4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opatření:</w:t>
            </w:r>
          </w:p>
          <w:p w14:paraId="45111205" w14:textId="77777777" w:rsidR="00FB67B4" w:rsidRPr="00B525D9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název politiky nebo opatření,</w:t>
            </w:r>
          </w:p>
          <w:p w14:paraId="3AED30FE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stručný popis (přesný rozsah, cíl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způsoby fungování),</w:t>
            </w:r>
          </w:p>
          <w:p w14:paraId="387D5EAF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kvantifikovaný cíl,</w:t>
            </w:r>
          </w:p>
          <w:p w14:paraId="3CA63452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druh politiky nebo opatření (např. legislativní, hospodářská/é, fiskální, odborná příprava, informovanost),</w:t>
            </w:r>
          </w:p>
          <w:p w14:paraId="4F31F1F9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plánovaný rozpočet 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zdroje financování,</w:t>
            </w:r>
          </w:p>
          <w:p w14:paraId="4A1CC289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subjekty odpovědné za provádění politiky,</w:t>
            </w:r>
          </w:p>
          <w:p w14:paraId="4C5FDCE2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očekávaný dopad,</w:t>
            </w:r>
          </w:p>
          <w:p w14:paraId="14A99F26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stav provádění, </w:t>
            </w:r>
          </w:p>
          <w:p w14:paraId="4A4B2E80" w14:textId="77777777" w:rsidR="00FB67B4" w:rsidRDefault="00FB67B4" w:rsidP="0001762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datum vstupu 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platnost,</w:t>
            </w:r>
          </w:p>
          <w:p w14:paraId="4143B918" w14:textId="7E35DC1B" w:rsidR="00F64C44" w:rsidRPr="00112BF6" w:rsidRDefault="00FB67B4" w:rsidP="00112BF6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525D9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období provádění</w:t>
            </w:r>
          </w:p>
        </w:tc>
        <w:tc>
          <w:tcPr>
            <w:tcW w:w="4536" w:type="dxa"/>
            <w:vMerge/>
          </w:tcPr>
          <w:p w14:paraId="5E20AA54" w14:textId="77777777" w:rsidR="00FB67B4" w:rsidRPr="00B525D9" w:rsidRDefault="00FB67B4" w:rsidP="0001762F">
            <w:pPr>
              <w:jc w:val="both"/>
              <w:rPr>
                <w:sz w:val="20"/>
                <w:szCs w:val="20"/>
              </w:rPr>
            </w:pPr>
          </w:p>
        </w:tc>
      </w:tr>
    </w:tbl>
    <w:p w14:paraId="080FA69C" w14:textId="77777777" w:rsidR="00FB67B4" w:rsidRPr="00DB3E2E" w:rsidRDefault="00FB67B4" w:rsidP="007F66D3">
      <w:pPr>
        <w:spacing w:line="276" w:lineRule="auto"/>
        <w:jc w:val="both"/>
      </w:pPr>
    </w:p>
    <w:p w14:paraId="6B85ACAB" w14:textId="77777777" w:rsidR="00DB3E2E" w:rsidRDefault="00DB3E2E" w:rsidP="007F66D3">
      <w:pPr>
        <w:jc w:val="both"/>
        <w:rPr>
          <w:b/>
          <w:bCs/>
        </w:rPr>
      </w:pPr>
    </w:p>
    <w:p w14:paraId="1BA9DEC3" w14:textId="19E449B6" w:rsidR="00B92264" w:rsidRPr="008708D2" w:rsidRDefault="00B92264" w:rsidP="007F66D3">
      <w:pPr>
        <w:pStyle w:val="Odstavecseseznamem"/>
        <w:numPr>
          <w:ilvl w:val="0"/>
          <w:numId w:val="29"/>
        </w:numPr>
        <w:jc w:val="both"/>
        <w:rPr>
          <w:b/>
          <w:bCs/>
        </w:rPr>
      </w:pPr>
      <w:r w:rsidRPr="008708D2">
        <w:rPr>
          <w:b/>
          <w:bCs/>
        </w:rPr>
        <w:t>Podrobný plán investičních potřeb, rozpočtových zdrojů a</w:t>
      </w:r>
      <w:r w:rsidR="0034669B" w:rsidRPr="008708D2">
        <w:rPr>
          <w:b/>
          <w:bCs/>
        </w:rPr>
        <w:t> </w:t>
      </w:r>
      <w:r w:rsidRPr="008708D2">
        <w:rPr>
          <w:b/>
          <w:bCs/>
        </w:rPr>
        <w:t>administrativních zdrojů</w:t>
      </w:r>
    </w:p>
    <w:p w14:paraId="4C1C3552" w14:textId="66A7FB5D" w:rsidR="00110C9D" w:rsidRDefault="000F3963" w:rsidP="007F66D3">
      <w:pPr>
        <w:spacing w:line="276" w:lineRule="auto"/>
        <w:jc w:val="both"/>
      </w:pPr>
      <w:r>
        <w:t>Ve spolupráci s MPO j</w:t>
      </w:r>
      <w:r w:rsidR="0077652E">
        <w:t>e potřeba n</w:t>
      </w:r>
      <w:r w:rsidR="00110C9D" w:rsidRPr="00B4114A">
        <w:t>astín</w:t>
      </w:r>
      <w:r w:rsidR="0077652E">
        <w:t>it</w:t>
      </w:r>
      <w:r w:rsidR="00110C9D" w:rsidRPr="00B4114A">
        <w:t xml:space="preserve"> </w:t>
      </w:r>
      <w:r w:rsidR="00267BA1" w:rsidRPr="00B4114A">
        <w:t>investiční potřeb</w:t>
      </w:r>
      <w:r w:rsidR="00110C9D" w:rsidRPr="00B4114A">
        <w:t>y</w:t>
      </w:r>
      <w:r w:rsidR="00267BA1" w:rsidRPr="00B4114A">
        <w:t xml:space="preserve"> pro účely provádění plánu renovace budov</w:t>
      </w:r>
      <w:r w:rsidR="00F0454A" w:rsidRPr="00B4114A">
        <w:t>,</w:t>
      </w:r>
      <w:r w:rsidR="00110C9D" w:rsidRPr="00B4114A">
        <w:t xml:space="preserve"> </w:t>
      </w:r>
      <w:r w:rsidR="00E71229">
        <w:t>rozpočtových a administrativních zdrojů</w:t>
      </w:r>
      <w:r w:rsidR="000225A4" w:rsidRPr="00B4114A">
        <w:t xml:space="preserve"> pro renovaci budov</w:t>
      </w:r>
      <w:r w:rsidR="00B525D9">
        <w:t>.</w:t>
      </w:r>
      <w:r w:rsidR="0077652E">
        <w:t xml:space="preserve"> Jedná se o:</w:t>
      </w:r>
    </w:p>
    <w:p w14:paraId="753DA9A1" w14:textId="539F5BE4" w:rsidR="0077652E" w:rsidRPr="00DB3E2E" w:rsidRDefault="0077652E" w:rsidP="007F66D3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DB3E2E">
        <w:t>Celkové investiční potřeby pro roky 2030, 2040, 2050 (v milionech EUR</w:t>
      </w:r>
      <w:r w:rsidR="00F83692">
        <w:t xml:space="preserve"> + převod na CZK</w:t>
      </w:r>
      <w:r w:rsidRPr="00DB3E2E">
        <w:t>) pro:</w:t>
      </w:r>
    </w:p>
    <w:p w14:paraId="4AC0A22B" w14:textId="2AB337CD" w:rsidR="0077652E" w:rsidRPr="00832658" w:rsidRDefault="0077652E" w:rsidP="007F66D3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</w:rPr>
      </w:pPr>
      <w:r w:rsidRPr="00832658">
        <w:rPr>
          <w:rFonts w:eastAsia="Times New Roman"/>
          <w:color w:val="000000"/>
          <w:lang w:eastAsia="cs-CZ"/>
        </w:rPr>
        <w:t>veřejné investice (v milionech EUR</w:t>
      </w:r>
      <w:r w:rsidR="00F83692">
        <w:rPr>
          <w:rFonts w:eastAsia="Times New Roman"/>
          <w:color w:val="000000"/>
          <w:lang w:eastAsia="cs-CZ"/>
        </w:rPr>
        <w:t xml:space="preserve"> </w:t>
      </w:r>
      <w:r w:rsidR="00F83692">
        <w:t>+ převod na CZK</w:t>
      </w:r>
      <w:r w:rsidRPr="00832658">
        <w:rPr>
          <w:rFonts w:eastAsia="Times New Roman"/>
          <w:color w:val="000000"/>
          <w:lang w:eastAsia="cs-CZ"/>
        </w:rPr>
        <w:t>)</w:t>
      </w:r>
    </w:p>
    <w:p w14:paraId="0A33AA9C" w14:textId="38708C6A" w:rsidR="0077652E" w:rsidRPr="00832658" w:rsidRDefault="0077652E" w:rsidP="007F66D3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</w:rPr>
      </w:pPr>
      <w:r w:rsidRPr="00832658">
        <w:rPr>
          <w:rFonts w:eastAsia="Times New Roman"/>
          <w:color w:val="000000"/>
          <w:lang w:eastAsia="cs-CZ"/>
        </w:rPr>
        <w:t>soukromé investice (v milionech EUR</w:t>
      </w:r>
      <w:r w:rsidR="00F83692">
        <w:rPr>
          <w:rFonts w:eastAsia="Times New Roman"/>
          <w:color w:val="000000"/>
          <w:lang w:eastAsia="cs-CZ"/>
        </w:rPr>
        <w:t xml:space="preserve"> </w:t>
      </w:r>
      <w:r w:rsidR="00F83692">
        <w:t>+ převod na CZK</w:t>
      </w:r>
      <w:r w:rsidRPr="00832658">
        <w:rPr>
          <w:rFonts w:eastAsia="Times New Roman"/>
          <w:color w:val="000000"/>
          <w:lang w:eastAsia="cs-CZ"/>
        </w:rPr>
        <w:t>)</w:t>
      </w:r>
    </w:p>
    <w:p w14:paraId="79335540" w14:textId="77777777" w:rsidR="006F43CC" w:rsidRPr="006F43CC" w:rsidRDefault="0077652E" w:rsidP="006F43CC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</w:rPr>
      </w:pPr>
      <w:r w:rsidRPr="00832658">
        <w:rPr>
          <w:rFonts w:eastAsia="Times New Roman"/>
          <w:color w:val="000000"/>
          <w:lang w:eastAsia="cs-CZ"/>
        </w:rPr>
        <w:t>rozpočtové zdroje</w:t>
      </w:r>
    </w:p>
    <w:p w14:paraId="52C6F18A" w14:textId="77777777" w:rsidR="006F43CC" w:rsidRDefault="006F43CC" w:rsidP="006F43CC">
      <w:pPr>
        <w:spacing w:line="276" w:lineRule="auto"/>
        <w:jc w:val="both"/>
        <w:rPr>
          <w:b/>
          <w:bCs/>
        </w:rPr>
      </w:pPr>
    </w:p>
    <w:p w14:paraId="69F19655" w14:textId="22C9B263" w:rsidR="006F43CC" w:rsidRPr="006F43CC" w:rsidRDefault="006F43CC" w:rsidP="006F43CC">
      <w:pPr>
        <w:spacing w:line="276" w:lineRule="auto"/>
        <w:jc w:val="both"/>
        <w:rPr>
          <w:b/>
          <w:bCs/>
        </w:rPr>
      </w:pPr>
      <w:r>
        <w:rPr>
          <w:b/>
          <w:bCs/>
        </w:rPr>
        <w:t>S</w:t>
      </w:r>
      <w:r w:rsidRPr="006F43CC">
        <w:rPr>
          <w:b/>
          <w:bCs/>
        </w:rPr>
        <w:t>oučástí výstupu</w:t>
      </w:r>
      <w:r>
        <w:rPr>
          <w:b/>
          <w:bCs/>
        </w:rPr>
        <w:t xml:space="preserve"> je požadovaný</w:t>
      </w:r>
      <w:r w:rsidRPr="006F43CC">
        <w:rPr>
          <w:b/>
          <w:bCs/>
        </w:rPr>
        <w:t xml:space="preserve"> i kompletní programovací kód, který konzultanti použijí k čištění a analýze primárních dat. Tento kód by měl umožnit nezávislou kontrolu provedené analýzy a zároveň významně usnadnit její replikaci v dalších iteracích</w:t>
      </w:r>
      <w:r>
        <w:rPr>
          <w:b/>
          <w:bCs/>
        </w:rPr>
        <w:t xml:space="preserve"> z důvodu předkládaní Vnitrostátního plánu renovace budov každých 5 let</w:t>
      </w:r>
      <w:r w:rsidR="0096713C">
        <w:rPr>
          <w:b/>
          <w:bCs/>
        </w:rPr>
        <w:t>,</w:t>
      </w:r>
      <w:r>
        <w:rPr>
          <w:b/>
          <w:bCs/>
        </w:rPr>
        <w:t xml:space="preserve"> ale rovněž k</w:t>
      </w:r>
      <w:r w:rsidR="0096713C">
        <w:rPr>
          <w:b/>
          <w:bCs/>
        </w:rPr>
        <w:t>e</w:t>
      </w:r>
      <w:r>
        <w:rPr>
          <w:b/>
          <w:bCs/>
        </w:rPr>
        <w:t xml:space="preserve"> sledování zmíněných indikátorů každoročně pro vyhodnocovaní</w:t>
      </w:r>
      <w:r w:rsidR="00FF596D">
        <w:rPr>
          <w:b/>
          <w:bCs/>
        </w:rPr>
        <w:t xml:space="preserve"> a tvorbu legislativy. </w:t>
      </w:r>
      <w:r>
        <w:rPr>
          <w:b/>
          <w:bCs/>
        </w:rPr>
        <w:t xml:space="preserve">  </w:t>
      </w:r>
    </w:p>
    <w:p w14:paraId="63C5757A" w14:textId="77777777" w:rsidR="00B43E84" w:rsidRPr="00B43E84" w:rsidRDefault="00B43E84" w:rsidP="00DB3E2E">
      <w:pPr>
        <w:jc w:val="both"/>
        <w:rPr>
          <w:b/>
          <w:bCs/>
        </w:rPr>
      </w:pPr>
    </w:p>
    <w:p w14:paraId="1F809CFB" w14:textId="20B5E92E" w:rsidR="001C1E2E" w:rsidRPr="009B2F84" w:rsidRDefault="006718BB" w:rsidP="009B2F84">
      <w:pPr>
        <w:pStyle w:val="Odstavecseseznamem"/>
        <w:numPr>
          <w:ilvl w:val="0"/>
          <w:numId w:val="25"/>
        </w:numPr>
        <w:rPr>
          <w:b/>
          <w:bCs/>
        </w:rPr>
      </w:pPr>
      <w:r w:rsidRPr="006718BB">
        <w:rPr>
          <w:b/>
          <w:bCs/>
        </w:rPr>
        <w:t>Analýza veřejných subjektů dle směrnice o energetické účinnosti</w:t>
      </w:r>
    </w:p>
    <w:p w14:paraId="0C909E65" w14:textId="64872318" w:rsidR="000A00C8" w:rsidRDefault="0070636B" w:rsidP="00DB3E2E">
      <w:pPr>
        <w:spacing w:line="276" w:lineRule="auto"/>
        <w:jc w:val="both"/>
      </w:pPr>
      <w:r>
        <w:t xml:space="preserve">Analýza konečné spotřeby energie veřejných subjektů </w:t>
      </w:r>
      <w:r w:rsidR="0096713C">
        <w:t>zahrnuje</w:t>
      </w:r>
      <w:r w:rsidR="00CA1872">
        <w:t> identifikaci a klasifikaci veřejných subjektů a následné vytvoření</w:t>
      </w:r>
      <w:r w:rsidR="00546366">
        <w:t xml:space="preserve"> podrobného</w:t>
      </w:r>
      <w:r>
        <w:t xml:space="preserve"> seznamu</w:t>
      </w:r>
      <w:r w:rsidR="00546366">
        <w:rPr>
          <w:rStyle w:val="Znakapoznpodarou"/>
        </w:rPr>
        <w:footnoteReference w:id="1"/>
      </w:r>
      <w:r>
        <w:t xml:space="preserve"> veřejných subjektů ve spolupráci s MPO spadajících pod povinností článků 5 a 6 EED.</w:t>
      </w:r>
      <w:r w:rsidR="009A70C8">
        <w:t xml:space="preserve"> </w:t>
      </w:r>
      <w:r w:rsidR="00291F0B">
        <w:t>Následně je p</w:t>
      </w:r>
      <w:r w:rsidR="001C1E2E" w:rsidRPr="00DB3E2E">
        <w:t>otřeba</w:t>
      </w:r>
      <w:r w:rsidR="006C12D5" w:rsidRPr="00DB3E2E">
        <w:t xml:space="preserve"> </w:t>
      </w:r>
      <w:r w:rsidR="0081539E">
        <w:t>modelace</w:t>
      </w:r>
      <w:r w:rsidR="006C12D5" w:rsidRPr="00DB3E2E">
        <w:t xml:space="preserve"> spotřeb</w:t>
      </w:r>
      <w:r w:rsidR="0081539E">
        <w:t>y</w:t>
      </w:r>
      <w:r w:rsidR="006C12D5" w:rsidRPr="00DB3E2E">
        <w:t xml:space="preserve"> </w:t>
      </w:r>
      <w:r w:rsidR="00B92647">
        <w:t xml:space="preserve">konečné energie </w:t>
      </w:r>
      <w:r w:rsidR="006C12D5" w:rsidRPr="00DB3E2E">
        <w:t>veřejných subjektů pro rok 2021</w:t>
      </w:r>
      <w:r w:rsidR="00F44080" w:rsidRPr="00DB3E2E">
        <w:t>, který představuje base</w:t>
      </w:r>
      <w:r w:rsidR="009664A8" w:rsidRPr="00DB3E2E">
        <w:t xml:space="preserve"> </w:t>
      </w:r>
      <w:r w:rsidR="00F44080" w:rsidRPr="00DB3E2E">
        <w:t>line</w:t>
      </w:r>
      <w:r w:rsidR="001C1E2E" w:rsidRPr="00DB3E2E">
        <w:t xml:space="preserve"> pro následné </w:t>
      </w:r>
      <w:r w:rsidR="00DA7198" w:rsidRPr="00DB3E2E">
        <w:t>stanovení cílů snižováni</w:t>
      </w:r>
      <w:r w:rsidR="001C1E2E" w:rsidRPr="00DB3E2E">
        <w:t xml:space="preserve"> spotřeby konečné energie o</w:t>
      </w:r>
      <w:r w:rsidR="0034669B">
        <w:t> </w:t>
      </w:r>
      <w:r w:rsidR="00DA7198" w:rsidRPr="00DB3E2E">
        <w:t>nejméně</w:t>
      </w:r>
      <w:r w:rsidR="001C1E2E" w:rsidRPr="00DB3E2E">
        <w:t xml:space="preserve"> 1,9 % ve srovnání s</w:t>
      </w:r>
      <w:r w:rsidR="0034669B">
        <w:t> </w:t>
      </w:r>
      <w:r w:rsidR="001C1E2E" w:rsidRPr="00DB3E2E">
        <w:t>rokem 2021</w:t>
      </w:r>
      <w:r w:rsidR="00291F0B">
        <w:t xml:space="preserve"> jak je definováno v článku 5</w:t>
      </w:r>
      <w:r w:rsidR="001C1E2E" w:rsidRPr="00DB3E2E">
        <w:t>.</w:t>
      </w:r>
      <w:r w:rsidR="00DA7198" w:rsidRPr="00DB3E2E">
        <w:t xml:space="preserve"> Během přechodného období do 11. října 2027 je cíl orientační. V</w:t>
      </w:r>
      <w:r w:rsidR="0034669B">
        <w:t> </w:t>
      </w:r>
      <w:r w:rsidR="00DA7198" w:rsidRPr="00DB3E2E">
        <w:t>průběhu uvedeného přechodného období mohou členské státy používat odhady údajů o</w:t>
      </w:r>
      <w:r w:rsidR="0034669B">
        <w:t> </w:t>
      </w:r>
      <w:r w:rsidR="00DA7198" w:rsidRPr="00DB3E2E">
        <w:t>spotřebě, přičemž ke stejnému datu členské státy přizpůsobí výchozí hodnotu a</w:t>
      </w:r>
      <w:r w:rsidR="0034669B">
        <w:t> </w:t>
      </w:r>
      <w:r w:rsidR="00DA7198" w:rsidRPr="00DB3E2E">
        <w:t>uvedou odhadovanou konečnou spotřebu energie všech veřejných subjektů do souladu se skutečnou konečnou spotřebou energie všech veřejných subjektů.</w:t>
      </w:r>
    </w:p>
    <w:p w14:paraId="1C7074EA" w14:textId="5A19F172" w:rsidR="000A00C8" w:rsidRDefault="000A00C8" w:rsidP="00DB3E2E">
      <w:pPr>
        <w:spacing w:line="276" w:lineRule="auto"/>
        <w:jc w:val="both"/>
      </w:pPr>
      <w:r>
        <w:t xml:space="preserve">Konečná spotřeba energie pro veřejné subjekty má byt rozdělená dle: </w:t>
      </w:r>
    </w:p>
    <w:p w14:paraId="030089C1" w14:textId="4CC87F00" w:rsidR="000A00C8" w:rsidRPr="000A00C8" w:rsidRDefault="000A00C8" w:rsidP="000A00C8">
      <w:pPr>
        <w:pStyle w:val="Odstavecseseznamem"/>
        <w:numPr>
          <w:ilvl w:val="0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Spotřeb</w:t>
      </w:r>
      <w:r w:rsidR="007F66D3">
        <w:rPr>
          <w:rFonts w:eastAsia="Times New Roman"/>
          <w:color w:val="000000"/>
          <w:lang w:eastAsia="cs-CZ"/>
        </w:rPr>
        <w:t>y</w:t>
      </w:r>
      <w:r w:rsidRPr="000A00C8">
        <w:rPr>
          <w:rFonts w:eastAsia="Times New Roman"/>
          <w:color w:val="000000"/>
          <w:lang w:eastAsia="cs-CZ"/>
        </w:rPr>
        <w:t xml:space="preserve"> energie v</w:t>
      </w:r>
      <w:r>
        <w:rPr>
          <w:rFonts w:eastAsia="Times New Roman"/>
          <w:color w:val="000000"/>
          <w:lang w:eastAsia="cs-CZ"/>
        </w:rPr>
        <w:t> </w:t>
      </w:r>
      <w:r w:rsidRPr="000A00C8">
        <w:rPr>
          <w:rFonts w:eastAsia="Times New Roman"/>
          <w:color w:val="000000"/>
          <w:lang w:eastAsia="cs-CZ"/>
        </w:rPr>
        <w:t>budovác</w:t>
      </w:r>
      <w:r>
        <w:rPr>
          <w:rFonts w:eastAsia="Times New Roman"/>
          <w:color w:val="000000"/>
          <w:lang w:eastAsia="cs-CZ"/>
        </w:rPr>
        <w:t>h</w:t>
      </w:r>
    </w:p>
    <w:p w14:paraId="69BA73C5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Kancelářské a administrativní budovy</w:t>
      </w:r>
    </w:p>
    <w:p w14:paraId="1D90EC88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Nemocnice a zdravotnické zařízení</w:t>
      </w:r>
    </w:p>
    <w:p w14:paraId="10996BF8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Školy a mateřské školy</w:t>
      </w:r>
    </w:p>
    <w:p w14:paraId="644F4D6A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Univerzity</w:t>
      </w:r>
    </w:p>
    <w:p w14:paraId="2EF6D266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Tovární a dálniční budovy</w:t>
      </w:r>
    </w:p>
    <w:p w14:paraId="6FEB05A1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Ostatní veřejné budovy (vlastněné nebo pronajaté)</w:t>
      </w:r>
    </w:p>
    <w:p w14:paraId="2A6BB006" w14:textId="338901AB" w:rsidR="000A00C8" w:rsidRPr="000A00C8" w:rsidRDefault="000A00C8" w:rsidP="000A00C8">
      <w:pPr>
        <w:pStyle w:val="Odstavecseseznamem"/>
        <w:numPr>
          <w:ilvl w:val="0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Spotřeb</w:t>
      </w:r>
      <w:r w:rsidR="007F66D3">
        <w:rPr>
          <w:rFonts w:eastAsia="Times New Roman"/>
          <w:color w:val="000000"/>
          <w:lang w:eastAsia="cs-CZ"/>
        </w:rPr>
        <w:t>y</w:t>
      </w:r>
      <w:r w:rsidRPr="000A00C8">
        <w:rPr>
          <w:rFonts w:eastAsia="Times New Roman"/>
          <w:color w:val="000000"/>
          <w:lang w:eastAsia="cs-CZ"/>
        </w:rPr>
        <w:t xml:space="preserve"> energie pro veřejné služby</w:t>
      </w:r>
    </w:p>
    <w:p w14:paraId="1460344B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Veřejné osvětlen</w:t>
      </w:r>
      <w:r>
        <w:rPr>
          <w:rFonts w:eastAsia="Times New Roman"/>
          <w:color w:val="000000"/>
          <w:lang w:eastAsia="cs-CZ"/>
        </w:rPr>
        <w:t>í</w:t>
      </w:r>
    </w:p>
    <w:p w14:paraId="492EB29B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Zásobování vodou</w:t>
      </w:r>
    </w:p>
    <w:p w14:paraId="4561AD95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Čištění odpadních vod</w:t>
      </w:r>
    </w:p>
    <w:p w14:paraId="346E8234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Odpadový management</w:t>
      </w:r>
    </w:p>
    <w:p w14:paraId="4DD259E5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lastRenderedPageBreak/>
        <w:t>Ostatní služby</w:t>
      </w:r>
    </w:p>
    <w:p w14:paraId="7B07DCD9" w14:textId="5668C229" w:rsidR="000A00C8" w:rsidRPr="000A00C8" w:rsidRDefault="000A00C8" w:rsidP="000A00C8">
      <w:pPr>
        <w:pStyle w:val="Odstavecseseznamem"/>
        <w:numPr>
          <w:ilvl w:val="0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Spotřeb</w:t>
      </w:r>
      <w:r w:rsidR="007F66D3">
        <w:rPr>
          <w:rFonts w:eastAsia="Times New Roman"/>
          <w:color w:val="000000"/>
          <w:lang w:eastAsia="cs-CZ"/>
        </w:rPr>
        <w:t>y</w:t>
      </w:r>
      <w:r w:rsidRPr="000A00C8">
        <w:rPr>
          <w:rFonts w:eastAsia="Times New Roman"/>
          <w:color w:val="000000"/>
          <w:lang w:eastAsia="cs-CZ"/>
        </w:rPr>
        <w:t xml:space="preserve"> energie pro dopravu</w:t>
      </w:r>
    </w:p>
    <w:p w14:paraId="5B91D3CB" w14:textId="77777777" w:rsidR="000A00C8" w:rsidRPr="000A00C8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Veřejná doprava</w:t>
      </w:r>
    </w:p>
    <w:p w14:paraId="09DD7ACB" w14:textId="7BC0C065" w:rsidR="000A00C8" w:rsidRPr="00DF5F77" w:rsidRDefault="000A00C8" w:rsidP="000A00C8">
      <w:pPr>
        <w:pStyle w:val="Odstavecseseznamem"/>
        <w:numPr>
          <w:ilvl w:val="1"/>
          <w:numId w:val="31"/>
        </w:numPr>
        <w:spacing w:line="276" w:lineRule="auto"/>
        <w:jc w:val="both"/>
      </w:pPr>
      <w:r w:rsidRPr="000A00C8">
        <w:rPr>
          <w:rFonts w:eastAsia="Times New Roman"/>
          <w:color w:val="000000"/>
          <w:lang w:eastAsia="cs-CZ"/>
        </w:rPr>
        <w:t>Vozový park vlastněný veřejným subjektem pro jiné účely než veřejná doprava</w:t>
      </w:r>
    </w:p>
    <w:p w14:paraId="40BB0367" w14:textId="7A39B237" w:rsidR="000A00C8" w:rsidRPr="000A00C8" w:rsidRDefault="00DF5F77" w:rsidP="00DF5F77">
      <w:pPr>
        <w:pStyle w:val="Odstavecseseznamem"/>
        <w:numPr>
          <w:ilvl w:val="1"/>
          <w:numId w:val="31"/>
        </w:numPr>
        <w:spacing w:line="276" w:lineRule="auto"/>
        <w:jc w:val="both"/>
      </w:pPr>
      <w:r>
        <w:rPr>
          <w:rFonts w:eastAsia="Times New Roman"/>
          <w:color w:val="000000"/>
          <w:lang w:eastAsia="cs-CZ"/>
        </w:rPr>
        <w:t>ozbrojené sily</w:t>
      </w:r>
    </w:p>
    <w:p w14:paraId="634A0A7A" w14:textId="096263D8" w:rsidR="00D5038F" w:rsidRDefault="00184FF8" w:rsidP="00546366">
      <w:pPr>
        <w:spacing w:line="276" w:lineRule="auto"/>
        <w:jc w:val="both"/>
      </w:pPr>
      <w:r>
        <w:t>Dále je</w:t>
      </w:r>
      <w:r w:rsidR="00291F0B">
        <w:t xml:space="preserve"> </w:t>
      </w:r>
      <w:r>
        <w:t xml:space="preserve">potřeba zanalyzovat fond veřejných budov na základě </w:t>
      </w:r>
      <w:r w:rsidR="00867F20">
        <w:t xml:space="preserve">zjištěných dat z </w:t>
      </w:r>
      <w:r>
        <w:t>předcházejících kroků</w:t>
      </w:r>
      <w:r w:rsidR="00867F20">
        <w:t xml:space="preserve"> v kontextu</w:t>
      </w:r>
      <w:r>
        <w:t xml:space="preserve"> vyčíslení</w:t>
      </w:r>
      <w:r w:rsidR="002F7C0F">
        <w:t xml:space="preserve"> podlahové plochy </w:t>
      </w:r>
      <w:r w:rsidR="002F7C0F" w:rsidRPr="002F7C0F">
        <w:t>vytápěných nebo chlazených budov ve vlastnictví veřejných subjektů</w:t>
      </w:r>
      <w:r w:rsidR="002F7C0F">
        <w:t xml:space="preserve"> pro vypočtení 3% celkové podlahové plochy</w:t>
      </w:r>
      <w:r>
        <w:t>,</w:t>
      </w:r>
      <w:r w:rsidR="002F7C0F">
        <w:t xml:space="preserve"> která bude muset </w:t>
      </w:r>
      <w:r w:rsidR="002A269D">
        <w:t>být</w:t>
      </w:r>
      <w:r w:rsidR="002F7C0F">
        <w:t xml:space="preserve"> každoročně renovována. </w:t>
      </w:r>
      <w:r w:rsidR="002F7C0F" w:rsidRPr="002F7C0F">
        <w:t>Tento minimální 3% podíl se vypočte z celkové podlahové plochy budov ve vlastnictví veřejných subjektů, které mají celkovou podlahovou plochu nad 250 m2 a které k 1. lednu 2024</w:t>
      </w:r>
      <w:r w:rsidR="00546366">
        <w:t xml:space="preserve"> </w:t>
      </w:r>
      <w:r w:rsidR="002F7C0F" w:rsidRPr="002F7C0F">
        <w:t>nejsou budovami s téměř nulovou spotřebou energie.</w:t>
      </w:r>
      <w:r w:rsidR="002F7C0F">
        <w:t xml:space="preserve"> </w:t>
      </w:r>
      <w:r w:rsidR="00867F20">
        <w:t xml:space="preserve">Jedná se o skloubení zjištěných dat s daty, které jsou dostupné MPO. Výsledkem bude návrh cílů renovace pro jednotlivé kraje v kontextu čl. 6 EED. </w:t>
      </w:r>
      <w:r w:rsidR="00546366">
        <w:t>Podklady budou použit</w:t>
      </w:r>
      <w:r w:rsidR="00867F20">
        <w:t>y</w:t>
      </w:r>
      <w:r w:rsidR="00546366">
        <w:t xml:space="preserve"> pro vytvoření strategie renovaci veřejných budov.</w:t>
      </w:r>
    </w:p>
    <w:p w14:paraId="060C72B5" w14:textId="1A3A0FF2" w:rsidR="00C90CE5" w:rsidRPr="00D5038F" w:rsidRDefault="00D5038F" w:rsidP="00DB3E2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Požadovaný </w:t>
      </w:r>
      <w:r w:rsidR="00D46849" w:rsidRPr="00D5038F">
        <w:rPr>
          <w:b/>
          <w:bCs/>
        </w:rPr>
        <w:t>výstup</w:t>
      </w:r>
      <w:r w:rsidR="00C90CE5" w:rsidRPr="00D5038F">
        <w:rPr>
          <w:b/>
          <w:bCs/>
        </w:rPr>
        <w:t>:</w:t>
      </w:r>
    </w:p>
    <w:p w14:paraId="08A0CBF9" w14:textId="6B0A6AE8" w:rsidR="009A70C8" w:rsidRDefault="00546366" w:rsidP="009A70C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Seznam </w:t>
      </w:r>
      <w:r w:rsidR="009A70C8">
        <w:t xml:space="preserve">veřejných budov spadajících pod článek 6 EED </w:t>
      </w:r>
      <w:r w:rsidR="00460EED">
        <w:t xml:space="preserve">(dodá MPO) </w:t>
      </w:r>
      <w:r w:rsidR="009A70C8">
        <w:t>s</w:t>
      </w:r>
      <w:r w:rsidR="001D3E80">
        <w:t xml:space="preserve"> maximální možnou </w:t>
      </w:r>
      <w:r w:rsidR="00460EED">
        <w:t>identifikací indikátorů z 1. části analýzy</w:t>
      </w:r>
      <w:r w:rsidR="00FF596D">
        <w:t>,</w:t>
      </w:r>
      <w:r w:rsidR="009A70C8">
        <w:t xml:space="preserve"> ve formě Excelu </w:t>
      </w:r>
    </w:p>
    <w:p w14:paraId="1B6222B2" w14:textId="2AADA1F7" w:rsidR="00D46849" w:rsidRDefault="0081539E" w:rsidP="00DB3E2E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Modelace</w:t>
      </w:r>
      <w:r w:rsidR="00C90CE5" w:rsidRPr="00C90CE5">
        <w:t xml:space="preserve"> spotřeby </w:t>
      </w:r>
      <w:r w:rsidR="00B92647">
        <w:t xml:space="preserve">konečné </w:t>
      </w:r>
      <w:r w:rsidR="00C90CE5" w:rsidRPr="00C90CE5">
        <w:t>energie</w:t>
      </w:r>
      <w:r w:rsidR="00B92647">
        <w:t xml:space="preserve"> </w:t>
      </w:r>
      <w:r w:rsidR="00C90CE5" w:rsidRPr="00C90CE5">
        <w:t>veřejných subjekt</w:t>
      </w:r>
      <w:r w:rsidR="00D5038F">
        <w:t>ů</w:t>
      </w:r>
      <w:r w:rsidR="00C90CE5" w:rsidRPr="00C90CE5">
        <w:t xml:space="preserve"> na základě</w:t>
      </w:r>
      <w:r w:rsidR="00D46849">
        <w:t xml:space="preserve"> </w:t>
      </w:r>
      <w:r w:rsidR="00D46849" w:rsidRPr="00D46849">
        <w:t>historických dat a</w:t>
      </w:r>
      <w:r w:rsidR="0034669B">
        <w:t> </w:t>
      </w:r>
      <w:r w:rsidR="00D46849" w:rsidRPr="00D46849">
        <w:t>relevantních faktorů</w:t>
      </w:r>
      <w:r w:rsidR="00D46849">
        <w:t xml:space="preserve"> </w:t>
      </w:r>
      <w:r w:rsidR="00C90CE5" w:rsidRPr="00C90CE5">
        <w:t>v</w:t>
      </w:r>
      <w:r w:rsidR="0034669B">
        <w:t> </w:t>
      </w:r>
      <w:r w:rsidR="00C90CE5" w:rsidRPr="00C90CE5">
        <w:t>rámci různých sektor</w:t>
      </w:r>
      <w:r w:rsidR="00D46849">
        <w:t>ů pro rok 2021 a</w:t>
      </w:r>
      <w:r w:rsidR="0034669B">
        <w:t> </w:t>
      </w:r>
      <w:r w:rsidR="00D46849">
        <w:t>následující roky</w:t>
      </w:r>
      <w:r w:rsidR="00EC42AF">
        <w:t xml:space="preserve"> ve </w:t>
      </w:r>
      <w:r w:rsidR="00B60D52">
        <w:t>formě</w:t>
      </w:r>
      <w:r w:rsidR="00EC42AF">
        <w:t xml:space="preserve"> Excelu</w:t>
      </w:r>
    </w:p>
    <w:p w14:paraId="6EDF49F6" w14:textId="77777777" w:rsidR="00C67A69" w:rsidRDefault="00C67A69" w:rsidP="00DB3E2E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Pro další práci s daty je potřeba, aby veřejné subjekty byly rozdělené dle úrovní na státní, krajské po jednotlivých krajích a obecní dle jednotlivých krajů</w:t>
      </w:r>
    </w:p>
    <w:p w14:paraId="1C9204CA" w14:textId="5BE1574F" w:rsidR="00FF596D" w:rsidRDefault="00FF596D" w:rsidP="00DB3E2E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FF596D">
        <w:t xml:space="preserve">Součástí výstupu je požadovaný i kompletní programovací kód, který konzultanti použijí k čištění a analýze primárních dat. Tento kód by měl umožnit nezávislou kontrolu provedené analýzy a zároveň významně usnadnit její replikaci v dalších iteracích z důvodu sledování zmíněných indikátorů každoročně pro vyhodnocovaní a tvorbu legislativy.   </w:t>
      </w:r>
    </w:p>
    <w:p w14:paraId="576105C7" w14:textId="77777777" w:rsidR="00B43E84" w:rsidRDefault="00B43E84" w:rsidP="00B43E84">
      <w:pPr>
        <w:spacing w:line="276" w:lineRule="auto"/>
        <w:jc w:val="both"/>
      </w:pPr>
    </w:p>
    <w:p w14:paraId="566CD30B" w14:textId="77777777" w:rsidR="00FA09B8" w:rsidRPr="00FA09B8" w:rsidRDefault="00FA09B8" w:rsidP="00FA09B8">
      <w:pPr>
        <w:pStyle w:val="Odstavecseseznamem"/>
        <w:numPr>
          <w:ilvl w:val="0"/>
          <w:numId w:val="25"/>
        </w:numPr>
        <w:rPr>
          <w:b/>
          <w:bCs/>
        </w:rPr>
      </w:pPr>
      <w:r w:rsidRPr="00FA09B8">
        <w:rPr>
          <w:b/>
          <w:bCs/>
        </w:rPr>
        <w:t>Analýza odpadního tepla v budovách</w:t>
      </w:r>
    </w:p>
    <w:p w14:paraId="4E156568" w14:textId="64C1B416" w:rsidR="003B09D2" w:rsidRDefault="00DA7198" w:rsidP="00DB3E2E">
      <w:pPr>
        <w:spacing w:after="200" w:line="276" w:lineRule="auto"/>
        <w:jc w:val="both"/>
      </w:pPr>
      <w:r>
        <w:t xml:space="preserve">Analýza </w:t>
      </w:r>
      <w:r w:rsidR="004C393B">
        <w:t xml:space="preserve">posouzeni </w:t>
      </w:r>
      <w:r>
        <w:t xml:space="preserve">potenciálu </w:t>
      </w:r>
      <w:r w:rsidR="004C393B">
        <w:t>a</w:t>
      </w:r>
      <w:r w:rsidR="0034669B">
        <w:t> </w:t>
      </w:r>
      <w:r w:rsidR="004C393B">
        <w:t>nastínění trajektorie využívaní odpad</w:t>
      </w:r>
      <w:r w:rsidR="00883E9C">
        <w:t>ní</w:t>
      </w:r>
      <w:r w:rsidR="004C393B">
        <w:t>ho tepla</w:t>
      </w:r>
      <w:r w:rsidR="00883E9C">
        <w:t xml:space="preserve"> pro</w:t>
      </w:r>
      <w:r w:rsidR="004C393B">
        <w:t xml:space="preserve"> </w:t>
      </w:r>
      <w:r w:rsidR="00883E9C">
        <w:t>d</w:t>
      </w:r>
      <w:r w:rsidR="004C393B">
        <w:t>álkové vytápěni a</w:t>
      </w:r>
      <w:r w:rsidR="0034669B">
        <w:t> </w:t>
      </w:r>
      <w:r w:rsidR="004C393B">
        <w:t>chlazení, který má byt v</w:t>
      </w:r>
      <w:r w:rsidR="0034669B">
        <w:t> </w:t>
      </w:r>
      <w:r w:rsidR="004C393B">
        <w:t>souladu s</w:t>
      </w:r>
      <w:r w:rsidR="0034669B">
        <w:t> </w:t>
      </w:r>
      <w:r w:rsidR="004C393B">
        <w:t xml:space="preserve">vnitrostátním plánem </w:t>
      </w:r>
      <w:r w:rsidR="004C393B" w:rsidRPr="004C393B">
        <w:t>v</w:t>
      </w:r>
      <w:r w:rsidR="0034669B">
        <w:t> </w:t>
      </w:r>
      <w:r w:rsidR="004C393B" w:rsidRPr="004C393B">
        <w:t>časovém rámci slučitelném s</w:t>
      </w:r>
      <w:r w:rsidR="0034669B">
        <w:t> </w:t>
      </w:r>
      <w:r w:rsidR="004C393B" w:rsidRPr="004C393B">
        <w:t>dosažením cíle klimatické neutrality.</w:t>
      </w:r>
      <w:r w:rsidR="00B92647">
        <w:t xml:space="preserve"> </w:t>
      </w:r>
      <w:r w:rsidR="003B09D2" w:rsidRPr="003B09D2">
        <w:t xml:space="preserve">Tato analýza </w:t>
      </w:r>
      <w:r w:rsidR="00B876B9">
        <w:t xml:space="preserve">má být </w:t>
      </w:r>
      <w:r w:rsidR="003B09D2" w:rsidRPr="003B09D2">
        <w:t>prováděna v</w:t>
      </w:r>
      <w:r w:rsidR="0034669B">
        <w:t> </w:t>
      </w:r>
      <w:r w:rsidR="003B09D2" w:rsidRPr="003B09D2">
        <w:t>souladu s</w:t>
      </w:r>
      <w:r w:rsidR="0034669B">
        <w:t> </w:t>
      </w:r>
      <w:r w:rsidR="003B09D2" w:rsidRPr="003B09D2">
        <w:t xml:space="preserve">článkem 26 </w:t>
      </w:r>
      <w:r w:rsidR="00B92647">
        <w:t>EED</w:t>
      </w:r>
      <w:r w:rsidR="003B09D2" w:rsidRPr="003B09D2">
        <w:t xml:space="preserve"> a</w:t>
      </w:r>
      <w:r w:rsidR="0034669B">
        <w:t> </w:t>
      </w:r>
      <w:r w:rsidR="003B09D2" w:rsidRPr="003B09D2">
        <w:t>má za cíl identifikovat a</w:t>
      </w:r>
      <w:r w:rsidR="0034669B">
        <w:t> </w:t>
      </w:r>
      <w:r w:rsidR="003B09D2" w:rsidRPr="003B09D2">
        <w:t>zhodnotit možnosti využití odpad</w:t>
      </w:r>
      <w:r w:rsidR="00883E9C">
        <w:t>ní</w:t>
      </w:r>
      <w:r w:rsidR="003B09D2" w:rsidRPr="003B09D2">
        <w:t xml:space="preserve">ho tepla </w:t>
      </w:r>
      <w:r w:rsidR="00FA09B8">
        <w:t xml:space="preserve">v budovách hlavně nerezidenčních </w:t>
      </w:r>
      <w:r w:rsidR="003B09D2" w:rsidRPr="003B09D2">
        <w:t>pro účely vytápění a</w:t>
      </w:r>
      <w:r w:rsidR="0034669B">
        <w:t> </w:t>
      </w:r>
      <w:r w:rsidR="003B09D2" w:rsidRPr="003B09D2">
        <w:t>chlazení v</w:t>
      </w:r>
      <w:r w:rsidR="0034669B">
        <w:t> </w:t>
      </w:r>
      <w:r w:rsidR="003B09D2" w:rsidRPr="003B09D2">
        <w:t xml:space="preserve">rámci </w:t>
      </w:r>
      <w:r w:rsidR="00B876B9">
        <w:t>České republiky</w:t>
      </w:r>
      <w:r w:rsidR="003B09D2" w:rsidRPr="003B09D2">
        <w:t>.</w:t>
      </w:r>
    </w:p>
    <w:p w14:paraId="66F14014" w14:textId="57446430" w:rsidR="003B09D2" w:rsidRPr="00883E9C" w:rsidRDefault="003B09D2" w:rsidP="00DB3E2E">
      <w:pPr>
        <w:spacing w:after="200" w:line="276" w:lineRule="auto"/>
        <w:jc w:val="both"/>
        <w:rPr>
          <w:b/>
          <w:bCs/>
        </w:rPr>
      </w:pPr>
      <w:r w:rsidRPr="00883E9C">
        <w:rPr>
          <w:b/>
          <w:bCs/>
        </w:rPr>
        <w:t>Cíle</w:t>
      </w:r>
      <w:r w:rsidR="00B876B9" w:rsidRPr="00883E9C">
        <w:rPr>
          <w:b/>
          <w:bCs/>
        </w:rPr>
        <w:t xml:space="preserve"> analýzy</w:t>
      </w:r>
      <w:r w:rsidRPr="00883E9C">
        <w:rPr>
          <w:b/>
          <w:bCs/>
        </w:rPr>
        <w:t>:</w:t>
      </w:r>
    </w:p>
    <w:p w14:paraId="3ACF97E8" w14:textId="4985EDD1" w:rsidR="003B09D2" w:rsidRDefault="003B09D2" w:rsidP="00DB3E2E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 w:rsidRPr="003B09D2">
        <w:t>Identifikace a</w:t>
      </w:r>
      <w:r w:rsidR="0034669B">
        <w:t> </w:t>
      </w:r>
      <w:r w:rsidRPr="003B09D2">
        <w:t>charakteri</w:t>
      </w:r>
      <w:r w:rsidR="00883E9C">
        <w:t>stiky</w:t>
      </w:r>
      <w:r w:rsidRPr="003B09D2">
        <w:t xml:space="preserve"> potenciálních zdrojů odpad</w:t>
      </w:r>
      <w:r w:rsidR="00883E9C">
        <w:t>níh</w:t>
      </w:r>
      <w:r w:rsidRPr="003B09D2">
        <w:t xml:space="preserve">o tepla </w:t>
      </w:r>
      <w:r w:rsidR="00883E9C">
        <w:t xml:space="preserve">v ČR </w:t>
      </w:r>
      <w:r w:rsidR="00FA09B8">
        <w:t>pro budovy</w:t>
      </w:r>
      <w:r w:rsidRPr="003B09D2">
        <w:t>.</w:t>
      </w:r>
    </w:p>
    <w:p w14:paraId="0462A6D1" w14:textId="42A6D9B4" w:rsidR="003B09D2" w:rsidRDefault="003B09D2" w:rsidP="00DB3E2E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Analýza množství dostupného odpad</w:t>
      </w:r>
      <w:r w:rsidR="00883E9C">
        <w:t>níh</w:t>
      </w:r>
      <w:r>
        <w:t>o tepla a</w:t>
      </w:r>
      <w:r w:rsidR="0034669B">
        <w:t> </w:t>
      </w:r>
      <w:r>
        <w:t>jeho charakteristiky (teplota, dostupnost atd.)</w:t>
      </w:r>
      <w:r w:rsidR="005A4EE9" w:rsidRPr="005A4EE9">
        <w:t>, včetně odhadu podílu budov, které již odpadní teplo využívá.</w:t>
      </w:r>
    </w:p>
    <w:p w14:paraId="6B995C44" w14:textId="6298141F" w:rsidR="005A4EE9" w:rsidRDefault="005A4EE9" w:rsidP="005A4EE9">
      <w:pPr>
        <w:pStyle w:val="Odstavecseseznamem"/>
        <w:numPr>
          <w:ilvl w:val="0"/>
          <w:numId w:val="10"/>
        </w:numPr>
      </w:pPr>
      <w:r w:rsidRPr="005A4EE9">
        <w:t>Přehled způsobů a technologických přístupů k využití odpadního tepla v</w:t>
      </w:r>
      <w:r>
        <w:t> </w:t>
      </w:r>
      <w:r w:rsidRPr="005A4EE9">
        <w:t>budovách</w:t>
      </w:r>
      <w:r>
        <w:t>.</w:t>
      </w:r>
    </w:p>
    <w:p w14:paraId="7B04B3BC" w14:textId="77777777" w:rsidR="005A4EE9" w:rsidRDefault="005A4EE9" w:rsidP="005A4EE9">
      <w:pPr>
        <w:pStyle w:val="Odstavecseseznamem"/>
      </w:pPr>
    </w:p>
    <w:p w14:paraId="36FC940D" w14:textId="0997F95A" w:rsidR="003B09D2" w:rsidRPr="00883E9C" w:rsidRDefault="00883E9C" w:rsidP="00DB3E2E">
      <w:pPr>
        <w:spacing w:after="200" w:line="276" w:lineRule="auto"/>
        <w:jc w:val="both"/>
        <w:rPr>
          <w:b/>
          <w:bCs/>
        </w:rPr>
      </w:pPr>
      <w:r w:rsidRPr="00883E9C">
        <w:rPr>
          <w:b/>
          <w:bCs/>
        </w:rPr>
        <w:t xml:space="preserve">Požadované </w:t>
      </w:r>
      <w:r w:rsidR="003B09D2" w:rsidRPr="00883E9C">
        <w:rPr>
          <w:b/>
          <w:bCs/>
        </w:rPr>
        <w:t>výstupy</w:t>
      </w:r>
      <w:r w:rsidR="00B876B9" w:rsidRPr="00883E9C">
        <w:rPr>
          <w:b/>
          <w:bCs/>
        </w:rPr>
        <w:t xml:space="preserve"> analýzy</w:t>
      </w:r>
      <w:r w:rsidR="003B09D2" w:rsidRPr="00883E9C">
        <w:rPr>
          <w:b/>
          <w:bCs/>
        </w:rPr>
        <w:t>:</w:t>
      </w:r>
    </w:p>
    <w:p w14:paraId="4C320F46" w14:textId="4084518C" w:rsidR="003B09D2" w:rsidRDefault="00F203ED" w:rsidP="005A4EE9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 xml:space="preserve">Zpráva </w:t>
      </w:r>
      <w:r w:rsidR="003B09D2">
        <w:t>obsahující výsledky analýzy potenciálu využití odpad</w:t>
      </w:r>
      <w:r w:rsidR="00883E9C">
        <w:t>ní</w:t>
      </w:r>
      <w:r w:rsidR="003B09D2">
        <w:t>ho tepla</w:t>
      </w:r>
      <w:r w:rsidR="005A4EE9">
        <w:t xml:space="preserve"> a možných způsobů a technologických přístupů k využití odpadního tepla</w:t>
      </w:r>
      <w:r w:rsidR="003B09D2">
        <w:t>.</w:t>
      </w:r>
    </w:p>
    <w:p w14:paraId="1CBD6A0C" w14:textId="41C89354" w:rsidR="005A4EE9" w:rsidRDefault="005A4EE9" w:rsidP="005A4EE9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 w:rsidRPr="003B09D2">
        <w:t>Ekonomická analýza využití odpad</w:t>
      </w:r>
      <w:r>
        <w:t>ní</w:t>
      </w:r>
      <w:r w:rsidRPr="003B09D2">
        <w:t>ho tepla včetně nákladů na investice, provoz a</w:t>
      </w:r>
      <w:r>
        <w:t> </w:t>
      </w:r>
      <w:r w:rsidRPr="003B09D2">
        <w:t>úspory</w:t>
      </w:r>
      <w:r>
        <w:t xml:space="preserve"> energie a nákladů.</w:t>
      </w:r>
    </w:p>
    <w:p w14:paraId="7A0CFAE1" w14:textId="5F0174A9" w:rsidR="006F43CC" w:rsidRDefault="006F43CC" w:rsidP="005A4EE9">
      <w:pPr>
        <w:pStyle w:val="Odstavecseseznamem"/>
      </w:pPr>
    </w:p>
    <w:p w14:paraId="55E55906" w14:textId="12E0CA8A" w:rsidR="006F43CC" w:rsidRPr="00423B90" w:rsidRDefault="006F43CC" w:rsidP="005A4EE9">
      <w:pPr>
        <w:pStyle w:val="Odstavecseseznamem"/>
      </w:pPr>
    </w:p>
    <w:sectPr w:rsidR="006F43CC" w:rsidRPr="00423B90" w:rsidSect="008E7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03D5" w14:textId="77777777" w:rsidR="00BC2E19" w:rsidRDefault="00BC2E19" w:rsidP="00677FE0">
      <w:r>
        <w:separator/>
      </w:r>
    </w:p>
  </w:endnote>
  <w:endnote w:type="continuationSeparator" w:id="0">
    <w:p w14:paraId="4D99CE19" w14:textId="77777777" w:rsidR="00BC2E19" w:rsidRDefault="00BC2E1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0B41" w14:textId="77777777" w:rsidR="003B40D9" w:rsidRDefault="003B40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316494"/>
      <w:docPartObj>
        <w:docPartGallery w:val="Page Numbers (Bottom of Page)"/>
        <w:docPartUnique/>
      </w:docPartObj>
    </w:sdtPr>
    <w:sdtEndPr/>
    <w:sdtContent>
      <w:p w14:paraId="7B4AC70B" w14:textId="1433CB50" w:rsidR="0033078F" w:rsidRDefault="003307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21B10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8638" w14:textId="77777777" w:rsidR="003B40D9" w:rsidRDefault="003B40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1FC4" w14:textId="77777777" w:rsidR="00BC2E19" w:rsidRDefault="00BC2E19" w:rsidP="00677FE0">
      <w:r>
        <w:separator/>
      </w:r>
    </w:p>
  </w:footnote>
  <w:footnote w:type="continuationSeparator" w:id="0">
    <w:p w14:paraId="171FD585" w14:textId="77777777" w:rsidR="00BC2E19" w:rsidRDefault="00BC2E19" w:rsidP="00677FE0">
      <w:r>
        <w:continuationSeparator/>
      </w:r>
    </w:p>
  </w:footnote>
  <w:footnote w:id="1">
    <w:p w14:paraId="0DFC226F" w14:textId="20A3856B" w:rsidR="00546366" w:rsidRDefault="00546366">
      <w:pPr>
        <w:pStyle w:val="Textpoznpodarou"/>
      </w:pPr>
      <w:r>
        <w:rPr>
          <w:rStyle w:val="Znakapoznpodarou"/>
        </w:rPr>
        <w:footnoteRef/>
      </w:r>
      <w:r>
        <w:t xml:space="preserve"> koresponduje s indikátory z 1. části analýzy – Datasetu</w:t>
      </w:r>
      <w:r w:rsidRPr="00546366">
        <w:t xml:space="preserve"> pro vnitrostátní fond budov dle EPBD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E5C4" w14:textId="77777777" w:rsidR="003B40D9" w:rsidRDefault="003B40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3F52" w14:textId="6CAC561E" w:rsidR="00FB2F4A" w:rsidRDefault="009F29F0">
    <w:pPr>
      <w:pStyle w:val="Zhlav"/>
    </w:pPr>
    <w:r>
      <w:t xml:space="preserve">Příloha č. </w:t>
    </w:r>
    <w:r w:rsidR="003B40D9">
      <w:t>1</w:t>
    </w:r>
  </w:p>
  <w:p w14:paraId="3DA54FBC" w14:textId="77777777" w:rsidR="00517798" w:rsidRDefault="005177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613F" w14:textId="77777777" w:rsidR="003B40D9" w:rsidRDefault="003B40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B6"/>
    <w:multiLevelType w:val="hybridMultilevel"/>
    <w:tmpl w:val="729E9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26C"/>
    <w:multiLevelType w:val="hybridMultilevel"/>
    <w:tmpl w:val="37F29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3" w15:restartNumberingAfterBreak="0">
    <w:nsid w:val="07EE5CF1"/>
    <w:multiLevelType w:val="hybridMultilevel"/>
    <w:tmpl w:val="B78E5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4DA2"/>
    <w:multiLevelType w:val="hybridMultilevel"/>
    <w:tmpl w:val="C19CF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E3DCD"/>
    <w:multiLevelType w:val="hybridMultilevel"/>
    <w:tmpl w:val="3CD2D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316F8"/>
    <w:multiLevelType w:val="multilevel"/>
    <w:tmpl w:val="3320A8B2"/>
    <w:numStyleLink w:val="VariantaB-odrky"/>
  </w:abstractNum>
  <w:abstractNum w:abstractNumId="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EA43A38"/>
    <w:multiLevelType w:val="hybridMultilevel"/>
    <w:tmpl w:val="A6FCB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698"/>
    <w:multiLevelType w:val="hybridMultilevel"/>
    <w:tmpl w:val="DD966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114E"/>
    <w:multiLevelType w:val="hybridMultilevel"/>
    <w:tmpl w:val="0826D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72CB"/>
    <w:multiLevelType w:val="hybridMultilevel"/>
    <w:tmpl w:val="9D2C252C"/>
    <w:lvl w:ilvl="0" w:tplc="D1B235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5EA2"/>
    <w:multiLevelType w:val="multilevel"/>
    <w:tmpl w:val="E8BAE50A"/>
    <w:numStyleLink w:val="VariantaA-odrky"/>
  </w:abstractNum>
  <w:abstractNum w:abstractNumId="14" w15:restartNumberingAfterBreak="0">
    <w:nsid w:val="313F09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3E23A3"/>
    <w:multiLevelType w:val="hybridMultilevel"/>
    <w:tmpl w:val="E0B656A8"/>
    <w:lvl w:ilvl="0" w:tplc="A06A7A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C7C"/>
    <w:multiLevelType w:val="hybridMultilevel"/>
    <w:tmpl w:val="0F3CDB2C"/>
    <w:lvl w:ilvl="0" w:tplc="A06A7A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32CF"/>
    <w:multiLevelType w:val="hybridMultilevel"/>
    <w:tmpl w:val="71B6EBFA"/>
    <w:lvl w:ilvl="0" w:tplc="A06A7AF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392927"/>
    <w:multiLevelType w:val="hybridMultilevel"/>
    <w:tmpl w:val="0170A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97C89"/>
    <w:multiLevelType w:val="hybridMultilevel"/>
    <w:tmpl w:val="F378E914"/>
    <w:lvl w:ilvl="0" w:tplc="A2C02AA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292E27EC">
      <w:start w:val="1"/>
      <w:numFmt w:val="lowerLetter"/>
      <w:lvlText w:val="%2.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BFCB1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1E4C51C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33D1"/>
    <w:multiLevelType w:val="hybridMultilevel"/>
    <w:tmpl w:val="4858B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4171"/>
    <w:multiLevelType w:val="hybridMultilevel"/>
    <w:tmpl w:val="A3849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4505D"/>
    <w:multiLevelType w:val="hybridMultilevel"/>
    <w:tmpl w:val="45902814"/>
    <w:lvl w:ilvl="0" w:tplc="644E8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16724"/>
    <w:multiLevelType w:val="hybridMultilevel"/>
    <w:tmpl w:val="F5AEBE2C"/>
    <w:lvl w:ilvl="0" w:tplc="58865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F13696"/>
    <w:multiLevelType w:val="hybridMultilevel"/>
    <w:tmpl w:val="24482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7" w15:restartNumberingAfterBreak="0">
    <w:nsid w:val="5AF35F43"/>
    <w:multiLevelType w:val="multilevel"/>
    <w:tmpl w:val="0D8ABE32"/>
    <w:numStyleLink w:val="VariantaB-sla"/>
  </w:abstractNum>
  <w:abstractNum w:abstractNumId="28" w15:restartNumberingAfterBreak="0">
    <w:nsid w:val="5E326239"/>
    <w:multiLevelType w:val="hybridMultilevel"/>
    <w:tmpl w:val="0C8248FC"/>
    <w:lvl w:ilvl="0" w:tplc="73E453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B00D1"/>
    <w:multiLevelType w:val="hybridMultilevel"/>
    <w:tmpl w:val="56D0E4E8"/>
    <w:lvl w:ilvl="0" w:tplc="A06A7A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6705C"/>
    <w:multiLevelType w:val="hybridMultilevel"/>
    <w:tmpl w:val="B1A69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1FE2"/>
    <w:multiLevelType w:val="hybridMultilevel"/>
    <w:tmpl w:val="B004F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05529"/>
    <w:multiLevelType w:val="hybridMultilevel"/>
    <w:tmpl w:val="8752B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A6357"/>
    <w:multiLevelType w:val="hybridMultilevel"/>
    <w:tmpl w:val="85BCD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1011F"/>
    <w:multiLevelType w:val="hybridMultilevel"/>
    <w:tmpl w:val="46E4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D1DEF"/>
    <w:multiLevelType w:val="hybridMultilevel"/>
    <w:tmpl w:val="7A326444"/>
    <w:lvl w:ilvl="0" w:tplc="D056E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2"/>
  </w:num>
  <w:num w:numId="5">
    <w:abstractNumId w:val="27"/>
  </w:num>
  <w:num w:numId="6">
    <w:abstractNumId w:val="13"/>
  </w:num>
  <w:num w:numId="7">
    <w:abstractNumId w:val="8"/>
  </w:num>
  <w:num w:numId="8">
    <w:abstractNumId w:val="6"/>
  </w:num>
  <w:num w:numId="9">
    <w:abstractNumId w:val="19"/>
  </w:num>
  <w:num w:numId="10">
    <w:abstractNumId w:val="15"/>
  </w:num>
  <w:num w:numId="11">
    <w:abstractNumId w:val="22"/>
  </w:num>
  <w:num w:numId="12">
    <w:abstractNumId w:val="12"/>
  </w:num>
  <w:num w:numId="13">
    <w:abstractNumId w:val="31"/>
  </w:num>
  <w:num w:numId="14">
    <w:abstractNumId w:val="30"/>
  </w:num>
  <w:num w:numId="15">
    <w:abstractNumId w:val="3"/>
  </w:num>
  <w:num w:numId="16">
    <w:abstractNumId w:val="34"/>
  </w:num>
  <w:num w:numId="17">
    <w:abstractNumId w:val="35"/>
  </w:num>
  <w:num w:numId="18">
    <w:abstractNumId w:val="9"/>
  </w:num>
  <w:num w:numId="19">
    <w:abstractNumId w:val="5"/>
  </w:num>
  <w:num w:numId="20">
    <w:abstractNumId w:val="0"/>
  </w:num>
  <w:num w:numId="21">
    <w:abstractNumId w:val="1"/>
  </w:num>
  <w:num w:numId="22">
    <w:abstractNumId w:val="16"/>
  </w:num>
  <w:num w:numId="23">
    <w:abstractNumId w:val="25"/>
  </w:num>
  <w:num w:numId="24">
    <w:abstractNumId w:val="17"/>
  </w:num>
  <w:num w:numId="25">
    <w:abstractNumId w:val="23"/>
  </w:num>
  <w:num w:numId="26">
    <w:abstractNumId w:val="14"/>
  </w:num>
  <w:num w:numId="27">
    <w:abstractNumId w:val="11"/>
  </w:num>
  <w:num w:numId="28">
    <w:abstractNumId w:val="29"/>
  </w:num>
  <w:num w:numId="29">
    <w:abstractNumId w:val="4"/>
  </w:num>
  <w:num w:numId="30">
    <w:abstractNumId w:val="32"/>
  </w:num>
  <w:num w:numId="31">
    <w:abstractNumId w:val="28"/>
  </w:num>
  <w:num w:numId="32">
    <w:abstractNumId w:val="10"/>
  </w:num>
  <w:num w:numId="33">
    <w:abstractNumId w:val="20"/>
  </w:num>
  <w:num w:numId="34">
    <w:abstractNumId w:val="18"/>
  </w:num>
  <w:num w:numId="35">
    <w:abstractNumId w:val="21"/>
  </w:num>
  <w:num w:numId="36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D9"/>
    <w:rsid w:val="000038A8"/>
    <w:rsid w:val="00006B68"/>
    <w:rsid w:val="00007C9D"/>
    <w:rsid w:val="00015306"/>
    <w:rsid w:val="0001762F"/>
    <w:rsid w:val="000225A4"/>
    <w:rsid w:val="00023E14"/>
    <w:rsid w:val="0002674B"/>
    <w:rsid w:val="00032FA7"/>
    <w:rsid w:val="0004162E"/>
    <w:rsid w:val="0004786B"/>
    <w:rsid w:val="00063405"/>
    <w:rsid w:val="000809B9"/>
    <w:rsid w:val="00090B40"/>
    <w:rsid w:val="00095A0A"/>
    <w:rsid w:val="00096300"/>
    <w:rsid w:val="000A00C8"/>
    <w:rsid w:val="000A520E"/>
    <w:rsid w:val="000B1B3D"/>
    <w:rsid w:val="000B3B23"/>
    <w:rsid w:val="000C4CAF"/>
    <w:rsid w:val="000D25B7"/>
    <w:rsid w:val="000D443B"/>
    <w:rsid w:val="000E435C"/>
    <w:rsid w:val="000E7508"/>
    <w:rsid w:val="000F3963"/>
    <w:rsid w:val="00110C9D"/>
    <w:rsid w:val="00112BF6"/>
    <w:rsid w:val="0011651B"/>
    <w:rsid w:val="00121485"/>
    <w:rsid w:val="001268B0"/>
    <w:rsid w:val="0013385B"/>
    <w:rsid w:val="00150D73"/>
    <w:rsid w:val="00153090"/>
    <w:rsid w:val="00175A11"/>
    <w:rsid w:val="0018051B"/>
    <w:rsid w:val="00184FF8"/>
    <w:rsid w:val="001B1E4A"/>
    <w:rsid w:val="001C1E2E"/>
    <w:rsid w:val="001D0F34"/>
    <w:rsid w:val="001D11F2"/>
    <w:rsid w:val="001D27C0"/>
    <w:rsid w:val="001D30FC"/>
    <w:rsid w:val="001D3E80"/>
    <w:rsid w:val="001E74C3"/>
    <w:rsid w:val="001F1438"/>
    <w:rsid w:val="001F6937"/>
    <w:rsid w:val="0020579F"/>
    <w:rsid w:val="00220DE3"/>
    <w:rsid w:val="00225172"/>
    <w:rsid w:val="00243103"/>
    <w:rsid w:val="002527DA"/>
    <w:rsid w:val="0025290D"/>
    <w:rsid w:val="00253685"/>
    <w:rsid w:val="00260372"/>
    <w:rsid w:val="00262DAF"/>
    <w:rsid w:val="00267BA1"/>
    <w:rsid w:val="002827FD"/>
    <w:rsid w:val="0028471E"/>
    <w:rsid w:val="00285A8D"/>
    <w:rsid w:val="00285AED"/>
    <w:rsid w:val="00290507"/>
    <w:rsid w:val="00291F0B"/>
    <w:rsid w:val="00296649"/>
    <w:rsid w:val="002A269D"/>
    <w:rsid w:val="002A6ABB"/>
    <w:rsid w:val="002B21F1"/>
    <w:rsid w:val="002E2442"/>
    <w:rsid w:val="002E2E2F"/>
    <w:rsid w:val="002E7232"/>
    <w:rsid w:val="002F0E8C"/>
    <w:rsid w:val="002F2349"/>
    <w:rsid w:val="002F3278"/>
    <w:rsid w:val="002F7C0F"/>
    <w:rsid w:val="003021D9"/>
    <w:rsid w:val="00303EB2"/>
    <w:rsid w:val="00306E9E"/>
    <w:rsid w:val="00310FA0"/>
    <w:rsid w:val="003137CE"/>
    <w:rsid w:val="00320481"/>
    <w:rsid w:val="003250CB"/>
    <w:rsid w:val="0033078F"/>
    <w:rsid w:val="00332451"/>
    <w:rsid w:val="003402A7"/>
    <w:rsid w:val="0034669B"/>
    <w:rsid w:val="00363201"/>
    <w:rsid w:val="0038593C"/>
    <w:rsid w:val="0039063C"/>
    <w:rsid w:val="0039661C"/>
    <w:rsid w:val="003A062F"/>
    <w:rsid w:val="003A46A8"/>
    <w:rsid w:val="003A51AA"/>
    <w:rsid w:val="003B09D2"/>
    <w:rsid w:val="003B1280"/>
    <w:rsid w:val="003B40D9"/>
    <w:rsid w:val="003B40F5"/>
    <w:rsid w:val="003B565A"/>
    <w:rsid w:val="003D00A1"/>
    <w:rsid w:val="003D0F48"/>
    <w:rsid w:val="003D1363"/>
    <w:rsid w:val="003D7846"/>
    <w:rsid w:val="003E1CC8"/>
    <w:rsid w:val="003E3FF7"/>
    <w:rsid w:val="003F52DF"/>
    <w:rsid w:val="004137EE"/>
    <w:rsid w:val="0041427F"/>
    <w:rsid w:val="004164AB"/>
    <w:rsid w:val="00423B90"/>
    <w:rsid w:val="004261F4"/>
    <w:rsid w:val="00437DF2"/>
    <w:rsid w:val="00445BB5"/>
    <w:rsid w:val="00445EAD"/>
    <w:rsid w:val="004509E5"/>
    <w:rsid w:val="004547FF"/>
    <w:rsid w:val="00456E4E"/>
    <w:rsid w:val="00460EED"/>
    <w:rsid w:val="00483BA6"/>
    <w:rsid w:val="00486FB9"/>
    <w:rsid w:val="004A0EE8"/>
    <w:rsid w:val="004A19D1"/>
    <w:rsid w:val="004A5388"/>
    <w:rsid w:val="004C212A"/>
    <w:rsid w:val="004C2F17"/>
    <w:rsid w:val="004C393B"/>
    <w:rsid w:val="004C7303"/>
    <w:rsid w:val="004F2BBB"/>
    <w:rsid w:val="00500232"/>
    <w:rsid w:val="00504668"/>
    <w:rsid w:val="00517798"/>
    <w:rsid w:val="00537ACA"/>
    <w:rsid w:val="005455E1"/>
    <w:rsid w:val="00546366"/>
    <w:rsid w:val="005502BD"/>
    <w:rsid w:val="00554945"/>
    <w:rsid w:val="00556787"/>
    <w:rsid w:val="00564E50"/>
    <w:rsid w:val="00582276"/>
    <w:rsid w:val="005829D2"/>
    <w:rsid w:val="0058666B"/>
    <w:rsid w:val="005A4EE9"/>
    <w:rsid w:val="005C1753"/>
    <w:rsid w:val="005C2560"/>
    <w:rsid w:val="005C42D8"/>
    <w:rsid w:val="005C61E1"/>
    <w:rsid w:val="005C691B"/>
    <w:rsid w:val="005D3C21"/>
    <w:rsid w:val="005D7009"/>
    <w:rsid w:val="005E50CD"/>
    <w:rsid w:val="005E6462"/>
    <w:rsid w:val="005F0C60"/>
    <w:rsid w:val="005F5A85"/>
    <w:rsid w:val="005F7585"/>
    <w:rsid w:val="00605759"/>
    <w:rsid w:val="00610592"/>
    <w:rsid w:val="00637569"/>
    <w:rsid w:val="00640428"/>
    <w:rsid w:val="00650C6C"/>
    <w:rsid w:val="00652FE6"/>
    <w:rsid w:val="00667898"/>
    <w:rsid w:val="006718BB"/>
    <w:rsid w:val="00673159"/>
    <w:rsid w:val="00673916"/>
    <w:rsid w:val="00677FE0"/>
    <w:rsid w:val="006840E4"/>
    <w:rsid w:val="006878DD"/>
    <w:rsid w:val="00693CD6"/>
    <w:rsid w:val="006A7F9E"/>
    <w:rsid w:val="006C12D5"/>
    <w:rsid w:val="006C2FFE"/>
    <w:rsid w:val="006D04EF"/>
    <w:rsid w:val="006D0CFA"/>
    <w:rsid w:val="006E2FB0"/>
    <w:rsid w:val="006F43CC"/>
    <w:rsid w:val="006F470D"/>
    <w:rsid w:val="00701287"/>
    <w:rsid w:val="0070636B"/>
    <w:rsid w:val="007102D2"/>
    <w:rsid w:val="00713948"/>
    <w:rsid w:val="007233E1"/>
    <w:rsid w:val="00727F44"/>
    <w:rsid w:val="00745B24"/>
    <w:rsid w:val="00753A27"/>
    <w:rsid w:val="0077652E"/>
    <w:rsid w:val="007919A2"/>
    <w:rsid w:val="0079342A"/>
    <w:rsid w:val="007A0517"/>
    <w:rsid w:val="007B28A2"/>
    <w:rsid w:val="007B3233"/>
    <w:rsid w:val="007B4949"/>
    <w:rsid w:val="007C6BE5"/>
    <w:rsid w:val="007D6313"/>
    <w:rsid w:val="007E07FE"/>
    <w:rsid w:val="007E7783"/>
    <w:rsid w:val="007E7C95"/>
    <w:rsid w:val="007F0BC6"/>
    <w:rsid w:val="007F3095"/>
    <w:rsid w:val="007F66D3"/>
    <w:rsid w:val="0080002A"/>
    <w:rsid w:val="00803E6B"/>
    <w:rsid w:val="00804B66"/>
    <w:rsid w:val="008142CD"/>
    <w:rsid w:val="0081539E"/>
    <w:rsid w:val="00815FAF"/>
    <w:rsid w:val="00825BBB"/>
    <w:rsid w:val="008274CB"/>
    <w:rsid w:val="00831374"/>
    <w:rsid w:val="00832658"/>
    <w:rsid w:val="00836BBF"/>
    <w:rsid w:val="00843994"/>
    <w:rsid w:val="00843B75"/>
    <w:rsid w:val="00855312"/>
    <w:rsid w:val="00857580"/>
    <w:rsid w:val="00860ABA"/>
    <w:rsid w:val="00863C89"/>
    <w:rsid w:val="00865238"/>
    <w:rsid w:val="008667BF"/>
    <w:rsid w:val="00867F20"/>
    <w:rsid w:val="008708D2"/>
    <w:rsid w:val="00883E9C"/>
    <w:rsid w:val="00884066"/>
    <w:rsid w:val="00895645"/>
    <w:rsid w:val="008A0257"/>
    <w:rsid w:val="008A7851"/>
    <w:rsid w:val="008B0390"/>
    <w:rsid w:val="008B0CAF"/>
    <w:rsid w:val="008C3782"/>
    <w:rsid w:val="008D4A32"/>
    <w:rsid w:val="008D593A"/>
    <w:rsid w:val="008E2759"/>
    <w:rsid w:val="008E744B"/>
    <w:rsid w:val="008E7760"/>
    <w:rsid w:val="008F2C31"/>
    <w:rsid w:val="008F3642"/>
    <w:rsid w:val="008F6E1F"/>
    <w:rsid w:val="00902AC5"/>
    <w:rsid w:val="00906BFA"/>
    <w:rsid w:val="00907088"/>
    <w:rsid w:val="0091113F"/>
    <w:rsid w:val="00914231"/>
    <w:rsid w:val="00915EAC"/>
    <w:rsid w:val="00922001"/>
    <w:rsid w:val="00922C17"/>
    <w:rsid w:val="009236AD"/>
    <w:rsid w:val="00927FE7"/>
    <w:rsid w:val="00933276"/>
    <w:rsid w:val="00942DDD"/>
    <w:rsid w:val="00946D92"/>
    <w:rsid w:val="009516A8"/>
    <w:rsid w:val="0095456B"/>
    <w:rsid w:val="009664A8"/>
    <w:rsid w:val="0096713C"/>
    <w:rsid w:val="00975867"/>
    <w:rsid w:val="0097705C"/>
    <w:rsid w:val="009837EA"/>
    <w:rsid w:val="00983C39"/>
    <w:rsid w:val="00984275"/>
    <w:rsid w:val="009A36B8"/>
    <w:rsid w:val="009A70C8"/>
    <w:rsid w:val="009B2E0F"/>
    <w:rsid w:val="009B2F84"/>
    <w:rsid w:val="009B415A"/>
    <w:rsid w:val="009C277B"/>
    <w:rsid w:val="009C3095"/>
    <w:rsid w:val="009D789D"/>
    <w:rsid w:val="009E59D9"/>
    <w:rsid w:val="009F29F0"/>
    <w:rsid w:val="009F393D"/>
    <w:rsid w:val="009F7F46"/>
    <w:rsid w:val="00A000BF"/>
    <w:rsid w:val="00A0587E"/>
    <w:rsid w:val="00A117CA"/>
    <w:rsid w:val="00A14FB7"/>
    <w:rsid w:val="00A207C0"/>
    <w:rsid w:val="00A275BC"/>
    <w:rsid w:val="00A40547"/>
    <w:rsid w:val="00A464B4"/>
    <w:rsid w:val="00A507B8"/>
    <w:rsid w:val="00A63D6B"/>
    <w:rsid w:val="00A81CBF"/>
    <w:rsid w:val="00A8263C"/>
    <w:rsid w:val="00A84B52"/>
    <w:rsid w:val="00A8660F"/>
    <w:rsid w:val="00A95C48"/>
    <w:rsid w:val="00AA7056"/>
    <w:rsid w:val="00AB0CFF"/>
    <w:rsid w:val="00AB31C6"/>
    <w:rsid w:val="00AB489E"/>
    <w:rsid w:val="00AB523B"/>
    <w:rsid w:val="00AD7E40"/>
    <w:rsid w:val="00AF29FE"/>
    <w:rsid w:val="00AF425F"/>
    <w:rsid w:val="00AF4CAE"/>
    <w:rsid w:val="00B06B5D"/>
    <w:rsid w:val="00B1477A"/>
    <w:rsid w:val="00B17687"/>
    <w:rsid w:val="00B20993"/>
    <w:rsid w:val="00B30ADB"/>
    <w:rsid w:val="00B343CA"/>
    <w:rsid w:val="00B4114A"/>
    <w:rsid w:val="00B42E96"/>
    <w:rsid w:val="00B43D1E"/>
    <w:rsid w:val="00B43E84"/>
    <w:rsid w:val="00B50EE6"/>
    <w:rsid w:val="00B515E2"/>
    <w:rsid w:val="00B52185"/>
    <w:rsid w:val="00B525D9"/>
    <w:rsid w:val="00B57EA0"/>
    <w:rsid w:val="00B60D52"/>
    <w:rsid w:val="00B66532"/>
    <w:rsid w:val="00B80B93"/>
    <w:rsid w:val="00B876B9"/>
    <w:rsid w:val="00B910B0"/>
    <w:rsid w:val="00B92264"/>
    <w:rsid w:val="00B92647"/>
    <w:rsid w:val="00B95E5A"/>
    <w:rsid w:val="00B9753A"/>
    <w:rsid w:val="00BB1244"/>
    <w:rsid w:val="00BB36EE"/>
    <w:rsid w:val="00BB479C"/>
    <w:rsid w:val="00BB52DD"/>
    <w:rsid w:val="00BC2E19"/>
    <w:rsid w:val="00BC4720"/>
    <w:rsid w:val="00BC6922"/>
    <w:rsid w:val="00BD75A2"/>
    <w:rsid w:val="00C07EB0"/>
    <w:rsid w:val="00C151B9"/>
    <w:rsid w:val="00C2017A"/>
    <w:rsid w:val="00C2026B"/>
    <w:rsid w:val="00C20470"/>
    <w:rsid w:val="00C25178"/>
    <w:rsid w:val="00C26A67"/>
    <w:rsid w:val="00C3313C"/>
    <w:rsid w:val="00C34B2F"/>
    <w:rsid w:val="00C3661A"/>
    <w:rsid w:val="00C44424"/>
    <w:rsid w:val="00C459C3"/>
    <w:rsid w:val="00C4641B"/>
    <w:rsid w:val="00C6690E"/>
    <w:rsid w:val="00C67A69"/>
    <w:rsid w:val="00C703C5"/>
    <w:rsid w:val="00C754BF"/>
    <w:rsid w:val="00C7730D"/>
    <w:rsid w:val="00C805F2"/>
    <w:rsid w:val="00C867CE"/>
    <w:rsid w:val="00C90CE5"/>
    <w:rsid w:val="00C95C4E"/>
    <w:rsid w:val="00C96EFE"/>
    <w:rsid w:val="00CA1121"/>
    <w:rsid w:val="00CA1872"/>
    <w:rsid w:val="00CB6B8C"/>
    <w:rsid w:val="00CC427B"/>
    <w:rsid w:val="00CC5E40"/>
    <w:rsid w:val="00CC667D"/>
    <w:rsid w:val="00CD1571"/>
    <w:rsid w:val="00CF235F"/>
    <w:rsid w:val="00CF2AE9"/>
    <w:rsid w:val="00D026BD"/>
    <w:rsid w:val="00D1569F"/>
    <w:rsid w:val="00D20B1E"/>
    <w:rsid w:val="00D22462"/>
    <w:rsid w:val="00D230AC"/>
    <w:rsid w:val="00D240BC"/>
    <w:rsid w:val="00D32489"/>
    <w:rsid w:val="00D3349E"/>
    <w:rsid w:val="00D40851"/>
    <w:rsid w:val="00D45713"/>
    <w:rsid w:val="00D45C48"/>
    <w:rsid w:val="00D46849"/>
    <w:rsid w:val="00D5038F"/>
    <w:rsid w:val="00D56643"/>
    <w:rsid w:val="00D61140"/>
    <w:rsid w:val="00D6120E"/>
    <w:rsid w:val="00D67275"/>
    <w:rsid w:val="00D73CB8"/>
    <w:rsid w:val="00DA1FBC"/>
    <w:rsid w:val="00DA7198"/>
    <w:rsid w:val="00DA7591"/>
    <w:rsid w:val="00DB3E2E"/>
    <w:rsid w:val="00DB55B6"/>
    <w:rsid w:val="00DC01B9"/>
    <w:rsid w:val="00DC196D"/>
    <w:rsid w:val="00DC7EF5"/>
    <w:rsid w:val="00DD634E"/>
    <w:rsid w:val="00DF5F77"/>
    <w:rsid w:val="00E07FF8"/>
    <w:rsid w:val="00E15B32"/>
    <w:rsid w:val="00E1605B"/>
    <w:rsid w:val="00E22554"/>
    <w:rsid w:val="00E252B9"/>
    <w:rsid w:val="00E27AB9"/>
    <w:rsid w:val="00E32798"/>
    <w:rsid w:val="00E33CC8"/>
    <w:rsid w:val="00E505BE"/>
    <w:rsid w:val="00E51C91"/>
    <w:rsid w:val="00E54A20"/>
    <w:rsid w:val="00E62C13"/>
    <w:rsid w:val="00E667C1"/>
    <w:rsid w:val="00E71229"/>
    <w:rsid w:val="00E87CF6"/>
    <w:rsid w:val="00EA1B15"/>
    <w:rsid w:val="00EC3F88"/>
    <w:rsid w:val="00EC42AF"/>
    <w:rsid w:val="00ED36D8"/>
    <w:rsid w:val="00ED4E22"/>
    <w:rsid w:val="00EE6BD7"/>
    <w:rsid w:val="00F0454A"/>
    <w:rsid w:val="00F0689D"/>
    <w:rsid w:val="00F1146F"/>
    <w:rsid w:val="00F12923"/>
    <w:rsid w:val="00F1403C"/>
    <w:rsid w:val="00F166EB"/>
    <w:rsid w:val="00F203ED"/>
    <w:rsid w:val="00F3364D"/>
    <w:rsid w:val="00F44080"/>
    <w:rsid w:val="00F47416"/>
    <w:rsid w:val="00F57D36"/>
    <w:rsid w:val="00F64C44"/>
    <w:rsid w:val="00F718F9"/>
    <w:rsid w:val="00F72489"/>
    <w:rsid w:val="00F73206"/>
    <w:rsid w:val="00F80E3B"/>
    <w:rsid w:val="00F81B99"/>
    <w:rsid w:val="00F83692"/>
    <w:rsid w:val="00F85D1D"/>
    <w:rsid w:val="00F956CE"/>
    <w:rsid w:val="00FA09B8"/>
    <w:rsid w:val="00FB01B5"/>
    <w:rsid w:val="00FB07EA"/>
    <w:rsid w:val="00FB2F4A"/>
    <w:rsid w:val="00FB67B4"/>
    <w:rsid w:val="00FB78ED"/>
    <w:rsid w:val="00FC6D97"/>
    <w:rsid w:val="00FD1F91"/>
    <w:rsid w:val="00FF5552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D618C"/>
  <w15:chartTrackingRefBased/>
  <w15:docId w15:val="{8D325673-EDA1-4708-BCB6-9208384C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9D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A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F1403C"/>
    <w:pPr>
      <w:spacing w:after="200"/>
    </w:pPr>
    <w:rPr>
      <w:i/>
      <w:iCs/>
      <w:color w:val="004B8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4A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4A20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4A2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54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4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494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945"/>
    <w:rPr>
      <w:rFonts w:ascii="Calibri" w:hAnsi="Calibri" w:cs="Calibri"/>
      <w:b/>
      <w:bCs/>
      <w:sz w:val="20"/>
      <w:szCs w:val="20"/>
    </w:rPr>
  </w:style>
  <w:style w:type="paragraph" w:styleId="Bezmezer">
    <w:name w:val="No Spacing"/>
    <w:uiPriority w:val="1"/>
    <w:qFormat/>
    <w:rsid w:val="005E6462"/>
    <w:pPr>
      <w:spacing w:after="0" w:line="240" w:lineRule="auto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0A00C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databrowser/view/ilc_mdho01/default/table?lang=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6B18-58C4-4158-BAEE-77B4A730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2570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Mikušová Martina</dc:creator>
  <cp:keywords/>
  <dc:description/>
  <cp:lastModifiedBy>Mikušová Martina</cp:lastModifiedBy>
  <cp:revision>12</cp:revision>
  <cp:lastPrinted>2025-02-25T07:11:00Z</cp:lastPrinted>
  <dcterms:created xsi:type="dcterms:W3CDTF">2024-12-04T13:22:00Z</dcterms:created>
  <dcterms:modified xsi:type="dcterms:W3CDTF">2025-02-25T07:46:00Z</dcterms:modified>
</cp:coreProperties>
</file>