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420" w:line="230" w:lineRule="auto"/>
        <w:ind w:left="0" w:right="0" w:firstLine="0"/>
        <w:jc w:val="center"/>
      </w:pPr>
      <w:r>
        <w:rPr>
          <w:b/>
          <w:bCs/>
          <w:color w:val="000000"/>
          <w:spacing w:val="0"/>
          <w:w w:val="100"/>
          <w:position w:val="0"/>
          <w:sz w:val="24"/>
          <w:szCs w:val="24"/>
          <w:shd w:val="clear" w:color="auto" w:fill="auto"/>
          <w:lang w:val="cs-CZ" w:eastAsia="cs-CZ" w:bidi="cs-CZ"/>
        </w:rPr>
        <w:t>Dodatek č. 18</w:t>
        <w:br/>
      </w:r>
      <w:r>
        <w:rPr>
          <w:color w:val="000000"/>
          <w:spacing w:val="0"/>
          <w:w w:val="100"/>
          <w:position w:val="0"/>
          <w:shd w:val="clear" w:color="auto" w:fill="auto"/>
          <w:lang w:val="cs-CZ" w:eastAsia="cs-CZ" w:bidi="cs-CZ"/>
        </w:rPr>
        <w:t>ke smlouvě o nájmu prostor sloužících k podnikání</w:t>
        <w:br/>
        <w:t>č. 963/2006 uzavřené mezi smluvními stranami</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I. Smluvní strany</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Pronajímatel: </w:t>
      </w: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Bezručova 4219, 430 03 Chomutov</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Statutární orgán:</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ve věcech smluvních</w:t>
      </w:r>
    </w:p>
    <w:p>
      <w:pPr>
        <w:pStyle w:val="Style2"/>
        <w:keepNext w:val="0"/>
        <w:keepLines w:val="0"/>
        <w:widowControl w:val="0"/>
        <w:shd w:val="clear" w:color="auto" w:fill="auto"/>
        <w:tabs>
          <w:tab w:pos="4332" w:val="left"/>
        </w:tabs>
        <w:bidi w:val="0"/>
        <w:spacing w:before="0" w:after="0" w:line="240" w:lineRule="auto"/>
        <w:ind w:left="1500" w:right="0" w:firstLine="0"/>
        <w:jc w:val="left"/>
      </w:pPr>
      <w:r>
        <w:rPr>
          <w:color w:val="000000"/>
          <w:spacing w:val="0"/>
          <w:w w:val="100"/>
          <w:position w:val="0"/>
          <w:shd w:val="clear" w:color="auto" w:fill="auto"/>
          <w:lang w:val="cs-CZ" w:eastAsia="cs-CZ" w:bidi="cs-CZ"/>
        </w:rPr>
        <w:t>IČO: 70889988</w:t>
        <w:tab/>
        <w:t>DIČ:</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č. ú.:</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Povodí Ohře, státní podnik je zapsán v obchodním rejstříku u Krajského soudu</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v Ústí nad Labem v oddílu A, vložka č. 13052</w:t>
      </w:r>
    </w:p>
    <w:p>
      <w:pPr>
        <w:pStyle w:val="Style2"/>
        <w:keepNext w:val="0"/>
        <w:keepLines w:val="0"/>
        <w:widowControl w:val="0"/>
        <w:shd w:val="clear" w:color="auto" w:fill="auto"/>
        <w:bidi w:val="0"/>
        <w:spacing w:before="0" w:after="180" w:line="240" w:lineRule="auto"/>
        <w:ind w:left="1500" w:right="0" w:firstLine="0"/>
        <w:jc w:val="left"/>
      </w:pPr>
      <w:r>
        <w:rPr>
          <w:color w:val="000000"/>
          <w:spacing w:val="0"/>
          <w:w w:val="100"/>
          <w:position w:val="0"/>
          <w:shd w:val="clear" w:color="auto" w:fill="auto"/>
          <w:lang w:val="cs-CZ" w:eastAsia="cs-CZ" w:bidi="cs-CZ"/>
        </w:rPr>
        <w:t>(dále jen ,,pronajímatel“)</w:t>
      </w:r>
    </w:p>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a</w:t>
      </w:r>
    </w:p>
    <w:p>
      <w:pPr>
        <w:pStyle w:val="Style2"/>
        <w:keepNext w:val="0"/>
        <w:keepLines w:val="0"/>
        <w:widowControl w:val="0"/>
        <w:shd w:val="clear" w:color="auto" w:fill="auto"/>
        <w:tabs>
          <w:tab w:pos="1411"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Nájemce:</w:t>
        <w:tab/>
      </w:r>
      <w:r>
        <w:rPr>
          <w:color w:val="000000"/>
          <w:spacing w:val="0"/>
          <w:w w:val="100"/>
          <w:position w:val="0"/>
          <w:shd w:val="clear" w:color="auto" w:fill="auto"/>
          <w:lang w:val="cs-CZ" w:eastAsia="cs-CZ" w:bidi="cs-CZ"/>
        </w:rPr>
        <w:t>Petra Drahošová</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Národní 216/14, 360 01 Karlovy Vary – Drahovice</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IČO: 73448419</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Petra Drahošová má vydaný živnostenský list Magistrátem města Karlovy Vary, odborem obecní živnostenský úřad č.j. ŽÚ/F/01/1070/2004</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č. ú.:</w:t>
      </w:r>
    </w:p>
    <w:p>
      <w:pPr>
        <w:pStyle w:val="Style2"/>
        <w:keepNext w:val="0"/>
        <w:keepLines w:val="0"/>
        <w:widowControl w:val="0"/>
        <w:shd w:val="clear" w:color="auto" w:fill="auto"/>
        <w:bidi w:val="0"/>
        <w:spacing w:before="0" w:after="0" w:line="240" w:lineRule="auto"/>
        <w:ind w:left="1500" w:right="0" w:firstLine="0"/>
        <w:jc w:val="left"/>
      </w:pPr>
      <w:r>
        <w:rPr>
          <w:color w:val="000000"/>
          <w:spacing w:val="0"/>
          <w:w w:val="100"/>
          <w:position w:val="0"/>
          <w:shd w:val="clear" w:color="auto" w:fill="auto"/>
          <w:lang w:val="cs-CZ" w:eastAsia="cs-CZ" w:bidi="cs-CZ"/>
        </w:rPr>
        <w:t>Není plátce DPH</w:t>
      </w:r>
    </w:p>
    <w:p>
      <w:pPr>
        <w:pStyle w:val="Style2"/>
        <w:keepNext w:val="0"/>
        <w:keepLines w:val="0"/>
        <w:widowControl w:val="0"/>
        <w:shd w:val="clear" w:color="auto" w:fill="auto"/>
        <w:bidi w:val="0"/>
        <w:spacing w:before="0" w:after="180" w:line="240" w:lineRule="auto"/>
        <w:ind w:left="1500" w:right="0" w:firstLine="0"/>
        <w:jc w:val="left"/>
      </w:pPr>
      <w:r>
        <w:rPr>
          <w:color w:val="000000"/>
          <w:spacing w:val="0"/>
          <w:w w:val="100"/>
          <w:position w:val="0"/>
          <w:shd w:val="clear" w:color="auto" w:fill="auto"/>
          <w:lang w:val="cs-CZ" w:eastAsia="cs-CZ" w:bidi="cs-CZ"/>
        </w:rPr>
        <w:t>( dále jen ,,nájemce‘‘)</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společně také dále jen „smluvní strany“</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Pronajímatel a nájemce se dohodli, že tímto dodatkem se mění článek IV., článek V. odst. 1 smlouvy č. 963/2006 uzavřené mezi smluvními stranami dne 21.12.2006 takto:</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Do čl. IV. smlouvy se za tabulku s vyčíslením ceny nájmu pro rok 2024 doplňuje:</w:t>
      </w:r>
    </w:p>
    <w:p>
      <w:pPr>
        <w:pStyle w:val="Style2"/>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Pro rok 2025 je cena nájmu stanovena následovně:</w:t>
      </w:r>
    </w:p>
    <w:tbl>
      <w:tblPr>
        <w:tblOverlap w:val="never"/>
        <w:jc w:val="center"/>
        <w:tblLayout w:type="fixed"/>
      </w:tblPr>
      <w:tblGrid>
        <w:gridCol w:w="1987"/>
        <w:gridCol w:w="1061"/>
        <w:gridCol w:w="1080"/>
        <w:gridCol w:w="1152"/>
        <w:gridCol w:w="1253"/>
        <w:gridCol w:w="835"/>
        <w:gridCol w:w="955"/>
        <w:gridCol w:w="1330"/>
      </w:tblGrid>
      <w:tr>
        <w:trPr>
          <w:trHeight w:val="312"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 2025</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Plocha</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400"/>
              <w:jc w:val="left"/>
            </w:pPr>
            <w:r>
              <w:rPr>
                <w:b/>
                <w:bCs/>
                <w:color w:val="000000"/>
                <w:spacing w:val="0"/>
                <w:w w:val="100"/>
                <w:position w:val="0"/>
                <w:shd w:val="clear" w:color="auto" w:fill="auto"/>
                <w:lang w:val="cs-CZ" w:eastAsia="cs-CZ" w:bidi="cs-CZ"/>
              </w:rPr>
              <w:t>Kč</w:t>
            </w:r>
          </w:p>
        </w:tc>
        <w:tc>
          <w:tcPr>
            <w:gridSpan w:val="2"/>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nájemné bez DPH v Kč</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sazba</w:t>
            </w:r>
          </w:p>
        </w:tc>
        <w:tc>
          <w:tcPr>
            <w:gridSpan w:val="2"/>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čtvrtletní úhrada v Kč</w:t>
            </w:r>
          </w:p>
        </w:tc>
      </w:tr>
      <w:tr>
        <w:trPr>
          <w:trHeight w:val="29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m</w:t>
            </w:r>
            <w:r>
              <w:rPr>
                <w:color w:val="000000"/>
                <w:spacing w:val="0"/>
                <w:w w:val="100"/>
                <w:position w:val="0"/>
                <w:shd w:val="clear" w:color="auto" w:fill="auto"/>
                <w:vertAlign w:val="superscript"/>
                <w:lang w:val="cs-CZ" w:eastAsia="cs-CZ" w:bidi="cs-CZ"/>
              </w:rPr>
              <w:t>2</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1 m</w:t>
            </w:r>
            <w:r>
              <w:rPr>
                <w:color w:val="000000"/>
                <w:spacing w:val="0"/>
                <w:w w:val="100"/>
                <w:position w:val="0"/>
                <w:shd w:val="clear" w:color="auto" w:fill="auto"/>
                <w:vertAlign w:val="superscript"/>
                <w:lang w:val="cs-CZ" w:eastAsia="cs-CZ" w:bidi="cs-CZ"/>
              </w:rPr>
              <w:t>2</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roční</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čtvrtletní</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DPH</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DPH</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celkem</w:t>
            </w:r>
          </w:p>
        </w:tc>
      </w:tr>
      <w:tr>
        <w:trPr>
          <w:trHeight w:val="302"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pronajatá plocha</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17,00</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1 473,64</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25 051,88</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6 262,97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6 262,97</w:t>
            </w:r>
          </w:p>
        </w:tc>
      </w:tr>
      <w:tr>
        <w:trPr>
          <w:trHeight w:val="298"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teplo, vodné, stočné</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17,00</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372,65</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6 335,05</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1 583,76</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12 %</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190,05</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1 773,81</w:t>
            </w:r>
          </w:p>
        </w:tc>
      </w:tr>
      <w:tr>
        <w:trPr>
          <w:trHeight w:val="302"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služby</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17,00</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1 105,00</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18 785,00</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4 696,25</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986,21</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5 682,46</w:t>
            </w:r>
          </w:p>
        </w:tc>
      </w:tr>
      <w:tr>
        <w:trPr>
          <w:trHeight w:val="298"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 energie</w:t>
            </w:r>
          </w:p>
        </w:tc>
        <w:tc>
          <w:tcPr>
            <w:gridSpan w:val="2"/>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za pronajaté prostory</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4 223,40</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1 055,85</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21 %</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221,73</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1 277,58</w:t>
            </w:r>
          </w:p>
        </w:tc>
      </w:tr>
      <w:tr>
        <w:trPr>
          <w:trHeight w:val="346" w:hRule="exact"/>
        </w:trPr>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celkem</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54 395,33</w:t>
            </w: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13 598,83</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1 397,99</w:t>
            </w:r>
          </w:p>
        </w:tc>
        <w:tc>
          <w:tcPr>
            <w:tcBorders>
              <w:top w:val="single" w:sz="4"/>
              <w:left w:val="single" w:sz="4"/>
              <w:bottom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340"/>
              <w:jc w:val="left"/>
            </w:pPr>
            <w:r>
              <w:rPr>
                <w:b/>
                <w:bCs/>
                <w:color w:val="000000"/>
                <w:spacing w:val="0"/>
                <w:w w:val="100"/>
                <w:position w:val="0"/>
                <w:shd w:val="clear" w:color="auto" w:fill="auto"/>
                <w:lang w:val="cs-CZ" w:eastAsia="cs-CZ" w:bidi="cs-CZ"/>
              </w:rPr>
              <w:t>14 996,82</w:t>
            </w:r>
          </w:p>
        </w:tc>
      </w:tr>
    </w:tbl>
    <w:p>
      <w:pPr>
        <w:widowControl w:val="0"/>
        <w:spacing w:after="419" w:line="1" w:lineRule="exact"/>
      </w:pP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Do čl. V. odst. 1 smlouvy se doplňuje text:</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Výše čtvrtletního nájemného od 1.1.2025 činí 14 996,82 Kč vč. DPH. Vyúčtování doplatku nájemného za 1. čtvrtletí roku 2025 proběhne při vyúčtování nájemného za 2. čtvrtletí roku 2025 podle daňového dokladu a údajů v něm uvedených.</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Nájemné a služby ve výši jednoho čtvrtletního nájmu vč. DPH bude placeno pronajímateli podle daňového dokladu a údajů v něm uvedených vždy do 15. dne předchozího měsíce.</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Ostatní ujednání smlouvy o nájmu prostor sloužících k podnikání zůstávají nezměněna.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Dodatek č. 18 je vyhotoven ve 3 stejnopisech, přičemž nájemce obdrží 1 oboustranně podepsaný výtisk a pronajímatel po 2 oboustranně podepsaných výtiscích.</w:t>
      </w:r>
    </w:p>
    <w:p>
      <w:pPr>
        <w:pStyle w:val="Style2"/>
        <w:keepNext w:val="0"/>
        <w:keepLines w:val="0"/>
        <w:widowControl w:val="0"/>
        <w:shd w:val="clear" w:color="auto" w:fill="auto"/>
        <w:bidi w:val="0"/>
        <w:spacing w:before="0" w:after="860" w:line="240" w:lineRule="auto"/>
        <w:ind w:left="0" w:right="0" w:firstLine="0"/>
        <w:jc w:val="left"/>
      </w:pPr>
      <w:r>
        <w:rPr>
          <w:color w:val="000000"/>
          <w:spacing w:val="0"/>
          <w:w w:val="100"/>
          <w:position w:val="0"/>
          <w:shd w:val="clear" w:color="auto" w:fill="auto"/>
          <w:lang w:val="cs-CZ" w:eastAsia="cs-CZ" w:bidi="cs-CZ"/>
        </w:rPr>
        <w:t>Dodatek č. 18 smlouvy č. 963/2006 nabývá platnosti dnem jeho podpisu poslední ze smluvních stran a účinnosti zveřejněním v Registru smluv.</w:t>
      </w:r>
    </w:p>
    <w:p>
      <w:pPr>
        <w:pStyle w:val="Style2"/>
        <w:keepNext w:val="0"/>
        <w:keepLines w:val="0"/>
        <w:widowControl w:val="0"/>
        <w:shd w:val="clear" w:color="auto" w:fill="auto"/>
        <w:bidi w:val="0"/>
        <w:spacing w:before="0" w:after="0" w:line="240" w:lineRule="auto"/>
        <w:ind w:left="0" w:right="0" w:firstLine="0"/>
        <w:jc w:val="left"/>
        <w:sectPr>
          <w:footerReference w:type="default" r:id="rId5"/>
          <w:footnotePr>
            <w:pos w:val="pageBottom"/>
            <w:numFmt w:val="decimal"/>
            <w:numRestart w:val="continuous"/>
          </w:footnotePr>
          <w:pgSz w:w="11909" w:h="16838"/>
          <w:pgMar w:top="1080" w:left="1041" w:right="1213" w:bottom="1494" w:header="652" w:footer="3" w:gutter="0"/>
          <w:pgNumType w:start="1"/>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3947160</wp:posOffset>
                </wp:positionH>
                <wp:positionV relativeFrom="paragraph">
                  <wp:posOffset>12700</wp:posOffset>
                </wp:positionV>
                <wp:extent cx="1755775" cy="210185"/>
                <wp:wrapSquare wrapText="left"/>
                <wp:docPr id="3" name="Shape 3"/>
                <a:graphic xmlns:a="http://schemas.openxmlformats.org/drawingml/2006/main">
                  <a:graphicData uri="http://schemas.microsoft.com/office/word/2010/wordprocessingShape">
                    <wps:wsp>
                      <wps:cNvSpPr txBox="1"/>
                      <wps:spPr>
                        <a:xfrm>
                          <a:ext cx="1755775" cy="2101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 ……………</w:t>
                            </w:r>
                          </w:p>
                        </w:txbxContent>
                      </wps:txbx>
                      <wps:bodyPr wrap="none" lIns="0" tIns="0" rIns="0" bIns="0">
                        <a:noAutoFit/>
                      </wps:bodyPr>
                    </wps:wsp>
                  </a:graphicData>
                </a:graphic>
              </wp:anchor>
            </w:drawing>
          </mc:Choice>
          <mc:Fallback>
            <w:pict>
              <v:shape id="_x0000_s1029" type="#_x0000_t202" style="position:absolute;margin-left:310.80000000000001pt;margin-top:1.pt;width:138.25pt;height:16.55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 ……………</w:t>
                      </w:r>
                    </w:p>
                  </w:txbxContent>
                </v:textbox>
                <w10:wrap type="square" side="left" anchorx="page"/>
              </v:shape>
            </w:pict>
          </mc:Fallback>
        </mc:AlternateContent>
      </w:r>
      <w:r>
        <w:rPr>
          <w:color w:val="000000"/>
          <w:spacing w:val="0"/>
          <w:w w:val="100"/>
          <w:position w:val="0"/>
          <w:shd w:val="clear" w:color="auto" w:fill="auto"/>
          <w:lang w:val="cs-CZ" w:eastAsia="cs-CZ" w:bidi="cs-CZ"/>
        </w:rPr>
        <w:t>V Karlových Varech dne: ………………</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8" w:after="38"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15" w:left="0" w:right="0" w:bottom="1315" w:header="0" w:footer="3" w:gutter="0"/>
          <w:cols w:space="720"/>
          <w:noEndnote/>
          <w:rtlGutter w:val="0"/>
          <w:docGrid w:linePitch="360"/>
        </w:sectPr>
      </w:pPr>
    </w:p>
    <w:p>
      <w:pPr>
        <w:pStyle w:val="Style2"/>
        <w:keepNext w:val="0"/>
        <w:keepLines w:val="0"/>
        <w:widowControl w:val="0"/>
        <w:shd w:val="clear" w:color="auto" w:fill="auto"/>
        <w:tabs>
          <w:tab w:leader="hyphen" w:pos="2530" w:val="left"/>
        </w:tabs>
        <w:bidi w:val="0"/>
        <w:spacing w:before="0" w:after="180" w:line="240" w:lineRule="auto"/>
        <w:ind w:left="0" w:right="0" w:firstLine="0"/>
        <w:jc w:val="left"/>
      </w:pPr>
      <w:r>
        <w:rPr>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nájemce</w:t>
      </w:r>
    </w:p>
    <w:p>
      <w:pPr>
        <w:pStyle w:val="Style2"/>
        <w:keepNext w:val="0"/>
        <w:keepLines w:val="0"/>
        <w:widowControl w:val="0"/>
        <w:shd w:val="clear" w:color="auto" w:fill="auto"/>
        <w:tabs>
          <w:tab w:leader="hyphen" w:pos="2798" w:val="left"/>
        </w:tabs>
        <w:bidi w:val="0"/>
        <w:spacing w:before="0" w:after="400" w:line="240" w:lineRule="auto"/>
        <w:ind w:left="0" w:right="0" w:firstLine="0"/>
        <w:jc w:val="left"/>
      </w:pPr>
      <w:r>
        <w:rPr>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státního podniku za pronajímatele</w:t>
      </w:r>
    </w:p>
    <w:sectPr>
      <w:footnotePr>
        <w:pos w:val="pageBottom"/>
        <w:numFmt w:val="decimal"/>
        <w:numRestart w:val="continuous"/>
      </w:footnotePr>
      <w:type w:val="continuous"/>
      <w:pgSz w:w="11909" w:h="16838"/>
      <w:pgMar w:top="1315" w:left="1111" w:right="2839" w:bottom="1315" w:header="0" w:footer="3" w:gutter="0"/>
      <w:cols w:num="2" w:space="720" w:equalWidth="0">
        <w:col w:w="2587" w:space="2515"/>
        <w:col w:w="2856"/>
      </w:cols>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3696970</wp:posOffset>
              </wp:positionH>
              <wp:positionV relativeFrom="page">
                <wp:posOffset>10082530</wp:posOffset>
              </wp:positionV>
              <wp:extent cx="60960" cy="170815"/>
              <wp:wrapNone/>
              <wp:docPr id="1" name="Shape 1"/>
              <a:graphic xmlns:a="http://schemas.openxmlformats.org/drawingml/2006/main">
                <a:graphicData uri="http://schemas.microsoft.com/office/word/2010/wordprocessingShape">
                  <wps:wsp>
                    <wps:cNvSpPr txBox="1"/>
                    <wps:spPr>
                      <a:xfrm>
                        <a:ext cx="60960" cy="1708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1.10000000000002pt;margin-top:793.89999999999998pt;width:4.7999999999999998pt;height:13.4500000000000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90"/>
    </w:pPr>
    <w:rPr>
      <w:rFonts w:ascii="Arial" w:eastAsia="Arial" w:hAnsi="Arial" w:cs="Arial"/>
      <w:b w:val="0"/>
      <w:bCs w:val="0"/>
      <w:i w:val="0"/>
      <w:iCs w:val="0"/>
      <w:smallCaps w:val="0"/>
      <w:strike w:val="0"/>
      <w:sz w:val="20"/>
      <w:szCs w:val="20"/>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90"/>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Smlouva o uzavření budoucí smlouvy o nájmu nebytových prostor</dc:title>
  <dc:subject/>
  <dc:creator>PO</dc:creator>
  <cp:keywords/>
</cp:coreProperties>
</file>