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5C4E" w14:textId="751FE947" w:rsidR="00BC17A6" w:rsidRPr="00D06D0F" w:rsidRDefault="00302DA0" w:rsidP="000B0AA7">
      <w:pPr>
        <w:pStyle w:val="StylDoprava"/>
      </w:pPr>
      <w:r w:rsidRPr="00D06D0F">
        <w:t>Čj.: SPU</w:t>
      </w:r>
      <w:r w:rsidR="00BC17A6" w:rsidRPr="00D06D0F">
        <w:t>067327/2025</w:t>
      </w:r>
    </w:p>
    <w:p w14:paraId="4CEEEEE8" w14:textId="1B34C07E" w:rsidR="004243BC" w:rsidRPr="00D06D0F" w:rsidRDefault="00302DA0" w:rsidP="000B0AA7">
      <w:pPr>
        <w:pStyle w:val="StylDoprava"/>
      </w:pPr>
      <w:r w:rsidRPr="00D06D0F">
        <w:t>UID: spudms</w:t>
      </w:r>
      <w:r w:rsidR="00BC17A6" w:rsidRPr="00D06D0F">
        <w:t>000000153178</w:t>
      </w:r>
    </w:p>
    <w:p w14:paraId="05501A91" w14:textId="291A2CCA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r w:rsidR="00302DA0" w:rsidRPr="000B0AA7">
        <w:rPr>
          <w:rFonts w:ascii="Arial" w:hAnsi="Arial" w:cs="Arial"/>
          <w:b/>
          <w:sz w:val="20"/>
          <w:szCs w:val="20"/>
        </w:rPr>
        <w:t>republika – Státní</w:t>
      </w:r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D17EFC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4A57CECF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5A5C9B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64386E9C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63F83D8C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455E0CC2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D47CAF">
        <w:t>vyplývajícího z platného Podpisového řádu Státního pozemkového úřadu účinného ke dni právního jednání</w:t>
      </w:r>
    </w:p>
    <w:p w14:paraId="441C53B4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0DC40972" w14:textId="77777777" w:rsidR="00BC17A6" w:rsidRPr="00D06D0F" w:rsidRDefault="00BC17A6" w:rsidP="000B0AA7">
      <w:pPr>
        <w:pStyle w:val="VnitrniText"/>
        <w:ind w:firstLine="0"/>
      </w:pPr>
    </w:p>
    <w:p w14:paraId="34AB00DA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1F4C8C01" w14:textId="77777777" w:rsidR="00BC17A6" w:rsidRPr="00D06D0F" w:rsidRDefault="00BC17A6" w:rsidP="000B0AA7">
      <w:pPr>
        <w:pStyle w:val="VnitrniText"/>
        <w:ind w:firstLine="0"/>
      </w:pPr>
    </w:p>
    <w:p w14:paraId="56A3CFEA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Obec Vysoká</w:t>
      </w:r>
    </w:p>
    <w:p w14:paraId="656C1DC5" w14:textId="51C96416" w:rsidR="00BC17A6" w:rsidRPr="00D06D0F" w:rsidRDefault="00BC17A6" w:rsidP="000B0AA7">
      <w:pPr>
        <w:pStyle w:val="VnitrniText"/>
        <w:ind w:firstLine="0"/>
      </w:pPr>
      <w:r w:rsidRPr="00D06D0F">
        <w:t>se sídlem, Vysoká, PSČ 27724</w:t>
      </w:r>
    </w:p>
    <w:p w14:paraId="7FBEFFA1" w14:textId="77777777" w:rsidR="00BC17A6" w:rsidRPr="00D06D0F" w:rsidRDefault="00BC17A6" w:rsidP="000B0AA7">
      <w:pPr>
        <w:pStyle w:val="VnitrniText"/>
        <w:ind w:firstLine="0"/>
      </w:pPr>
      <w:r w:rsidRPr="00D06D0F">
        <w:t>IČO: 00237337</w:t>
      </w:r>
    </w:p>
    <w:p w14:paraId="5D61C75C" w14:textId="77777777" w:rsidR="00BC17A6" w:rsidRPr="00D06D0F" w:rsidRDefault="00BC17A6" w:rsidP="000B0AA7">
      <w:pPr>
        <w:pStyle w:val="VnitrniText"/>
        <w:ind w:firstLine="0"/>
      </w:pPr>
      <w:r w:rsidRPr="00D06D0F">
        <w:t>(dále jen "nabyvatel")</w:t>
      </w:r>
    </w:p>
    <w:p w14:paraId="669A247D" w14:textId="77777777" w:rsidR="00CF17C0" w:rsidRPr="00D06D0F" w:rsidRDefault="00CF17C0" w:rsidP="000B0AA7">
      <w:pPr>
        <w:pStyle w:val="VnitrniText"/>
        <w:ind w:firstLine="0"/>
      </w:pPr>
    </w:p>
    <w:p w14:paraId="4276AFFE" w14:textId="77777777" w:rsidR="00A95EBD" w:rsidRPr="00685FE0" w:rsidRDefault="00A95EBD" w:rsidP="00A95EBD">
      <w:pPr>
        <w:pStyle w:val="vnintext"/>
        <w:ind w:firstLine="0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 xml:space="preserve">Uzavírají podle § 9 odst. 12 zákona č. 139/2002 Sb., </w:t>
      </w:r>
      <w:r w:rsidRPr="00CA4256">
        <w:rPr>
          <w:rFonts w:ascii="Arial" w:hAnsi="Arial" w:cs="Arial"/>
          <w:sz w:val="20"/>
        </w:rPr>
        <w:t xml:space="preserve">o pozemkových úpravách a pozemkových úřadech a o změně zákona č. 229/1991 Sb., o úpravě vlastnických vztahů k půdě a jinému zemědělskému majetku, </w:t>
      </w:r>
      <w:r w:rsidRPr="00685FE0">
        <w:rPr>
          <w:rFonts w:ascii="Arial" w:hAnsi="Arial" w:cs="Arial"/>
          <w:sz w:val="20"/>
        </w:rPr>
        <w:t>ve znění pozdějších předpisů</w:t>
      </w:r>
      <w:r>
        <w:rPr>
          <w:rFonts w:ascii="Arial" w:hAnsi="Arial" w:cs="Arial"/>
          <w:sz w:val="20"/>
        </w:rPr>
        <w:t xml:space="preserve"> </w:t>
      </w:r>
      <w:r w:rsidRPr="00CA4256">
        <w:rPr>
          <w:rFonts w:ascii="Arial" w:hAnsi="Arial" w:cs="Arial"/>
          <w:sz w:val="20"/>
        </w:rPr>
        <w:t>(dále jen „zákon“)</w:t>
      </w:r>
      <w:r w:rsidRPr="00685FE0">
        <w:rPr>
          <w:rFonts w:ascii="Arial" w:hAnsi="Arial" w:cs="Arial"/>
          <w:sz w:val="20"/>
        </w:rPr>
        <w:t>, tuto:</w:t>
      </w:r>
    </w:p>
    <w:p w14:paraId="6B74EA48" w14:textId="13F935D4" w:rsidR="00CF17C0" w:rsidRDefault="005C5AF6" w:rsidP="00F250B0">
      <w:pPr>
        <w:jc w:val="both"/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7F4CBC18" w14:textId="77777777" w:rsidR="00830569" w:rsidRPr="00D06D0F" w:rsidRDefault="00830569" w:rsidP="001274AE"/>
    <w:p w14:paraId="3DD8F34F" w14:textId="77777777" w:rsidR="00A95EBD" w:rsidRPr="00A95EBD" w:rsidRDefault="00A95EBD" w:rsidP="00D06D0F">
      <w:pPr>
        <w:jc w:val="center"/>
        <w:rPr>
          <w:rFonts w:ascii="Arial" w:hAnsi="Arial" w:cs="Arial"/>
          <w:b/>
          <w:sz w:val="20"/>
        </w:rPr>
      </w:pPr>
      <w:r w:rsidRPr="00A95EBD">
        <w:rPr>
          <w:rFonts w:ascii="Arial" w:hAnsi="Arial" w:cs="Arial"/>
          <w:b/>
          <w:sz w:val="20"/>
        </w:rPr>
        <w:t>SMLOUVU O BEZÚPLATNÉM PŘEVODU POZEMK</w:t>
      </w:r>
      <w:r w:rsidR="00711680">
        <w:rPr>
          <w:rFonts w:ascii="Arial" w:hAnsi="Arial" w:cs="Arial"/>
          <w:b/>
          <w:sz w:val="20"/>
        </w:rPr>
        <w:t>Ů</w:t>
      </w:r>
      <w:r w:rsidRPr="00A95EBD">
        <w:rPr>
          <w:rFonts w:ascii="Arial" w:hAnsi="Arial" w:cs="Arial"/>
          <w:b/>
          <w:sz w:val="20"/>
        </w:rPr>
        <w:t xml:space="preserve"> </w:t>
      </w:r>
    </w:p>
    <w:p w14:paraId="46FAEAA7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6001H24/10</w:t>
      </w:r>
    </w:p>
    <w:p w14:paraId="2308D10D" w14:textId="77777777" w:rsidR="00CF17C0" w:rsidRPr="00D06D0F" w:rsidRDefault="00CF17C0" w:rsidP="00D06D0F"/>
    <w:p w14:paraId="2448A509" w14:textId="77777777" w:rsidR="00CF17C0" w:rsidRPr="00D06D0F" w:rsidRDefault="00CF17C0" w:rsidP="00D06D0F"/>
    <w:p w14:paraId="11EFFE6C" w14:textId="77777777" w:rsidR="004F0F7F" w:rsidRPr="00F1451D" w:rsidRDefault="004F0F7F" w:rsidP="004F0F7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</w:p>
    <w:p w14:paraId="3F0038E5" w14:textId="77777777" w:rsidR="00A95EBD" w:rsidRPr="00A80770" w:rsidRDefault="00A95EBD" w:rsidP="00A95EBD">
      <w:pPr>
        <w:tabs>
          <w:tab w:val="left" w:pos="709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A80770">
        <w:rPr>
          <w:rFonts w:ascii="Arial" w:hAnsi="Arial" w:cs="Arial"/>
          <w:sz w:val="20"/>
          <w:szCs w:val="20"/>
        </w:rPr>
        <w:t xml:space="preserve">Státní pozemkový úřad </w:t>
      </w:r>
      <w:r w:rsidRPr="00CA4256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sz w:val="20"/>
        </w:rPr>
        <w:t>SPÚ</w:t>
      </w:r>
      <w:r w:rsidRPr="00CA4256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>je ve smyslu zákona č. 503/2012 Sb., o Státním pozemkovém úřadu a o změně některých souvisejících zákonů, ve znění pozdějších předpisů, příslušný hospodařit s níže uvedenými pozemky ve vlastnictví státu:</w:t>
      </w:r>
    </w:p>
    <w:p w14:paraId="069383DC" w14:textId="77777777" w:rsidR="00A95EBD" w:rsidRDefault="00A95EBD" w:rsidP="000B0AA7">
      <w:pPr>
        <w:pStyle w:val="VnitrniText"/>
        <w:ind w:firstLine="0"/>
      </w:pPr>
    </w:p>
    <w:p w14:paraId="64363A27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0F61E2F5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94C7CFD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663C14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BFB036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7BD95B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Vysoká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Chodeč</w:t>
      </w:r>
      <w:proofErr w:type="spellEnd"/>
      <w:r w:rsidRPr="00257EB0">
        <w:rPr>
          <w:rStyle w:val="tabulkyNemovitosti"/>
        </w:rPr>
        <w:t xml:space="preserve"> u Mělníka</w:t>
      </w:r>
      <w:r w:rsidRPr="00257EB0">
        <w:rPr>
          <w:rStyle w:val="tabulkyNemovitosti"/>
        </w:rPr>
        <w:tab/>
        <w:t>696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6F25D33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924CC3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3BBD8F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Vysoká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Chodeč</w:t>
      </w:r>
      <w:proofErr w:type="spellEnd"/>
      <w:r w:rsidRPr="00257EB0">
        <w:rPr>
          <w:rStyle w:val="tabulkyNemovitosti"/>
        </w:rPr>
        <w:t xml:space="preserve"> u Mělníka</w:t>
      </w:r>
      <w:r w:rsidRPr="00257EB0">
        <w:rPr>
          <w:rStyle w:val="tabulkyNemovitosti"/>
        </w:rPr>
        <w:tab/>
        <w:t>710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87F33E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2F7EDC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C69CD9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Vysoká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Chodeč</w:t>
      </w:r>
      <w:proofErr w:type="spellEnd"/>
      <w:r w:rsidRPr="00257EB0">
        <w:rPr>
          <w:rStyle w:val="tabulkyNemovitosti"/>
        </w:rPr>
        <w:t xml:space="preserve"> u Mělníka</w:t>
      </w:r>
      <w:r w:rsidRPr="00257EB0">
        <w:rPr>
          <w:rStyle w:val="tabulkyNemovitosti"/>
        </w:rPr>
        <w:tab/>
        <w:t>711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52014C6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6DD2C38" w14:textId="77777777" w:rsidR="009B091D" w:rsidRDefault="009B091D" w:rsidP="009B091D">
      <w:pPr>
        <w:pStyle w:val="VnitrniText"/>
        <w:ind w:firstLine="0"/>
      </w:pPr>
      <w:r>
        <w:t>zapsaný na výše uvedeném LV u Katastrálního úřadu pro Středočeský kraj, Katastrální pracoviště Mělník.</w:t>
      </w:r>
    </w:p>
    <w:p w14:paraId="3DF60C2D" w14:textId="77777777" w:rsidR="00A95EBD" w:rsidRDefault="00A95EBD" w:rsidP="00A95EBD">
      <w:pPr>
        <w:ind w:left="284" w:hanging="284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(dále jen ”</w:t>
      </w:r>
      <w:r w:rsidR="00FA66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pozemky</w:t>
      </w:r>
      <w:r w:rsidRPr="00A80770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nebo též „majetek“</w:t>
      </w:r>
      <w:r w:rsidRPr="00A80770">
        <w:rPr>
          <w:rFonts w:ascii="Arial" w:hAnsi="Arial" w:cs="Arial"/>
          <w:sz w:val="20"/>
          <w:szCs w:val="20"/>
        </w:rPr>
        <w:t>)</w:t>
      </w:r>
    </w:p>
    <w:p w14:paraId="233DFE27" w14:textId="77777777" w:rsidR="00A95EBD" w:rsidRPr="00A80770" w:rsidRDefault="00A95EBD" w:rsidP="00A95EBD">
      <w:pPr>
        <w:ind w:left="284" w:hanging="284"/>
        <w:rPr>
          <w:rFonts w:ascii="Arial" w:hAnsi="Arial" w:cs="Arial"/>
          <w:sz w:val="20"/>
          <w:szCs w:val="20"/>
        </w:rPr>
      </w:pPr>
    </w:p>
    <w:p w14:paraId="1C4BF5E9" w14:textId="194FAAF6" w:rsidR="00A95EBD" w:rsidRPr="004E708A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A95EBD" w:rsidRPr="004E708A">
        <w:rPr>
          <w:rFonts w:ascii="Arial" w:hAnsi="Arial" w:cs="Arial"/>
          <w:sz w:val="20"/>
          <w:szCs w:val="20"/>
        </w:rPr>
        <w:t>SPÚ nabyl uveden</w:t>
      </w:r>
      <w:r w:rsidR="00FA6612">
        <w:rPr>
          <w:rFonts w:ascii="Arial" w:hAnsi="Arial" w:cs="Arial"/>
          <w:sz w:val="20"/>
          <w:szCs w:val="20"/>
        </w:rPr>
        <w:t>é</w:t>
      </w:r>
      <w:r w:rsidR="00A95EBD" w:rsidRPr="004E708A">
        <w:rPr>
          <w:rFonts w:ascii="Arial" w:hAnsi="Arial" w:cs="Arial"/>
          <w:sz w:val="20"/>
          <w:szCs w:val="20"/>
        </w:rPr>
        <w:t xml:space="preserve"> pozemk</w:t>
      </w:r>
      <w:r w:rsidR="00FA6612">
        <w:rPr>
          <w:rFonts w:ascii="Arial" w:hAnsi="Arial" w:cs="Arial"/>
          <w:sz w:val="20"/>
          <w:szCs w:val="20"/>
        </w:rPr>
        <w:t>y</w:t>
      </w:r>
      <w:r w:rsidR="00A95EBD" w:rsidRPr="004E708A">
        <w:rPr>
          <w:rFonts w:ascii="Arial" w:hAnsi="Arial" w:cs="Arial"/>
          <w:sz w:val="20"/>
          <w:szCs w:val="20"/>
        </w:rPr>
        <w:t xml:space="preserve"> na základě rozhodnutí </w:t>
      </w:r>
      <w:r w:rsidR="00BE3102" w:rsidRPr="004E708A">
        <w:rPr>
          <w:rFonts w:ascii="Arial" w:hAnsi="Arial" w:cs="Arial"/>
          <w:sz w:val="20"/>
          <w:szCs w:val="20"/>
        </w:rPr>
        <w:t>SPÚ o</w:t>
      </w:r>
      <w:r w:rsidR="00A95EBD" w:rsidRPr="004E708A">
        <w:rPr>
          <w:rFonts w:ascii="Arial" w:hAnsi="Arial" w:cs="Arial"/>
          <w:sz w:val="20"/>
          <w:szCs w:val="20"/>
        </w:rPr>
        <w:t xml:space="preserve"> výměně nebo přechodu vlastnických práv č.j. </w:t>
      </w:r>
      <w:r w:rsidR="004E708A">
        <w:rPr>
          <w:rFonts w:ascii="Arial" w:hAnsi="Arial" w:cs="Arial"/>
          <w:sz w:val="20"/>
          <w:szCs w:val="20"/>
        </w:rPr>
        <w:t>SPU 001178/2019</w:t>
      </w:r>
      <w:r w:rsidR="00A95EBD" w:rsidRPr="004E708A">
        <w:rPr>
          <w:rFonts w:ascii="Arial" w:hAnsi="Arial" w:cs="Arial"/>
          <w:sz w:val="20"/>
          <w:szCs w:val="20"/>
        </w:rPr>
        <w:t>, které nabylo právní moci dne</w:t>
      </w:r>
      <w:r w:rsidR="004E708A">
        <w:rPr>
          <w:rFonts w:ascii="Arial" w:hAnsi="Arial" w:cs="Arial"/>
          <w:sz w:val="20"/>
          <w:szCs w:val="20"/>
        </w:rPr>
        <w:t xml:space="preserve"> 22.2.2019 </w:t>
      </w:r>
      <w:r w:rsidR="00A95EBD" w:rsidRPr="004E708A">
        <w:rPr>
          <w:rFonts w:ascii="Arial" w:hAnsi="Arial" w:cs="Arial"/>
          <w:sz w:val="20"/>
          <w:szCs w:val="20"/>
        </w:rPr>
        <w:t>v rámci komplexních</w:t>
      </w:r>
      <w:r w:rsidR="00BE3102">
        <w:rPr>
          <w:rFonts w:ascii="Arial" w:hAnsi="Arial" w:cs="Arial"/>
          <w:sz w:val="20"/>
          <w:szCs w:val="20"/>
        </w:rPr>
        <w:t xml:space="preserve"> p</w:t>
      </w:r>
      <w:r w:rsidR="00A95EBD" w:rsidRPr="004E708A">
        <w:rPr>
          <w:rFonts w:ascii="Arial" w:hAnsi="Arial" w:cs="Arial"/>
          <w:sz w:val="20"/>
          <w:szCs w:val="20"/>
        </w:rPr>
        <w:t>ozemkových úprav v </w:t>
      </w:r>
      <w:proofErr w:type="spellStart"/>
      <w:r w:rsidR="00A95EBD" w:rsidRPr="004E708A">
        <w:rPr>
          <w:rFonts w:ascii="Arial" w:hAnsi="Arial" w:cs="Arial"/>
          <w:sz w:val="20"/>
          <w:szCs w:val="20"/>
        </w:rPr>
        <w:t>k.ú</w:t>
      </w:r>
      <w:proofErr w:type="spellEnd"/>
      <w:r w:rsidR="004E70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708A">
        <w:rPr>
          <w:rFonts w:ascii="Arial" w:hAnsi="Arial" w:cs="Arial"/>
          <w:sz w:val="20"/>
          <w:szCs w:val="20"/>
        </w:rPr>
        <w:t>Chodeč</w:t>
      </w:r>
      <w:proofErr w:type="spellEnd"/>
      <w:r w:rsidR="004E708A">
        <w:rPr>
          <w:rFonts w:ascii="Arial" w:hAnsi="Arial" w:cs="Arial"/>
          <w:sz w:val="20"/>
          <w:szCs w:val="20"/>
        </w:rPr>
        <w:t xml:space="preserve"> u Mělníka</w:t>
      </w:r>
      <w:r w:rsidR="00A95EBD" w:rsidRPr="004E708A">
        <w:rPr>
          <w:rFonts w:ascii="Arial" w:hAnsi="Arial" w:cs="Arial"/>
          <w:sz w:val="20"/>
          <w:szCs w:val="20"/>
        </w:rPr>
        <w:t xml:space="preserve">. </w:t>
      </w:r>
    </w:p>
    <w:p w14:paraId="2925BA05" w14:textId="41CFA300" w:rsidR="00A95EBD" w:rsidRPr="004E708A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A95EBD" w:rsidRPr="004E708A">
        <w:rPr>
          <w:rFonts w:ascii="Arial" w:hAnsi="Arial" w:cs="Arial"/>
          <w:sz w:val="20"/>
          <w:szCs w:val="20"/>
        </w:rPr>
        <w:t xml:space="preserve">Pozemky uvedené v bodě 1. jsou určeny k realizaci </w:t>
      </w:r>
      <w:r w:rsidR="00BE3102" w:rsidRPr="004E708A">
        <w:rPr>
          <w:rFonts w:ascii="Arial" w:hAnsi="Arial" w:cs="Arial"/>
          <w:sz w:val="20"/>
          <w:szCs w:val="20"/>
        </w:rPr>
        <w:t>společného zařízení</w:t>
      </w:r>
      <w:r w:rsidR="00A95EBD" w:rsidRPr="004E708A">
        <w:rPr>
          <w:rFonts w:ascii="Arial" w:hAnsi="Arial" w:cs="Arial"/>
          <w:sz w:val="20"/>
          <w:szCs w:val="20"/>
        </w:rPr>
        <w:t xml:space="preserve"> – </w:t>
      </w:r>
      <w:r w:rsidR="004E708A">
        <w:rPr>
          <w:rFonts w:ascii="Arial" w:hAnsi="Arial" w:cs="Arial"/>
          <w:sz w:val="20"/>
          <w:szCs w:val="20"/>
        </w:rPr>
        <w:t xml:space="preserve">LBK 47 s cestou VC9AB v k.ú. </w:t>
      </w:r>
      <w:proofErr w:type="spellStart"/>
      <w:r w:rsidR="004E708A">
        <w:rPr>
          <w:rFonts w:ascii="Arial" w:hAnsi="Arial" w:cs="Arial"/>
          <w:sz w:val="20"/>
          <w:szCs w:val="20"/>
        </w:rPr>
        <w:t>Chodeč</w:t>
      </w:r>
      <w:proofErr w:type="spellEnd"/>
      <w:r w:rsidR="004E708A">
        <w:rPr>
          <w:rFonts w:ascii="Arial" w:hAnsi="Arial" w:cs="Arial"/>
          <w:sz w:val="20"/>
          <w:szCs w:val="20"/>
        </w:rPr>
        <w:t xml:space="preserve"> u Mělníka </w:t>
      </w:r>
      <w:r w:rsidR="00AA7507" w:rsidRPr="004E708A">
        <w:rPr>
          <w:rFonts w:ascii="Arial" w:hAnsi="Arial" w:cs="Arial"/>
          <w:iCs/>
          <w:sz w:val="20"/>
          <w:szCs w:val="20"/>
        </w:rPr>
        <w:t>(</w:t>
      </w:r>
      <w:r w:rsidR="00AA7507">
        <w:rPr>
          <w:rFonts w:ascii="Arial" w:hAnsi="Arial" w:cs="Arial"/>
          <w:iCs/>
          <w:sz w:val="20"/>
          <w:szCs w:val="20"/>
        </w:rPr>
        <w:t xml:space="preserve">Lokální biokoridor LBK 47 </w:t>
      </w:r>
      <w:proofErr w:type="gramStart"/>
      <w:r w:rsidR="00AA7507">
        <w:rPr>
          <w:rFonts w:ascii="Arial" w:hAnsi="Arial" w:cs="Arial"/>
          <w:iCs/>
          <w:sz w:val="20"/>
          <w:szCs w:val="20"/>
        </w:rPr>
        <w:t>řeší</w:t>
      </w:r>
      <w:proofErr w:type="gramEnd"/>
      <w:r w:rsidR="00AA7507">
        <w:rPr>
          <w:rFonts w:ascii="Arial" w:hAnsi="Arial" w:cs="Arial"/>
          <w:iCs/>
          <w:sz w:val="20"/>
          <w:szCs w:val="20"/>
        </w:rPr>
        <w:t xml:space="preserve"> zřízení nového biokoridoru</w:t>
      </w:r>
      <w:r w:rsidR="00BE3102">
        <w:rPr>
          <w:rFonts w:ascii="Arial" w:hAnsi="Arial" w:cs="Arial"/>
          <w:iCs/>
          <w:sz w:val="20"/>
          <w:szCs w:val="20"/>
        </w:rPr>
        <w:t>.</w:t>
      </w:r>
      <w:r w:rsidR="00AA7507">
        <w:rPr>
          <w:rFonts w:ascii="Arial" w:hAnsi="Arial" w:cs="Arial"/>
          <w:iCs/>
          <w:sz w:val="20"/>
          <w:szCs w:val="20"/>
        </w:rPr>
        <w:t xml:space="preserve"> Biokoridor propoj</w:t>
      </w:r>
      <w:r w:rsidR="00BE3102">
        <w:rPr>
          <w:rFonts w:ascii="Arial" w:hAnsi="Arial" w:cs="Arial"/>
          <w:iCs/>
          <w:sz w:val="20"/>
          <w:szCs w:val="20"/>
        </w:rPr>
        <w:t>uje</w:t>
      </w:r>
      <w:r w:rsidR="00AA7507">
        <w:rPr>
          <w:rFonts w:ascii="Arial" w:hAnsi="Arial" w:cs="Arial"/>
          <w:iCs/>
          <w:sz w:val="20"/>
          <w:szCs w:val="20"/>
        </w:rPr>
        <w:t xml:space="preserve"> stávající zeleň podél polní cesty VC9A, která vede přímo z vesnice </w:t>
      </w:r>
      <w:proofErr w:type="spellStart"/>
      <w:r w:rsidR="00AA7507">
        <w:rPr>
          <w:rFonts w:ascii="Arial" w:hAnsi="Arial" w:cs="Arial"/>
          <w:iCs/>
          <w:sz w:val="20"/>
          <w:szCs w:val="20"/>
        </w:rPr>
        <w:t>Chodeč</w:t>
      </w:r>
      <w:proofErr w:type="spellEnd"/>
      <w:r w:rsidR="00AA7507">
        <w:rPr>
          <w:rFonts w:ascii="Arial" w:hAnsi="Arial" w:cs="Arial"/>
          <w:iCs/>
          <w:sz w:val="20"/>
          <w:szCs w:val="20"/>
        </w:rPr>
        <w:t xml:space="preserve"> a </w:t>
      </w:r>
      <w:r w:rsidR="00BE3102">
        <w:rPr>
          <w:rFonts w:ascii="Arial" w:hAnsi="Arial" w:cs="Arial"/>
          <w:iCs/>
          <w:sz w:val="20"/>
          <w:szCs w:val="20"/>
        </w:rPr>
        <w:t>spojila</w:t>
      </w:r>
      <w:r w:rsidR="00AA7507">
        <w:rPr>
          <w:rFonts w:ascii="Arial" w:hAnsi="Arial" w:cs="Arial"/>
          <w:iCs/>
          <w:sz w:val="20"/>
          <w:szCs w:val="20"/>
        </w:rPr>
        <w:t xml:space="preserve"> se s již realizovanými biokoridory a zelení v k.ú. Vysoká u Mělníka. Vznik</w:t>
      </w:r>
      <w:r w:rsidR="00BE3102">
        <w:rPr>
          <w:rFonts w:ascii="Arial" w:hAnsi="Arial" w:cs="Arial"/>
          <w:iCs/>
          <w:sz w:val="20"/>
          <w:szCs w:val="20"/>
        </w:rPr>
        <w:t>l</w:t>
      </w:r>
      <w:r w:rsidR="00AA7507">
        <w:rPr>
          <w:rFonts w:ascii="Arial" w:hAnsi="Arial" w:cs="Arial"/>
          <w:iCs/>
          <w:sz w:val="20"/>
          <w:szCs w:val="20"/>
        </w:rPr>
        <w:t xml:space="preserve"> tak nový pás zeleně kolem polní cesty VC9B</w:t>
      </w:r>
      <w:r w:rsidR="00BE3102">
        <w:rPr>
          <w:rFonts w:ascii="Arial" w:hAnsi="Arial" w:cs="Arial"/>
          <w:iCs/>
          <w:sz w:val="20"/>
          <w:szCs w:val="20"/>
        </w:rPr>
        <w:t>.</w:t>
      </w:r>
      <w:r w:rsidR="00AA7507">
        <w:rPr>
          <w:rFonts w:ascii="Arial" w:hAnsi="Arial" w:cs="Arial"/>
          <w:iCs/>
          <w:sz w:val="20"/>
          <w:szCs w:val="20"/>
        </w:rPr>
        <w:t xml:space="preserve"> Šířka navrhovaného biokoridoru je 15 m, délka přibližně 122 m. </w:t>
      </w:r>
      <w:r w:rsidR="00BE3102">
        <w:rPr>
          <w:rFonts w:ascii="Arial" w:hAnsi="Arial" w:cs="Arial"/>
          <w:iCs/>
          <w:sz w:val="20"/>
          <w:szCs w:val="20"/>
        </w:rPr>
        <w:t>C</w:t>
      </w:r>
      <w:r w:rsidR="00AA7507">
        <w:rPr>
          <w:rFonts w:ascii="Arial" w:hAnsi="Arial" w:cs="Arial"/>
          <w:iCs/>
          <w:sz w:val="20"/>
          <w:szCs w:val="20"/>
        </w:rPr>
        <w:t xml:space="preserve">elé území LBK </w:t>
      </w:r>
      <w:r w:rsidR="00BE3102">
        <w:rPr>
          <w:rFonts w:ascii="Arial" w:hAnsi="Arial" w:cs="Arial"/>
          <w:iCs/>
          <w:sz w:val="20"/>
          <w:szCs w:val="20"/>
        </w:rPr>
        <w:t xml:space="preserve">bylo </w:t>
      </w:r>
      <w:r w:rsidR="00AA7507">
        <w:rPr>
          <w:rFonts w:ascii="Arial" w:hAnsi="Arial" w:cs="Arial"/>
          <w:iCs/>
          <w:sz w:val="20"/>
          <w:szCs w:val="20"/>
        </w:rPr>
        <w:t>oplo</w:t>
      </w:r>
      <w:r w:rsidR="00BE3102">
        <w:rPr>
          <w:rFonts w:ascii="Arial" w:hAnsi="Arial" w:cs="Arial"/>
          <w:iCs/>
          <w:sz w:val="20"/>
          <w:szCs w:val="20"/>
        </w:rPr>
        <w:t>ceno</w:t>
      </w:r>
      <w:r w:rsidR="00AA7507">
        <w:rPr>
          <w:rFonts w:ascii="Arial" w:hAnsi="Arial" w:cs="Arial"/>
          <w:iCs/>
          <w:sz w:val="20"/>
          <w:szCs w:val="20"/>
        </w:rPr>
        <w:t xml:space="preserve">. Oplocení se ponechá do doby, než LBK bude schopno plnit svou požadovanou funkci. V rámci </w:t>
      </w:r>
      <w:r w:rsidR="00BE3102">
        <w:rPr>
          <w:rFonts w:ascii="Arial" w:hAnsi="Arial" w:cs="Arial"/>
          <w:iCs/>
          <w:sz w:val="20"/>
          <w:szCs w:val="20"/>
        </w:rPr>
        <w:t>celkové výsadby zeleně bylo</w:t>
      </w:r>
      <w:r w:rsidR="00AA7507">
        <w:rPr>
          <w:rFonts w:ascii="Arial" w:hAnsi="Arial" w:cs="Arial"/>
          <w:iCs/>
          <w:sz w:val="20"/>
          <w:szCs w:val="20"/>
        </w:rPr>
        <w:t xml:space="preserve"> vysazeno </w:t>
      </w:r>
      <w:r w:rsidR="00BE3102">
        <w:rPr>
          <w:rFonts w:ascii="Arial" w:hAnsi="Arial" w:cs="Arial"/>
          <w:iCs/>
          <w:sz w:val="20"/>
          <w:szCs w:val="20"/>
        </w:rPr>
        <w:t>23</w:t>
      </w:r>
      <w:r w:rsidR="00AA7507">
        <w:rPr>
          <w:rFonts w:ascii="Arial" w:hAnsi="Arial" w:cs="Arial"/>
          <w:iCs/>
          <w:sz w:val="20"/>
          <w:szCs w:val="20"/>
        </w:rPr>
        <w:t xml:space="preserve"> stromů a </w:t>
      </w:r>
      <w:r w:rsidR="00BE3102">
        <w:rPr>
          <w:rFonts w:ascii="Arial" w:hAnsi="Arial" w:cs="Arial"/>
          <w:iCs/>
          <w:sz w:val="20"/>
          <w:szCs w:val="20"/>
        </w:rPr>
        <w:t>424</w:t>
      </w:r>
      <w:r w:rsidR="00AA7507">
        <w:rPr>
          <w:rFonts w:ascii="Arial" w:hAnsi="Arial" w:cs="Arial"/>
          <w:iCs/>
          <w:sz w:val="20"/>
          <w:szCs w:val="20"/>
        </w:rPr>
        <w:t xml:space="preserve"> sazenic keřů</w:t>
      </w:r>
      <w:r w:rsidR="00BE3102">
        <w:rPr>
          <w:rFonts w:ascii="Arial" w:hAnsi="Arial" w:cs="Arial"/>
          <w:iCs/>
          <w:sz w:val="20"/>
          <w:szCs w:val="20"/>
        </w:rPr>
        <w:t xml:space="preserve"> pro uvedenou stavbu</w:t>
      </w:r>
      <w:r w:rsidR="00AA7507">
        <w:rPr>
          <w:rFonts w:ascii="Arial" w:hAnsi="Arial" w:cs="Arial"/>
          <w:iCs/>
          <w:sz w:val="20"/>
          <w:szCs w:val="20"/>
        </w:rPr>
        <w:t>.</w:t>
      </w:r>
      <w:r w:rsidR="00BE3102">
        <w:rPr>
          <w:rFonts w:ascii="Arial" w:hAnsi="Arial" w:cs="Arial"/>
          <w:iCs/>
          <w:sz w:val="20"/>
          <w:szCs w:val="20"/>
        </w:rPr>
        <w:t xml:space="preserve"> </w:t>
      </w:r>
      <w:r w:rsidR="00AA7507">
        <w:rPr>
          <w:rFonts w:ascii="Arial" w:hAnsi="Arial" w:cs="Arial"/>
          <w:iCs/>
          <w:sz w:val="20"/>
          <w:szCs w:val="20"/>
        </w:rPr>
        <w:t>Polní cesta VC9A</w:t>
      </w:r>
      <w:r w:rsidR="00832287">
        <w:rPr>
          <w:rFonts w:ascii="Arial" w:hAnsi="Arial" w:cs="Arial"/>
          <w:iCs/>
          <w:sz w:val="20"/>
          <w:szCs w:val="20"/>
        </w:rPr>
        <w:t xml:space="preserve"> začíná</w:t>
      </w:r>
      <w:r w:rsidR="00AA7507">
        <w:rPr>
          <w:rFonts w:ascii="Arial" w:hAnsi="Arial" w:cs="Arial"/>
          <w:iCs/>
          <w:sz w:val="20"/>
          <w:szCs w:val="20"/>
        </w:rPr>
        <w:t xml:space="preserve"> napojením na stávající místní komunikaci</w:t>
      </w:r>
      <w:r w:rsidR="00832287">
        <w:rPr>
          <w:rFonts w:ascii="Arial" w:hAnsi="Arial" w:cs="Arial"/>
          <w:iCs/>
          <w:sz w:val="20"/>
          <w:szCs w:val="20"/>
        </w:rPr>
        <w:t>.</w:t>
      </w:r>
      <w:r w:rsidR="00AA7507">
        <w:rPr>
          <w:rFonts w:ascii="Arial" w:hAnsi="Arial" w:cs="Arial"/>
          <w:iCs/>
          <w:sz w:val="20"/>
          <w:szCs w:val="20"/>
        </w:rPr>
        <w:t xml:space="preserve"> Na začát</w:t>
      </w:r>
      <w:r w:rsidR="00832287">
        <w:rPr>
          <w:rFonts w:ascii="Arial" w:hAnsi="Arial" w:cs="Arial"/>
          <w:iCs/>
          <w:sz w:val="20"/>
          <w:szCs w:val="20"/>
        </w:rPr>
        <w:t>ku bylo</w:t>
      </w:r>
      <w:r w:rsidR="00AA7507">
        <w:rPr>
          <w:rFonts w:ascii="Arial" w:hAnsi="Arial" w:cs="Arial"/>
          <w:iCs/>
          <w:sz w:val="20"/>
          <w:szCs w:val="20"/>
        </w:rPr>
        <w:t xml:space="preserve"> z důvodu nedostatečné šířky pozemku navržena po levé straně zárubní zídka z</w:t>
      </w:r>
      <w:r w:rsidR="00832287">
        <w:rPr>
          <w:rFonts w:ascii="Arial" w:hAnsi="Arial" w:cs="Arial"/>
          <w:iCs/>
          <w:sz w:val="20"/>
          <w:szCs w:val="20"/>
        </w:rPr>
        <w:t> </w:t>
      </w:r>
      <w:proofErr w:type="spellStart"/>
      <w:r w:rsidR="00AA7507">
        <w:rPr>
          <w:rFonts w:ascii="Arial" w:hAnsi="Arial" w:cs="Arial"/>
          <w:iCs/>
          <w:sz w:val="20"/>
          <w:szCs w:val="20"/>
        </w:rPr>
        <w:t>gabionů</w:t>
      </w:r>
      <w:proofErr w:type="spellEnd"/>
      <w:r w:rsidR="00832287">
        <w:rPr>
          <w:rFonts w:ascii="Arial" w:hAnsi="Arial" w:cs="Arial"/>
          <w:iCs/>
          <w:sz w:val="20"/>
          <w:szCs w:val="20"/>
        </w:rPr>
        <w:t xml:space="preserve">. </w:t>
      </w:r>
      <w:r w:rsidR="00AA7507">
        <w:rPr>
          <w:rFonts w:ascii="Arial" w:hAnsi="Arial" w:cs="Arial"/>
          <w:iCs/>
          <w:sz w:val="20"/>
          <w:szCs w:val="20"/>
        </w:rPr>
        <w:t xml:space="preserve">Polní cesta VC9B začíná jako pokračování polní cesty VC9A. Odtud cesta vede jižním směrem podél hranice s k.ú. Střednice a je ukončena napojením na stávající místní komunikaci. Odvodnění VC9A jedná se o gravitační potrubí, které se napojuje na stávající dešťovou kanalizaci v </w:t>
      </w:r>
      <w:proofErr w:type="spellStart"/>
      <w:r w:rsidR="00AA7507">
        <w:rPr>
          <w:rFonts w:ascii="Arial" w:hAnsi="Arial" w:cs="Arial"/>
          <w:iCs/>
          <w:sz w:val="20"/>
          <w:szCs w:val="20"/>
        </w:rPr>
        <w:t>Chodči</w:t>
      </w:r>
      <w:proofErr w:type="spellEnd"/>
      <w:r w:rsidR="00AA7507">
        <w:rPr>
          <w:rFonts w:ascii="Arial" w:hAnsi="Arial" w:cs="Arial"/>
          <w:iCs/>
          <w:sz w:val="20"/>
          <w:szCs w:val="20"/>
        </w:rPr>
        <w:t xml:space="preserve"> </w:t>
      </w:r>
      <w:r w:rsidR="00AA7507">
        <w:rPr>
          <w:rFonts w:ascii="Arial" w:hAnsi="Arial" w:cs="Arial"/>
          <w:iCs/>
          <w:sz w:val="20"/>
          <w:szCs w:val="20"/>
        </w:rPr>
        <w:lastRenderedPageBreak/>
        <w:t>pomocí stávající vpusti.</w:t>
      </w:r>
      <w:r w:rsidR="00832287">
        <w:rPr>
          <w:rFonts w:ascii="Arial" w:hAnsi="Arial" w:cs="Arial"/>
          <w:iCs/>
          <w:sz w:val="20"/>
          <w:szCs w:val="20"/>
        </w:rPr>
        <w:t xml:space="preserve"> </w:t>
      </w:r>
      <w:r w:rsidR="00AA7507">
        <w:rPr>
          <w:rFonts w:ascii="Arial" w:hAnsi="Arial" w:cs="Arial"/>
          <w:iCs/>
          <w:sz w:val="20"/>
          <w:szCs w:val="20"/>
        </w:rPr>
        <w:t>Pro odvodnění cesty jsou navrženy tři příčné prefabrikované odvodňovací žlaby. Dále je v objektu řešena vsakovací rýha</w:t>
      </w:r>
      <w:r w:rsidR="00832287">
        <w:rPr>
          <w:rFonts w:ascii="Arial" w:hAnsi="Arial" w:cs="Arial"/>
          <w:iCs/>
          <w:sz w:val="20"/>
          <w:szCs w:val="20"/>
        </w:rPr>
        <w:t xml:space="preserve">, která </w:t>
      </w:r>
      <w:proofErr w:type="gramStart"/>
      <w:r w:rsidR="00832287">
        <w:rPr>
          <w:rFonts w:ascii="Arial" w:hAnsi="Arial" w:cs="Arial"/>
          <w:iCs/>
          <w:sz w:val="20"/>
          <w:szCs w:val="20"/>
        </w:rPr>
        <w:t>slouží</w:t>
      </w:r>
      <w:proofErr w:type="gramEnd"/>
      <w:r w:rsidR="00832287">
        <w:rPr>
          <w:rFonts w:ascii="Arial" w:hAnsi="Arial" w:cs="Arial"/>
          <w:iCs/>
          <w:sz w:val="20"/>
          <w:szCs w:val="20"/>
        </w:rPr>
        <w:t xml:space="preserve"> </w:t>
      </w:r>
      <w:r w:rsidR="00AA7507">
        <w:rPr>
          <w:rFonts w:ascii="Arial" w:hAnsi="Arial" w:cs="Arial"/>
          <w:iCs/>
          <w:sz w:val="20"/>
          <w:szCs w:val="20"/>
        </w:rPr>
        <w:t>pro odvodnění cesty.</w:t>
      </w:r>
      <w:r w:rsidR="00832287">
        <w:rPr>
          <w:rFonts w:ascii="Arial" w:hAnsi="Arial" w:cs="Arial"/>
          <w:iCs/>
          <w:sz w:val="20"/>
          <w:szCs w:val="20"/>
        </w:rPr>
        <w:t xml:space="preserve"> </w:t>
      </w:r>
      <w:r w:rsidR="00AA7507">
        <w:rPr>
          <w:rFonts w:ascii="Arial" w:hAnsi="Arial" w:cs="Arial"/>
          <w:iCs/>
          <w:sz w:val="20"/>
          <w:szCs w:val="20"/>
        </w:rPr>
        <w:t xml:space="preserve">Odvodnění VC9B </w:t>
      </w:r>
      <w:proofErr w:type="gramStart"/>
      <w:r w:rsidR="00AA7507">
        <w:rPr>
          <w:rFonts w:ascii="Arial" w:hAnsi="Arial" w:cs="Arial"/>
          <w:iCs/>
          <w:sz w:val="20"/>
          <w:szCs w:val="20"/>
        </w:rPr>
        <w:t>řeší</w:t>
      </w:r>
      <w:proofErr w:type="gramEnd"/>
      <w:r w:rsidR="00AA7507">
        <w:rPr>
          <w:rFonts w:ascii="Arial" w:hAnsi="Arial" w:cs="Arial"/>
          <w:iCs/>
          <w:sz w:val="20"/>
          <w:szCs w:val="20"/>
        </w:rPr>
        <w:t xml:space="preserve"> 3 vsakovací rýhy umístěné na drenáži odvodňující pláň cesty. Všechny 3 vsakovací rýhy jsou umístěny v prostoru přilehlého biokoridoru.</w:t>
      </w:r>
      <w:r w:rsidR="00832287">
        <w:rPr>
          <w:rFonts w:ascii="Arial" w:hAnsi="Arial" w:cs="Arial"/>
          <w:iCs/>
          <w:sz w:val="20"/>
          <w:szCs w:val="20"/>
        </w:rPr>
        <w:t xml:space="preserve"> N</w:t>
      </w:r>
      <w:r w:rsidR="00A95EBD" w:rsidRPr="004E708A">
        <w:rPr>
          <w:rFonts w:ascii="Arial" w:hAnsi="Arial" w:cs="Arial"/>
          <w:iCs/>
          <w:sz w:val="20"/>
          <w:szCs w:val="20"/>
        </w:rPr>
        <w:t>a základě rozhodnutí SPÚ č.j.</w:t>
      </w:r>
      <w:r w:rsidR="004E708A">
        <w:rPr>
          <w:rFonts w:ascii="Arial" w:hAnsi="Arial" w:cs="Arial"/>
          <w:iCs/>
          <w:sz w:val="20"/>
          <w:szCs w:val="20"/>
        </w:rPr>
        <w:t xml:space="preserve"> SPU 400754/2018</w:t>
      </w:r>
      <w:r w:rsidR="00A95EBD" w:rsidRPr="004E708A">
        <w:rPr>
          <w:rFonts w:ascii="Arial" w:hAnsi="Arial" w:cs="Arial"/>
          <w:iCs/>
          <w:sz w:val="20"/>
          <w:szCs w:val="20"/>
        </w:rPr>
        <w:t xml:space="preserve"> o schválení návrhu pozemkových úprav v k.ú. </w:t>
      </w:r>
      <w:proofErr w:type="spellStart"/>
      <w:r w:rsidR="004E708A">
        <w:rPr>
          <w:rFonts w:ascii="Arial" w:hAnsi="Arial" w:cs="Arial"/>
          <w:iCs/>
          <w:sz w:val="20"/>
          <w:szCs w:val="20"/>
        </w:rPr>
        <w:t>Chodeč</w:t>
      </w:r>
      <w:proofErr w:type="spellEnd"/>
      <w:r w:rsidR="004E708A">
        <w:rPr>
          <w:rFonts w:ascii="Arial" w:hAnsi="Arial" w:cs="Arial"/>
          <w:iCs/>
          <w:sz w:val="20"/>
          <w:szCs w:val="20"/>
        </w:rPr>
        <w:t xml:space="preserve"> u Mělníka</w:t>
      </w:r>
      <w:r w:rsidR="00A95EBD" w:rsidRPr="004E708A">
        <w:rPr>
          <w:rFonts w:ascii="Arial" w:hAnsi="Arial" w:cs="Arial"/>
          <w:iCs/>
          <w:sz w:val="20"/>
          <w:szCs w:val="20"/>
        </w:rPr>
        <w:t xml:space="preserve"> ze dne </w:t>
      </w:r>
      <w:r w:rsidR="004E708A">
        <w:rPr>
          <w:rFonts w:ascii="Arial" w:hAnsi="Arial" w:cs="Arial"/>
          <w:iCs/>
          <w:sz w:val="20"/>
          <w:szCs w:val="20"/>
        </w:rPr>
        <w:t>8.10.2018</w:t>
      </w:r>
      <w:r w:rsidR="00A95EBD" w:rsidRPr="004E708A">
        <w:rPr>
          <w:rFonts w:ascii="Arial" w:hAnsi="Arial" w:cs="Arial"/>
          <w:iCs/>
          <w:sz w:val="20"/>
          <w:szCs w:val="20"/>
        </w:rPr>
        <w:t>, které nabylo právní moci dne</w:t>
      </w:r>
      <w:r w:rsidR="004E708A">
        <w:rPr>
          <w:rFonts w:ascii="Arial" w:hAnsi="Arial" w:cs="Arial"/>
          <w:iCs/>
          <w:sz w:val="20"/>
          <w:szCs w:val="20"/>
        </w:rPr>
        <w:t xml:space="preserve"> 7.11.2018</w:t>
      </w:r>
      <w:r w:rsidR="00832287">
        <w:rPr>
          <w:rFonts w:ascii="Arial" w:hAnsi="Arial" w:cs="Arial"/>
          <w:iCs/>
          <w:sz w:val="20"/>
          <w:szCs w:val="20"/>
        </w:rPr>
        <w:t xml:space="preserve"> bylo realizováno společné zařízení LBK 47 s cestou VC9AB.</w:t>
      </w:r>
    </w:p>
    <w:p w14:paraId="275E2B82" w14:textId="0B1A03D3" w:rsidR="00A95EBD" w:rsidRPr="00676170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4.</w:t>
      </w:r>
      <w:r>
        <w:rPr>
          <w:rFonts w:ascii="Arial" w:hAnsi="Arial" w:cs="Arial"/>
          <w:iCs/>
          <w:sz w:val="20"/>
          <w:szCs w:val="20"/>
        </w:rPr>
        <w:tab/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Společné zařízení výše uvedené bylo realizováno ve veřejném zájmu. Je součástí </w:t>
      </w:r>
      <w:r w:rsidR="00A95EBD">
        <w:rPr>
          <w:rFonts w:ascii="Arial" w:hAnsi="Arial" w:cs="Arial"/>
          <w:iCs/>
          <w:sz w:val="20"/>
          <w:szCs w:val="20"/>
        </w:rPr>
        <w:t>pozemk</w:t>
      </w:r>
      <w:r w:rsidR="00FA6612">
        <w:rPr>
          <w:rFonts w:ascii="Arial" w:hAnsi="Arial" w:cs="Arial"/>
          <w:iCs/>
          <w:sz w:val="20"/>
          <w:szCs w:val="20"/>
        </w:rPr>
        <w:t>ů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uveden</w:t>
      </w:r>
      <w:r w:rsidR="00FA6612">
        <w:rPr>
          <w:rFonts w:ascii="Arial" w:hAnsi="Arial" w:cs="Arial"/>
          <w:iCs/>
          <w:sz w:val="20"/>
          <w:szCs w:val="20"/>
        </w:rPr>
        <w:t>ých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v bodě 1</w:t>
      </w:r>
      <w:r w:rsidR="00A95EBD">
        <w:rPr>
          <w:rFonts w:ascii="Arial" w:hAnsi="Arial" w:cs="Arial"/>
          <w:iCs/>
          <w:sz w:val="20"/>
          <w:szCs w:val="20"/>
        </w:rPr>
        <w:t>.</w:t>
      </w:r>
      <w:r w:rsidR="00A95EBD" w:rsidRPr="00676170">
        <w:rPr>
          <w:rFonts w:ascii="Arial" w:hAnsi="Arial" w:cs="Arial"/>
          <w:iCs/>
          <w:sz w:val="20"/>
          <w:szCs w:val="20"/>
        </w:rPr>
        <w:t xml:space="preserve"> a </w:t>
      </w:r>
      <w:proofErr w:type="gramStart"/>
      <w:r w:rsidR="00A95EBD" w:rsidRPr="00676170">
        <w:rPr>
          <w:rFonts w:ascii="Arial" w:hAnsi="Arial" w:cs="Arial"/>
          <w:iCs/>
          <w:sz w:val="20"/>
          <w:szCs w:val="20"/>
        </w:rPr>
        <w:t>tvoří</w:t>
      </w:r>
      <w:proofErr w:type="gramEnd"/>
      <w:r w:rsidR="00A95EBD" w:rsidRPr="00676170">
        <w:rPr>
          <w:rFonts w:ascii="Arial" w:hAnsi="Arial" w:cs="Arial"/>
          <w:iCs/>
          <w:sz w:val="20"/>
          <w:szCs w:val="20"/>
        </w:rPr>
        <w:t xml:space="preserve"> majetek, jež nepodléhá zápisu do katastru nemovitostí.</w:t>
      </w:r>
    </w:p>
    <w:p w14:paraId="62B7DDF6" w14:textId="75240724" w:rsidR="00A95EBD" w:rsidRPr="00676170" w:rsidRDefault="00C45A9D" w:rsidP="00C45A9D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A95EBD" w:rsidRPr="00676170">
        <w:rPr>
          <w:rFonts w:ascii="Arial" w:hAnsi="Arial" w:cs="Arial"/>
          <w:sz w:val="20"/>
          <w:szCs w:val="20"/>
        </w:rPr>
        <w:t>Komplexní pozemkové úpravy v k.ú.</w:t>
      </w:r>
      <w:r w:rsidR="00C31F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1FD5">
        <w:rPr>
          <w:rFonts w:ascii="Arial" w:hAnsi="Arial" w:cs="Arial"/>
          <w:sz w:val="20"/>
          <w:szCs w:val="20"/>
        </w:rPr>
        <w:t>Chodeč</w:t>
      </w:r>
      <w:proofErr w:type="spellEnd"/>
      <w:r w:rsidR="00C31FD5">
        <w:rPr>
          <w:rFonts w:ascii="Arial" w:hAnsi="Arial" w:cs="Arial"/>
          <w:sz w:val="20"/>
          <w:szCs w:val="20"/>
        </w:rPr>
        <w:t xml:space="preserve"> u Mělníka </w:t>
      </w:r>
      <w:r w:rsidR="00A95EBD" w:rsidRPr="00676170">
        <w:rPr>
          <w:rFonts w:ascii="Arial" w:hAnsi="Arial" w:cs="Arial"/>
          <w:sz w:val="20"/>
          <w:szCs w:val="20"/>
        </w:rPr>
        <w:t xml:space="preserve">včetně </w:t>
      </w:r>
      <w:r w:rsidR="00F250B0" w:rsidRPr="00676170">
        <w:rPr>
          <w:rFonts w:ascii="Arial" w:hAnsi="Arial" w:cs="Arial"/>
          <w:sz w:val="20"/>
          <w:szCs w:val="20"/>
        </w:rPr>
        <w:t>rozhodnutí jsou</w:t>
      </w:r>
      <w:r w:rsidR="00A95EBD" w:rsidRPr="00676170">
        <w:rPr>
          <w:rFonts w:ascii="Arial" w:hAnsi="Arial" w:cs="Arial"/>
          <w:sz w:val="20"/>
          <w:szCs w:val="20"/>
        </w:rPr>
        <w:t xml:space="preserve"> </w:t>
      </w:r>
      <w:r w:rsidR="00A95EBD">
        <w:rPr>
          <w:rFonts w:ascii="Arial" w:hAnsi="Arial" w:cs="Arial"/>
          <w:sz w:val="20"/>
          <w:szCs w:val="20"/>
        </w:rPr>
        <w:t xml:space="preserve">prováděny </w:t>
      </w:r>
      <w:r w:rsidR="00A95EBD" w:rsidRPr="00676170">
        <w:rPr>
          <w:rFonts w:ascii="Arial" w:hAnsi="Arial" w:cs="Arial"/>
          <w:sz w:val="20"/>
          <w:szCs w:val="20"/>
        </w:rPr>
        <w:t>v režimu právních norem platných po 1. 8. 2016 (souvisí s novelou zákona č. 185/2016 Sb.).</w:t>
      </w:r>
    </w:p>
    <w:p w14:paraId="42CB0800" w14:textId="77777777" w:rsidR="0061270B" w:rsidRDefault="0061270B" w:rsidP="00D06D0F">
      <w:pPr>
        <w:pStyle w:val="para"/>
        <w:rPr>
          <w:rFonts w:ascii="Arial" w:hAnsi="Arial" w:cs="Arial"/>
          <w:sz w:val="20"/>
        </w:rPr>
      </w:pPr>
    </w:p>
    <w:p w14:paraId="01FEB57B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384DC1E" w14:textId="4F4B39E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Převádějící převádí majetek uvedený v čl. I. této </w:t>
      </w:r>
      <w:r w:rsidR="00F250B0">
        <w:rPr>
          <w:rFonts w:ascii="Arial" w:hAnsi="Arial" w:cs="Arial"/>
          <w:sz w:val="20"/>
          <w:szCs w:val="20"/>
        </w:rPr>
        <w:t>smlouvy, tj.</w:t>
      </w:r>
      <w:r>
        <w:rPr>
          <w:rFonts w:ascii="Arial" w:hAnsi="Arial" w:cs="Arial"/>
          <w:sz w:val="20"/>
          <w:szCs w:val="20"/>
        </w:rPr>
        <w:t xml:space="preserve"> </w:t>
      </w:r>
      <w:r w:rsidR="00F250B0">
        <w:rPr>
          <w:rFonts w:ascii="Arial" w:hAnsi="Arial" w:cs="Arial"/>
          <w:sz w:val="20"/>
          <w:szCs w:val="20"/>
        </w:rPr>
        <w:t>pozemky včetně</w:t>
      </w:r>
      <w:r>
        <w:rPr>
          <w:rFonts w:ascii="Arial" w:hAnsi="Arial" w:cs="Arial"/>
          <w:sz w:val="20"/>
          <w:szCs w:val="20"/>
        </w:rPr>
        <w:t xml:space="preserve"> všech součástí a příslušenství a se všemi právy a povinnostmi do vlastnictví nabyvatele. Nabyvatel byl </w:t>
      </w:r>
      <w:r w:rsidRPr="0040415F">
        <w:rPr>
          <w:rFonts w:ascii="Arial" w:hAnsi="Arial" w:cs="Arial"/>
          <w:sz w:val="20"/>
          <w:szCs w:val="20"/>
        </w:rPr>
        <w:t>seznámen se stavem pře</w:t>
      </w:r>
      <w:r>
        <w:rPr>
          <w:rFonts w:ascii="Arial" w:hAnsi="Arial" w:cs="Arial"/>
          <w:sz w:val="20"/>
          <w:szCs w:val="20"/>
        </w:rPr>
        <w:t>váděného majetku</w:t>
      </w:r>
      <w:r w:rsidRPr="0040415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nabývá jej</w:t>
      </w:r>
      <w:r w:rsidRPr="0040415F">
        <w:rPr>
          <w:rFonts w:ascii="Arial" w:hAnsi="Arial" w:cs="Arial"/>
          <w:sz w:val="20"/>
          <w:szCs w:val="20"/>
        </w:rPr>
        <w:t xml:space="preserve"> do svého vlastnictví bez výhrad.</w:t>
      </w:r>
    </w:p>
    <w:p w14:paraId="3AFD39BA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</w:p>
    <w:p w14:paraId="1F9C6259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4D75B8A3" w14:textId="77777777" w:rsidR="00A95EBD" w:rsidRPr="00685FE0" w:rsidRDefault="00A95EBD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1</w:t>
      </w:r>
      <w:r w:rsidR="00D520B2">
        <w:rPr>
          <w:rFonts w:ascii="Arial" w:hAnsi="Arial" w:cs="Arial"/>
          <w:sz w:val="20"/>
          <w:szCs w:val="20"/>
        </w:rPr>
        <w:t>.</w:t>
      </w:r>
      <w:r w:rsidRPr="00685FE0">
        <w:rPr>
          <w:rFonts w:ascii="Arial" w:hAnsi="Arial" w:cs="Arial"/>
          <w:sz w:val="20"/>
          <w:szCs w:val="20"/>
        </w:rPr>
        <w:tab/>
        <w:t>Převod shora uvedeného majetku se realizuje bezúplatně.</w:t>
      </w:r>
    </w:p>
    <w:p w14:paraId="383929EB" w14:textId="77777777" w:rsidR="00A95EBD" w:rsidRPr="00685FE0" w:rsidRDefault="00A95EBD" w:rsidP="00A95EB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2</w:t>
      </w:r>
      <w:r w:rsidR="00D520B2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převádějícího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 xml:space="preserve"> ve smyslu </w:t>
      </w:r>
      <w:proofErr w:type="spellStart"/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. § 25 odst. 6 zákona č.</w:t>
      </w:r>
      <w:r w:rsidR="00584DF2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563/1991 Sb., o účetnictví, ve znění pozdějších předpisů, činí:</w:t>
      </w:r>
    </w:p>
    <w:p w14:paraId="0409FB02" w14:textId="77777777" w:rsidR="00A95EBD" w:rsidRDefault="00A95EBD" w:rsidP="00A95EBD">
      <w:pPr>
        <w:jc w:val="both"/>
        <w:rPr>
          <w:rFonts w:ascii="Arial" w:hAnsi="Arial" w:cs="Arial"/>
          <w:iCs/>
          <w:sz w:val="20"/>
          <w:szCs w:val="20"/>
          <w:bdr w:val="none" w:sz="0" w:space="0" w:color="auto" w:frame="1"/>
        </w:rPr>
      </w:pPr>
    </w:p>
    <w:p w14:paraId="0DEF3F04" w14:textId="77777777" w:rsidR="00E339F6" w:rsidRPr="00D06D0F" w:rsidRDefault="00E339F6" w:rsidP="00E339F6">
      <w:pPr>
        <w:pStyle w:val="VnitrniText"/>
        <w:ind w:firstLine="0"/>
      </w:pPr>
      <w:r w:rsidRPr="00D06D0F">
        <w:t>Pozemk</w:t>
      </w:r>
      <w:r w:rsidR="00FA6612">
        <w:t>y</w:t>
      </w:r>
      <w:r w:rsidRPr="00D06D0F">
        <w:t>:</w:t>
      </w:r>
    </w:p>
    <w:p w14:paraId="2E513447" w14:textId="77777777" w:rsidR="00E339F6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7C4F47A1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14:paraId="087BE267" w14:textId="77777777" w:rsidR="00E339F6" w:rsidRPr="00E36F12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13A94716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proofErr w:type="spellStart"/>
      <w:r w:rsidRPr="00E36F12">
        <w:rPr>
          <w:rStyle w:val="Styl11b"/>
          <w:sz w:val="16"/>
          <w:szCs w:val="16"/>
        </w:rPr>
        <w:t>Chodeč</w:t>
      </w:r>
      <w:proofErr w:type="spellEnd"/>
      <w:r w:rsidRPr="00E36F12">
        <w:rPr>
          <w:rStyle w:val="Styl11b"/>
          <w:sz w:val="16"/>
          <w:szCs w:val="16"/>
        </w:rPr>
        <w:t xml:space="preserve"> u Mělníka</w:t>
      </w:r>
      <w:r w:rsidRPr="00E36F12">
        <w:rPr>
          <w:rStyle w:val="Styl11b"/>
          <w:sz w:val="16"/>
          <w:szCs w:val="16"/>
        </w:rPr>
        <w:tab/>
        <w:t>696</w:t>
      </w:r>
      <w:r w:rsidRPr="00E36F12">
        <w:rPr>
          <w:rStyle w:val="Styl11b"/>
          <w:sz w:val="16"/>
          <w:szCs w:val="16"/>
        </w:rPr>
        <w:tab/>
        <w:t>33 108,16 Kč</w:t>
      </w:r>
    </w:p>
    <w:p w14:paraId="6018DD46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4EDAECE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proofErr w:type="spellStart"/>
      <w:r w:rsidRPr="00E36F12">
        <w:rPr>
          <w:rStyle w:val="Styl11b"/>
          <w:sz w:val="16"/>
          <w:szCs w:val="16"/>
        </w:rPr>
        <w:t>Chodeč</w:t>
      </w:r>
      <w:proofErr w:type="spellEnd"/>
      <w:r w:rsidRPr="00E36F12">
        <w:rPr>
          <w:rStyle w:val="Styl11b"/>
          <w:sz w:val="16"/>
          <w:szCs w:val="16"/>
        </w:rPr>
        <w:t xml:space="preserve"> u Mělníka</w:t>
      </w:r>
      <w:r w:rsidRPr="00E36F12">
        <w:rPr>
          <w:rStyle w:val="Styl11b"/>
          <w:sz w:val="16"/>
          <w:szCs w:val="16"/>
        </w:rPr>
        <w:tab/>
        <w:t>710</w:t>
      </w:r>
      <w:r w:rsidRPr="00E36F12">
        <w:rPr>
          <w:rStyle w:val="Styl11b"/>
          <w:sz w:val="16"/>
          <w:szCs w:val="16"/>
        </w:rPr>
        <w:tab/>
        <w:t>33 351,68 Kč</w:t>
      </w:r>
    </w:p>
    <w:p w14:paraId="1D57EFA7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19192D6" w14:textId="77777777" w:rsidR="00E339F6" w:rsidRPr="00E36F12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proofErr w:type="spellStart"/>
      <w:r w:rsidRPr="00E36F12">
        <w:rPr>
          <w:rStyle w:val="Styl11b"/>
          <w:sz w:val="16"/>
          <w:szCs w:val="16"/>
        </w:rPr>
        <w:t>Chodeč</w:t>
      </w:r>
      <w:proofErr w:type="spellEnd"/>
      <w:r w:rsidRPr="00E36F12">
        <w:rPr>
          <w:rStyle w:val="Styl11b"/>
          <w:sz w:val="16"/>
          <w:szCs w:val="16"/>
        </w:rPr>
        <w:t xml:space="preserve"> u Mělníka</w:t>
      </w:r>
      <w:r w:rsidRPr="00E36F12">
        <w:rPr>
          <w:rStyle w:val="Styl11b"/>
          <w:sz w:val="16"/>
          <w:szCs w:val="16"/>
        </w:rPr>
        <w:tab/>
        <w:t>711</w:t>
      </w:r>
      <w:r w:rsidRPr="00E36F12">
        <w:rPr>
          <w:rStyle w:val="Styl11b"/>
          <w:sz w:val="16"/>
          <w:szCs w:val="16"/>
        </w:rPr>
        <w:tab/>
        <w:t>11 216,18 Kč</w:t>
      </w:r>
    </w:p>
    <w:p w14:paraId="58BB0C49" w14:textId="77777777" w:rsidR="00E339F6" w:rsidRPr="00E36F12" w:rsidRDefault="00E339F6" w:rsidP="00E339F6">
      <w:pPr>
        <w:pStyle w:val="cary"/>
      </w:pPr>
      <w:r>
        <w:t>-------------------------------------------------------------------------------------------------------------------------------------</w:t>
      </w:r>
    </w:p>
    <w:p w14:paraId="1AD31F9E" w14:textId="77777777" w:rsidR="00E339F6" w:rsidRDefault="00E339F6" w:rsidP="00E339F6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77 676,02 Kč</w:t>
      </w:r>
    </w:p>
    <w:p w14:paraId="3070B4BC" w14:textId="77777777" w:rsidR="00A95EBD" w:rsidRPr="00685FE0" w:rsidRDefault="00A95EBD" w:rsidP="00A95EBD">
      <w:pPr>
        <w:tabs>
          <w:tab w:val="left" w:pos="8222"/>
        </w:tabs>
        <w:jc w:val="both"/>
        <w:rPr>
          <w:rFonts w:ascii="Arial" w:hAnsi="Arial" w:cs="Arial"/>
          <w:i/>
          <w:sz w:val="20"/>
          <w:szCs w:val="20"/>
          <w:bdr w:val="none" w:sz="0" w:space="0" w:color="auto" w:frame="1"/>
        </w:rPr>
      </w:pPr>
    </w:p>
    <w:p w14:paraId="6ED25CF2" w14:textId="77777777" w:rsidR="00A95EBD" w:rsidRDefault="00A95EBD" w:rsidP="00A95EBD">
      <w:pPr>
        <w:tabs>
          <w:tab w:val="left" w:pos="8222"/>
        </w:tabs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85FE0">
        <w:rPr>
          <w:rFonts w:ascii="Arial" w:hAnsi="Arial" w:cs="Arial"/>
          <w:sz w:val="20"/>
          <w:szCs w:val="20"/>
          <w:bdr w:val="none" w:sz="0" w:space="0" w:color="auto" w:frame="1"/>
        </w:rPr>
        <w:t>Majetek, který nepodléhá zápisu do katastru nemovitostí:</w:t>
      </w:r>
    </w:p>
    <w:p w14:paraId="1744A927" w14:textId="77777777" w:rsidR="00AF3286" w:rsidRPr="007431BA" w:rsidRDefault="00AF3286" w:rsidP="00AF3286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019ECBF" w14:textId="77777777" w:rsidR="00A7171C" w:rsidRPr="008857B6" w:rsidRDefault="00A7171C" w:rsidP="00A7171C">
      <w:pPr>
        <w:tabs>
          <w:tab w:val="left" w:pos="1701"/>
          <w:tab w:val="left" w:pos="5670"/>
          <w:tab w:val="right" w:pos="9639"/>
        </w:tabs>
        <w:rPr>
          <w:rStyle w:val="Styl11b"/>
        </w:rPr>
      </w:pPr>
      <w:r w:rsidRPr="008857B6">
        <w:rPr>
          <w:rStyle w:val="Styl11b"/>
        </w:rPr>
        <w:t>Katastrální</w:t>
      </w:r>
      <w:r w:rsidRPr="008857B6">
        <w:rPr>
          <w:rStyle w:val="Styl11b"/>
        </w:rPr>
        <w:tab/>
        <w:t xml:space="preserve">Specifikace </w:t>
      </w:r>
      <w:r w:rsidRPr="008857B6">
        <w:rPr>
          <w:rStyle w:val="Styl11b"/>
        </w:rPr>
        <w:tab/>
        <w:t>Na pozemku</w:t>
      </w:r>
      <w:r w:rsidRPr="008857B6">
        <w:rPr>
          <w:rStyle w:val="Styl11b"/>
        </w:rPr>
        <w:tab/>
        <w:t>Účetní</w:t>
      </w:r>
    </w:p>
    <w:p w14:paraId="3D9C4257" w14:textId="77777777" w:rsidR="00A7171C" w:rsidRPr="008857B6" w:rsidRDefault="00A7171C" w:rsidP="00A7171C">
      <w:pPr>
        <w:tabs>
          <w:tab w:val="left" w:pos="1701"/>
          <w:tab w:val="left" w:pos="5670"/>
          <w:tab w:val="right" w:pos="9639"/>
        </w:tabs>
        <w:rPr>
          <w:rStyle w:val="Styl11b"/>
        </w:rPr>
      </w:pPr>
      <w:r w:rsidRPr="008857B6">
        <w:rPr>
          <w:rStyle w:val="Styl11b"/>
        </w:rPr>
        <w:t>území</w:t>
      </w:r>
      <w:r w:rsidRPr="008857B6">
        <w:rPr>
          <w:rStyle w:val="Styl11b"/>
        </w:rPr>
        <w:tab/>
        <w:t>majetku</w:t>
      </w:r>
      <w:r w:rsidRPr="008857B6">
        <w:rPr>
          <w:rStyle w:val="Styl11b"/>
        </w:rPr>
        <w:tab/>
      </w:r>
      <w:proofErr w:type="spellStart"/>
      <w:r w:rsidRPr="008857B6">
        <w:rPr>
          <w:rStyle w:val="Styl11b"/>
        </w:rPr>
        <w:t>parc</w:t>
      </w:r>
      <w:proofErr w:type="spellEnd"/>
      <w:r w:rsidRPr="008857B6">
        <w:rPr>
          <w:rStyle w:val="Styl11b"/>
        </w:rPr>
        <w:t>. č.</w:t>
      </w:r>
      <w:r>
        <w:rPr>
          <w:rStyle w:val="Styl11b"/>
        </w:rPr>
        <w:tab/>
      </w:r>
      <w:r w:rsidRPr="008857B6">
        <w:rPr>
          <w:rStyle w:val="Styl11b"/>
        </w:rPr>
        <w:t>hodnota</w:t>
      </w:r>
    </w:p>
    <w:p w14:paraId="2EA9CD1D" w14:textId="77777777" w:rsidR="00A7171C" w:rsidRPr="008857B6" w:rsidRDefault="00A7171C" w:rsidP="00A7171C">
      <w:pPr>
        <w:pStyle w:val="cary"/>
      </w:pPr>
      <w:r>
        <w:t>-------------------------------------------------------------------------------------------------------------------------------------</w:t>
      </w:r>
    </w:p>
    <w:tbl>
      <w:tblPr>
        <w:tblStyle w:val="Mkatabulky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2268"/>
        <w:gridCol w:w="1843"/>
      </w:tblGrid>
      <w:tr w:rsidR="00A7171C" w:rsidRPr="00F95393" w14:paraId="32E70140" w14:textId="77777777" w:rsidTr="001B0095">
        <w:tc>
          <w:tcPr>
            <w:tcW w:w="1809" w:type="dxa"/>
          </w:tcPr>
          <w:p w14:paraId="432E8C47" w14:textId="77777777" w:rsidR="00A7171C" w:rsidRPr="00F95393" w:rsidRDefault="00A7171C" w:rsidP="001B0095">
            <w:pPr>
              <w:pStyle w:val="cary"/>
              <w:rPr>
                <w:sz w:val="16"/>
                <w:szCs w:val="16"/>
              </w:rPr>
            </w:pPr>
            <w:proofErr w:type="spellStart"/>
            <w:r w:rsidRPr="00F95393">
              <w:rPr>
                <w:sz w:val="16"/>
                <w:szCs w:val="16"/>
              </w:rPr>
              <w:t>Chodeč</w:t>
            </w:r>
            <w:proofErr w:type="spellEnd"/>
            <w:r w:rsidRPr="00F95393">
              <w:rPr>
                <w:sz w:val="16"/>
                <w:szCs w:val="16"/>
              </w:rPr>
              <w:t xml:space="preserve"> u Mělníka</w:t>
            </w:r>
          </w:p>
        </w:tc>
        <w:tc>
          <w:tcPr>
            <w:tcW w:w="3969" w:type="dxa"/>
          </w:tcPr>
          <w:p w14:paraId="6BC86937" w14:textId="77777777" w:rsidR="00A7171C" w:rsidRPr="00F95393" w:rsidRDefault="00A7171C" w:rsidP="001B0095">
            <w:pPr>
              <w:pStyle w:val="cary"/>
              <w:rPr>
                <w:sz w:val="16"/>
                <w:szCs w:val="16"/>
              </w:rPr>
            </w:pPr>
            <w:r w:rsidRPr="00F95393">
              <w:rPr>
                <w:sz w:val="16"/>
                <w:szCs w:val="16"/>
              </w:rPr>
              <w:t xml:space="preserve">LBK 47 s cestou VC9AB v k.ú. </w:t>
            </w:r>
            <w:proofErr w:type="spellStart"/>
            <w:r w:rsidRPr="00F95393">
              <w:rPr>
                <w:sz w:val="16"/>
                <w:szCs w:val="16"/>
              </w:rPr>
              <w:t>Chodeč</w:t>
            </w:r>
            <w:proofErr w:type="spellEnd"/>
            <w:r w:rsidRPr="00F95393">
              <w:rPr>
                <w:sz w:val="16"/>
                <w:szCs w:val="16"/>
              </w:rPr>
              <w:t xml:space="preserve"> u Mělníka</w:t>
            </w:r>
          </w:p>
        </w:tc>
        <w:tc>
          <w:tcPr>
            <w:tcW w:w="2268" w:type="dxa"/>
          </w:tcPr>
          <w:p w14:paraId="027952A1" w14:textId="77777777" w:rsidR="00A7171C" w:rsidRPr="00F95393" w:rsidRDefault="00A7171C" w:rsidP="001B0095">
            <w:pPr>
              <w:pStyle w:val="cary"/>
              <w:rPr>
                <w:sz w:val="16"/>
                <w:szCs w:val="16"/>
              </w:rPr>
            </w:pPr>
            <w:proofErr w:type="gramStart"/>
            <w:r w:rsidRPr="00F95393">
              <w:rPr>
                <w:sz w:val="16"/>
                <w:szCs w:val="16"/>
              </w:rPr>
              <w:t>PKN - pozemkové</w:t>
            </w:r>
            <w:proofErr w:type="gramEnd"/>
            <w:r w:rsidRPr="00F95393">
              <w:rPr>
                <w:sz w:val="16"/>
                <w:szCs w:val="16"/>
              </w:rPr>
              <w:t xml:space="preserve"> 696</w:t>
            </w:r>
          </w:p>
          <w:p w14:paraId="0363907B" w14:textId="77777777" w:rsidR="00A7171C" w:rsidRPr="00F95393" w:rsidRDefault="00A7171C" w:rsidP="001B0095">
            <w:pPr>
              <w:pStyle w:val="cary"/>
              <w:rPr>
                <w:sz w:val="16"/>
                <w:szCs w:val="16"/>
              </w:rPr>
            </w:pPr>
            <w:proofErr w:type="gramStart"/>
            <w:r w:rsidRPr="00F95393">
              <w:rPr>
                <w:sz w:val="16"/>
                <w:szCs w:val="16"/>
              </w:rPr>
              <w:t>PKN - pozemkové</w:t>
            </w:r>
            <w:proofErr w:type="gramEnd"/>
            <w:r w:rsidRPr="00F95393">
              <w:rPr>
                <w:sz w:val="16"/>
                <w:szCs w:val="16"/>
              </w:rPr>
              <w:t xml:space="preserve"> 710</w:t>
            </w:r>
          </w:p>
          <w:p w14:paraId="1DAA75B0" w14:textId="77777777" w:rsidR="00A7171C" w:rsidRPr="00F95393" w:rsidRDefault="00A7171C" w:rsidP="001B0095">
            <w:pPr>
              <w:pStyle w:val="cary"/>
              <w:rPr>
                <w:sz w:val="16"/>
                <w:szCs w:val="16"/>
              </w:rPr>
            </w:pPr>
            <w:proofErr w:type="gramStart"/>
            <w:r w:rsidRPr="00F95393">
              <w:rPr>
                <w:sz w:val="16"/>
                <w:szCs w:val="16"/>
              </w:rPr>
              <w:t>PKN - pozemkové</w:t>
            </w:r>
            <w:proofErr w:type="gramEnd"/>
            <w:r w:rsidRPr="00F95393">
              <w:rPr>
                <w:sz w:val="16"/>
                <w:szCs w:val="16"/>
              </w:rPr>
              <w:t xml:space="preserve"> 711</w:t>
            </w:r>
          </w:p>
        </w:tc>
        <w:tc>
          <w:tcPr>
            <w:tcW w:w="1843" w:type="dxa"/>
          </w:tcPr>
          <w:p w14:paraId="2F71917C" w14:textId="5B3DE1BE" w:rsidR="00A7171C" w:rsidRPr="00F95393" w:rsidRDefault="00F250B0" w:rsidP="00F250B0">
            <w:pPr>
              <w:pStyle w:val="cary"/>
              <w:jc w:val="center"/>
              <w:rPr>
                <w:sz w:val="16"/>
                <w:szCs w:val="16"/>
              </w:rPr>
            </w:pPr>
            <w:r>
              <w:rPr>
                <w:rStyle w:val="Styl11b"/>
                <w:sz w:val="16"/>
                <w:szCs w:val="16"/>
              </w:rPr>
              <w:t>7</w:t>
            </w:r>
            <w:r w:rsidR="00A7171C" w:rsidRPr="00F95393">
              <w:rPr>
                <w:rStyle w:val="Styl11b"/>
                <w:sz w:val="16"/>
                <w:szCs w:val="16"/>
              </w:rPr>
              <w:t> </w:t>
            </w:r>
            <w:r>
              <w:rPr>
                <w:rStyle w:val="Styl11b"/>
                <w:sz w:val="16"/>
                <w:szCs w:val="16"/>
              </w:rPr>
              <w:t>747</w:t>
            </w:r>
            <w:r w:rsidR="00A7171C" w:rsidRPr="00F95393">
              <w:rPr>
                <w:rStyle w:val="Styl11b"/>
                <w:sz w:val="16"/>
                <w:szCs w:val="16"/>
              </w:rPr>
              <w:t> </w:t>
            </w:r>
            <w:r>
              <w:rPr>
                <w:rStyle w:val="Styl11b"/>
                <w:sz w:val="16"/>
                <w:szCs w:val="16"/>
              </w:rPr>
              <w:t>934</w:t>
            </w:r>
            <w:r w:rsidR="00A7171C" w:rsidRPr="00F95393">
              <w:rPr>
                <w:rStyle w:val="Styl11b"/>
                <w:sz w:val="16"/>
                <w:szCs w:val="16"/>
              </w:rPr>
              <w:t>,</w:t>
            </w:r>
            <w:r>
              <w:rPr>
                <w:rStyle w:val="Styl11b"/>
                <w:sz w:val="16"/>
                <w:szCs w:val="16"/>
              </w:rPr>
              <w:t xml:space="preserve">75 </w:t>
            </w:r>
            <w:r w:rsidR="00A7171C" w:rsidRPr="00F95393">
              <w:rPr>
                <w:rStyle w:val="Styl11b"/>
                <w:sz w:val="16"/>
                <w:szCs w:val="16"/>
              </w:rPr>
              <w:t>Kč</w:t>
            </w:r>
          </w:p>
        </w:tc>
      </w:tr>
    </w:tbl>
    <w:p w14:paraId="6327C31C" w14:textId="77777777" w:rsidR="00A7171C" w:rsidRPr="008857B6" w:rsidRDefault="00A7171C" w:rsidP="00A7171C">
      <w:pPr>
        <w:pStyle w:val="cary"/>
      </w:pPr>
      <w:r>
        <w:t>-------------------------------------------------------------------------------------------------------------------------------------</w:t>
      </w:r>
    </w:p>
    <w:p w14:paraId="0774FCFA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</w:p>
    <w:p w14:paraId="2E19BEEA" w14:textId="77777777" w:rsidR="00A95EBD" w:rsidRDefault="00A95EBD" w:rsidP="00A95E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uvedený majetek </w:t>
      </w:r>
      <w:r w:rsidRPr="00CA4256">
        <w:rPr>
          <w:rFonts w:ascii="Arial" w:hAnsi="Arial" w:cs="Arial"/>
          <w:sz w:val="20"/>
          <w:szCs w:val="20"/>
        </w:rPr>
        <w:t>pře</w:t>
      </w:r>
      <w:r>
        <w:rPr>
          <w:rFonts w:ascii="Arial" w:hAnsi="Arial" w:cs="Arial"/>
          <w:sz w:val="20"/>
          <w:szCs w:val="20"/>
        </w:rPr>
        <w:t>vádí</w:t>
      </w:r>
      <w:r w:rsidRPr="00CA4256">
        <w:rPr>
          <w:rFonts w:ascii="Arial" w:hAnsi="Arial" w:cs="Arial"/>
          <w:sz w:val="20"/>
          <w:szCs w:val="20"/>
        </w:rPr>
        <w:t xml:space="preserve"> pře</w:t>
      </w:r>
      <w:r>
        <w:rPr>
          <w:rFonts w:ascii="Arial" w:hAnsi="Arial" w:cs="Arial"/>
          <w:sz w:val="20"/>
          <w:szCs w:val="20"/>
        </w:rPr>
        <w:t>vádějící</w:t>
      </w:r>
      <w:r w:rsidRPr="00CA4256">
        <w:rPr>
          <w:rFonts w:ascii="Arial" w:hAnsi="Arial" w:cs="Arial"/>
          <w:sz w:val="20"/>
          <w:szCs w:val="20"/>
        </w:rPr>
        <w:t xml:space="preserve"> do vlastnictví a účetní a majetkové evidence </w:t>
      </w:r>
      <w:r>
        <w:rPr>
          <w:rFonts w:ascii="Arial" w:hAnsi="Arial" w:cs="Arial"/>
          <w:sz w:val="20"/>
          <w:szCs w:val="20"/>
        </w:rPr>
        <w:t>nabyvatele</w:t>
      </w:r>
      <w:r w:rsidRPr="00CA4256">
        <w:rPr>
          <w:rFonts w:ascii="Arial" w:hAnsi="Arial" w:cs="Arial"/>
          <w:sz w:val="20"/>
          <w:szCs w:val="20"/>
        </w:rPr>
        <w:t xml:space="preserve"> v souladu s § 12 odst. </w:t>
      </w:r>
      <w:r w:rsidR="00220727">
        <w:rPr>
          <w:rFonts w:ascii="Arial" w:hAnsi="Arial" w:cs="Arial"/>
          <w:sz w:val="20"/>
          <w:szCs w:val="20"/>
        </w:rPr>
        <w:t>5</w:t>
      </w:r>
      <w:r w:rsidRPr="00CA4256">
        <w:rPr>
          <w:rFonts w:ascii="Arial" w:hAnsi="Arial" w:cs="Arial"/>
          <w:sz w:val="20"/>
          <w:szCs w:val="20"/>
        </w:rPr>
        <w:t xml:space="preserve"> zákona</w:t>
      </w:r>
      <w:r>
        <w:rPr>
          <w:rFonts w:ascii="Arial" w:hAnsi="Arial" w:cs="Arial"/>
          <w:sz w:val="20"/>
          <w:szCs w:val="20"/>
        </w:rPr>
        <w:t>.</w:t>
      </w:r>
    </w:p>
    <w:p w14:paraId="2CBDE469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0BF05BFA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1F053268" w14:textId="0DBAD8CF" w:rsidR="00A95EBD" w:rsidRPr="003011F2" w:rsidRDefault="00A95EBD" w:rsidP="00A95EBD">
      <w:pPr>
        <w:pStyle w:val="Odstavecseseznamem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Smluvní strany se zavazují předat a převzít předmět této smlouvy nejpozději do </w:t>
      </w:r>
      <w:r w:rsidR="006C54B0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dnů ode dne účinnosti této smlouvy. </w:t>
      </w:r>
      <w:r w:rsidRPr="00A03432">
        <w:rPr>
          <w:rFonts w:ascii="Arial" w:hAnsi="Arial" w:cs="Arial"/>
          <w:sz w:val="20"/>
          <w:szCs w:val="20"/>
        </w:rPr>
        <w:t xml:space="preserve">O předání a převzetí předmětu této smlouvy se všemi součástmi a příslušenstvím bude sepsán písemný protokol o předání a převzetí, podepsaný oběma smluvními stranami. Přílohu protokolu bude tvořit technická dokumentace společného zařízení účetní dokumentace a veškeré doklady vztahující </w:t>
      </w:r>
      <w:r w:rsidR="00F250B0" w:rsidRPr="00A03432">
        <w:rPr>
          <w:rFonts w:ascii="Arial" w:hAnsi="Arial" w:cs="Arial"/>
          <w:sz w:val="20"/>
          <w:szCs w:val="20"/>
        </w:rPr>
        <w:t>se k</w:t>
      </w:r>
      <w:r w:rsidRPr="00A03432">
        <w:rPr>
          <w:rFonts w:ascii="Arial" w:hAnsi="Arial" w:cs="Arial"/>
          <w:sz w:val="20"/>
          <w:szCs w:val="20"/>
        </w:rPr>
        <w:t xml:space="preserve"> předmětu této smlouvy, včetně dále uvedené smlouvy o dílo, aj.   </w:t>
      </w:r>
      <w:bookmarkStart w:id="0" w:name="_Hlk43192619"/>
    </w:p>
    <w:bookmarkEnd w:id="0"/>
    <w:p w14:paraId="256B762E" w14:textId="77777777" w:rsidR="00E45108" w:rsidRDefault="00E45108" w:rsidP="00864B6B">
      <w:pPr>
        <w:pStyle w:val="VnitrniText"/>
      </w:pPr>
    </w:p>
    <w:p w14:paraId="26A1979B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2041E76F" w14:textId="77777777" w:rsidR="00A95EBD" w:rsidRDefault="00A95EBD" w:rsidP="00A95E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</w:t>
      </w:r>
      <w:r w:rsidRPr="00EB1E29">
        <w:rPr>
          <w:rFonts w:ascii="Arial" w:hAnsi="Arial" w:cs="Arial"/>
          <w:sz w:val="20"/>
          <w:szCs w:val="20"/>
        </w:rPr>
        <w:t>:</w:t>
      </w:r>
    </w:p>
    <w:p w14:paraId="1B5843CD" w14:textId="77777777" w:rsidR="00A95EBD" w:rsidRDefault="005F2D2B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Je srozuměn s povinností</w:t>
      </w:r>
      <w:r w:rsidR="00A95EBD" w:rsidRPr="00FE09D2">
        <w:rPr>
          <w:rFonts w:ascii="Arial" w:hAnsi="Arial" w:cs="Arial"/>
          <w:sz w:val="20"/>
          <w:szCs w:val="20"/>
        </w:rPr>
        <w:t xml:space="preserve"> zajistit správu, údržbu a provozuschopnost, resp. funkčnost společného zařízení. </w:t>
      </w:r>
    </w:p>
    <w:p w14:paraId="242DC4F9" w14:textId="77777777" w:rsidR="00A95EBD" w:rsidRDefault="005F2D2B" w:rsidP="005F2D2B">
      <w:pPr>
        <w:pStyle w:val="Odstavecseseznamem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N</w:t>
      </w:r>
      <w:r w:rsidR="00A95EBD" w:rsidRPr="00FE09D2">
        <w:rPr>
          <w:rFonts w:ascii="Arial" w:hAnsi="Arial" w:cs="Arial"/>
          <w:sz w:val="20"/>
          <w:szCs w:val="20"/>
        </w:rPr>
        <w:t xml:space="preserve">ení oprávněn provádět s předávaným </w:t>
      </w:r>
      <w:r w:rsidR="00A95EBD">
        <w:rPr>
          <w:rFonts w:ascii="Arial" w:hAnsi="Arial" w:cs="Arial"/>
          <w:sz w:val="20"/>
          <w:szCs w:val="20"/>
        </w:rPr>
        <w:t>majetkem</w:t>
      </w:r>
      <w:r w:rsidR="00A95EBD" w:rsidRPr="00FE09D2">
        <w:rPr>
          <w:rFonts w:ascii="Arial" w:hAnsi="Arial" w:cs="Arial"/>
          <w:sz w:val="20"/>
          <w:szCs w:val="20"/>
        </w:rPr>
        <w:t xml:space="preserve"> takové úkony, které by byly v rozporu s využíváním společného zařízení ve veřejném zájmu. </w:t>
      </w:r>
    </w:p>
    <w:p w14:paraId="0AEA5276" w14:textId="275282CB" w:rsidR="00A95EBD" w:rsidRPr="00BB6A66" w:rsidRDefault="005F2D2B" w:rsidP="00BB6A66">
      <w:pPr>
        <w:pStyle w:val="Odstavecseseznamem"/>
        <w:ind w:left="284" w:hanging="284"/>
        <w:contextualSpacing/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A95EBD">
        <w:rPr>
          <w:rFonts w:ascii="Arial" w:hAnsi="Arial" w:cs="Arial"/>
          <w:sz w:val="20"/>
          <w:szCs w:val="20"/>
        </w:rPr>
        <w:t>Je si</w:t>
      </w:r>
      <w:r w:rsidR="00A95EBD" w:rsidRPr="00FE09D2">
        <w:rPr>
          <w:rFonts w:ascii="Arial" w:hAnsi="Arial" w:cs="Arial"/>
          <w:sz w:val="20"/>
          <w:szCs w:val="20"/>
        </w:rPr>
        <w:t xml:space="preserve"> vědom skutečnosti</w:t>
      </w:r>
      <w:r w:rsidR="00A95EBD" w:rsidRPr="00332E0F">
        <w:rPr>
          <w:rFonts w:ascii="Arial" w:hAnsi="Arial" w:cs="Arial"/>
          <w:sz w:val="20"/>
          <w:szCs w:val="20"/>
        </w:rPr>
        <w:t xml:space="preserve">, že zhotovitel </w:t>
      </w:r>
      <w:r w:rsidR="00E3659E">
        <w:rPr>
          <w:rFonts w:ascii="Arial" w:hAnsi="Arial" w:cs="Arial"/>
          <w:sz w:val="20"/>
          <w:szCs w:val="20"/>
        </w:rPr>
        <w:t xml:space="preserve">LBK 47 s cestou VC9AB v k.ú. </w:t>
      </w:r>
      <w:proofErr w:type="spellStart"/>
      <w:r w:rsidR="00E3659E">
        <w:rPr>
          <w:rFonts w:ascii="Arial" w:hAnsi="Arial" w:cs="Arial"/>
          <w:sz w:val="20"/>
          <w:szCs w:val="20"/>
        </w:rPr>
        <w:t>Chodeč</w:t>
      </w:r>
      <w:proofErr w:type="spellEnd"/>
      <w:r w:rsidR="00E3659E">
        <w:rPr>
          <w:rFonts w:ascii="Arial" w:hAnsi="Arial" w:cs="Arial"/>
          <w:sz w:val="20"/>
          <w:szCs w:val="20"/>
        </w:rPr>
        <w:t xml:space="preserve"> u Mělníka </w:t>
      </w:r>
      <w:r w:rsidR="00A95EBD">
        <w:rPr>
          <w:rFonts w:ascii="Arial" w:hAnsi="Arial" w:cs="Arial"/>
          <w:iCs/>
          <w:sz w:val="20"/>
          <w:szCs w:val="20"/>
        </w:rPr>
        <w:t xml:space="preserve">je </w:t>
      </w:r>
      <w:r w:rsidR="00A95EBD" w:rsidRPr="00FE09D2">
        <w:rPr>
          <w:rFonts w:ascii="Arial" w:hAnsi="Arial" w:cs="Arial"/>
          <w:sz w:val="20"/>
          <w:szCs w:val="20"/>
        </w:rPr>
        <w:t>povinen ve vztahu k </w:t>
      </w:r>
      <w:r w:rsidR="00A95EBD">
        <w:rPr>
          <w:rFonts w:ascii="Arial" w:hAnsi="Arial" w:cs="Arial"/>
          <w:sz w:val="20"/>
          <w:szCs w:val="20"/>
        </w:rPr>
        <w:t>nabyvateli</w:t>
      </w:r>
      <w:r w:rsidR="00A95EBD" w:rsidRPr="00FE09D2">
        <w:rPr>
          <w:rFonts w:ascii="Arial" w:hAnsi="Arial" w:cs="Arial"/>
          <w:sz w:val="20"/>
          <w:szCs w:val="20"/>
        </w:rPr>
        <w:t xml:space="preserve"> plnit veškeré závazky, které pro něj vyplývají z ustanovení čl. </w:t>
      </w:r>
      <w:r w:rsidR="00F250B0">
        <w:rPr>
          <w:rFonts w:ascii="Arial" w:hAnsi="Arial" w:cs="Arial"/>
          <w:sz w:val="20"/>
          <w:szCs w:val="20"/>
        </w:rPr>
        <w:t>XII</w:t>
      </w:r>
      <w:r w:rsidR="00A95EBD" w:rsidRPr="00FE09D2">
        <w:rPr>
          <w:rFonts w:ascii="Arial" w:hAnsi="Arial" w:cs="Arial"/>
          <w:sz w:val="20"/>
          <w:szCs w:val="20"/>
        </w:rPr>
        <w:t xml:space="preserve"> odst. </w:t>
      </w:r>
      <w:r w:rsidR="00F250B0">
        <w:rPr>
          <w:rFonts w:ascii="Arial" w:hAnsi="Arial" w:cs="Arial"/>
          <w:sz w:val="20"/>
          <w:szCs w:val="20"/>
        </w:rPr>
        <w:t>2</w:t>
      </w:r>
      <w:r w:rsidR="00A95EBD" w:rsidRPr="00FE09D2">
        <w:rPr>
          <w:rFonts w:ascii="Arial" w:hAnsi="Arial" w:cs="Arial"/>
          <w:sz w:val="20"/>
          <w:szCs w:val="20"/>
        </w:rPr>
        <w:t xml:space="preserve"> smlouvy o dílo na zhotovení stavby č.j. objednatele </w:t>
      </w:r>
      <w:r w:rsidR="00E3659E">
        <w:rPr>
          <w:rFonts w:ascii="Arial" w:hAnsi="Arial" w:cs="Arial"/>
          <w:sz w:val="20"/>
          <w:szCs w:val="20"/>
        </w:rPr>
        <w:t>585-2024-537207</w:t>
      </w:r>
      <w:r w:rsidR="00A95EBD" w:rsidRPr="00FE09D2">
        <w:rPr>
          <w:rFonts w:ascii="Arial" w:hAnsi="Arial" w:cs="Arial"/>
          <w:sz w:val="20"/>
          <w:szCs w:val="20"/>
        </w:rPr>
        <w:t xml:space="preserve"> č.j. zhotovitele</w:t>
      </w:r>
      <w:r w:rsidR="00E3659E">
        <w:rPr>
          <w:rFonts w:ascii="Arial" w:hAnsi="Arial" w:cs="Arial"/>
          <w:sz w:val="20"/>
          <w:szCs w:val="20"/>
        </w:rPr>
        <w:t xml:space="preserve"> 856TB/FB/2024/030/FBIA</w:t>
      </w:r>
      <w:r w:rsidR="00A95EBD" w:rsidRPr="00FE09D2">
        <w:rPr>
          <w:rFonts w:ascii="Arial" w:hAnsi="Arial" w:cs="Arial"/>
          <w:sz w:val="20"/>
          <w:szCs w:val="20"/>
        </w:rPr>
        <w:t xml:space="preserve"> uzavřené dne</w:t>
      </w:r>
      <w:r w:rsidR="00E3659E">
        <w:rPr>
          <w:rFonts w:ascii="Arial" w:hAnsi="Arial" w:cs="Arial"/>
          <w:sz w:val="20"/>
          <w:szCs w:val="20"/>
        </w:rPr>
        <w:t xml:space="preserve"> 12.7.2024</w:t>
      </w:r>
      <w:r w:rsidR="00A95EBD" w:rsidRPr="00FE09D2">
        <w:rPr>
          <w:rFonts w:ascii="Arial" w:hAnsi="Arial" w:cs="Arial"/>
          <w:sz w:val="20"/>
          <w:szCs w:val="20"/>
        </w:rPr>
        <w:t xml:space="preserve">, zejména závazky týkající se záruční doby, záruky na jakost a uplatnění a odstranění vad díla. </w:t>
      </w:r>
      <w:r w:rsidR="00A95EBD">
        <w:rPr>
          <w:rFonts w:ascii="Arial" w:hAnsi="Arial" w:cs="Arial"/>
          <w:sz w:val="20"/>
          <w:szCs w:val="20"/>
        </w:rPr>
        <w:t xml:space="preserve">Nabyvatel nabytím účinnosti této smlouvy vstupuje do práv a povinností objednatele z výše uvedené smlouvy o dílo.  Smlouva o dílo č. </w:t>
      </w:r>
      <w:r w:rsidR="00E3659E">
        <w:rPr>
          <w:rFonts w:ascii="Arial" w:hAnsi="Arial" w:cs="Arial"/>
          <w:sz w:val="20"/>
          <w:szCs w:val="20"/>
        </w:rPr>
        <w:t>585-2024-537207</w:t>
      </w:r>
      <w:r w:rsidR="00A95EB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95EBD">
        <w:rPr>
          <w:rFonts w:ascii="Arial" w:hAnsi="Arial" w:cs="Arial"/>
          <w:sz w:val="20"/>
          <w:szCs w:val="20"/>
        </w:rPr>
        <w:t>tvoří</w:t>
      </w:r>
      <w:proofErr w:type="gramEnd"/>
      <w:r w:rsidR="00A95EBD">
        <w:rPr>
          <w:rFonts w:ascii="Arial" w:hAnsi="Arial" w:cs="Arial"/>
          <w:sz w:val="20"/>
          <w:szCs w:val="20"/>
        </w:rPr>
        <w:t xml:space="preserve"> přílohu protokolu o předání a převzetí s veškerou </w:t>
      </w:r>
      <w:r w:rsidR="00A95EBD">
        <w:rPr>
          <w:rFonts w:ascii="Arial" w:hAnsi="Arial" w:cs="Arial"/>
          <w:sz w:val="20"/>
          <w:szCs w:val="20"/>
        </w:rPr>
        <w:lastRenderedPageBreak/>
        <w:t xml:space="preserve">dokumentaci vázající se k jejímu plnění. </w:t>
      </w:r>
      <w:r w:rsidR="00A95EBD" w:rsidRPr="00387735">
        <w:rPr>
          <w:rFonts w:ascii="Arial" w:hAnsi="Arial" w:cs="Arial"/>
          <w:sz w:val="20"/>
          <w:szCs w:val="20"/>
        </w:rPr>
        <w:t>Zhotovitel podpisem výše uvedené smlouvy souhlasil s přechodem uvedených práv objednatele na nabyvatele</w:t>
      </w:r>
      <w:r w:rsidR="00A95EBD">
        <w:rPr>
          <w:rFonts w:ascii="Arial" w:hAnsi="Arial" w:cs="Arial"/>
          <w:sz w:val="20"/>
          <w:szCs w:val="20"/>
        </w:rPr>
        <w:t xml:space="preserve">. Nabyvatel bez zbytečného odkladu po nabytí účinnosti této smlouvy informuje zhotovitele o přechodu práv a povinností objednatele ze smlouvy o dílo na nabyvatele. </w:t>
      </w:r>
    </w:p>
    <w:p w14:paraId="5A6A2FB7" w14:textId="0753AC08" w:rsidR="00903810" w:rsidRDefault="005F2D2B" w:rsidP="005F2D2B">
      <w:pPr>
        <w:pStyle w:val="Odstavecseseznamem"/>
        <w:suppressAutoHyphens w:val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A95EBD" w:rsidRPr="00676170">
        <w:rPr>
          <w:rFonts w:ascii="Arial" w:hAnsi="Arial" w:cs="Arial"/>
          <w:sz w:val="20"/>
          <w:szCs w:val="20"/>
        </w:rPr>
        <w:t xml:space="preserve">Nabyvatel, na kterého je uskutečněn převod </w:t>
      </w:r>
      <w:r w:rsidR="00930F4F">
        <w:rPr>
          <w:rFonts w:ascii="Arial" w:hAnsi="Arial" w:cs="Arial"/>
          <w:sz w:val="20"/>
          <w:szCs w:val="20"/>
        </w:rPr>
        <w:t xml:space="preserve">LBK 47 s cestou VC9AB v k.ú. </w:t>
      </w:r>
      <w:proofErr w:type="spellStart"/>
      <w:r w:rsidR="00930F4F">
        <w:rPr>
          <w:rFonts w:ascii="Arial" w:hAnsi="Arial" w:cs="Arial"/>
          <w:sz w:val="20"/>
          <w:szCs w:val="20"/>
        </w:rPr>
        <w:t>Chodeč</w:t>
      </w:r>
      <w:proofErr w:type="spellEnd"/>
      <w:r w:rsidR="00930F4F">
        <w:rPr>
          <w:rFonts w:ascii="Arial" w:hAnsi="Arial" w:cs="Arial"/>
          <w:sz w:val="20"/>
          <w:szCs w:val="20"/>
        </w:rPr>
        <w:t xml:space="preserve"> u Mělníka</w:t>
      </w:r>
      <w:r w:rsidR="00A95EBD" w:rsidRPr="00676170">
        <w:rPr>
          <w:rFonts w:ascii="Arial" w:hAnsi="Arial" w:cs="Arial"/>
          <w:sz w:val="20"/>
          <w:szCs w:val="20"/>
        </w:rPr>
        <w:t xml:space="preserve">, je povinen dodržet závaznou lhůtu vázanosti na účel, tzn. neměnný účel používání zařízení pořízeného v rámci </w:t>
      </w:r>
      <w:r w:rsidR="00930F4F">
        <w:rPr>
          <w:rFonts w:ascii="Arial" w:hAnsi="Arial" w:cs="Arial"/>
          <w:sz w:val="20"/>
          <w:szCs w:val="20"/>
        </w:rPr>
        <w:t xml:space="preserve">dotačního titulu LBK 47 s cestou v k.ú. </w:t>
      </w:r>
      <w:proofErr w:type="spellStart"/>
      <w:r w:rsidR="00930F4F">
        <w:rPr>
          <w:rFonts w:ascii="Arial" w:hAnsi="Arial" w:cs="Arial"/>
          <w:sz w:val="20"/>
          <w:szCs w:val="20"/>
        </w:rPr>
        <w:t>Chodeč</w:t>
      </w:r>
      <w:proofErr w:type="spellEnd"/>
      <w:r w:rsidR="00930F4F">
        <w:rPr>
          <w:rFonts w:ascii="Arial" w:hAnsi="Arial" w:cs="Arial"/>
          <w:sz w:val="20"/>
          <w:szCs w:val="20"/>
        </w:rPr>
        <w:t xml:space="preserve"> u Mělníka.</w:t>
      </w:r>
      <w:r w:rsidR="00A95EBD" w:rsidRPr="00676170">
        <w:rPr>
          <w:rFonts w:ascii="Arial" w:hAnsi="Arial" w:cs="Arial"/>
          <w:sz w:val="20"/>
          <w:szCs w:val="20"/>
        </w:rPr>
        <w:t xml:space="preserve"> Lhůta činí </w:t>
      </w:r>
      <w:r w:rsidR="00930F4F">
        <w:rPr>
          <w:rFonts w:ascii="Arial" w:hAnsi="Arial" w:cs="Arial"/>
          <w:sz w:val="20"/>
          <w:szCs w:val="20"/>
        </w:rPr>
        <w:t xml:space="preserve">5 </w:t>
      </w:r>
      <w:r w:rsidR="00A95EBD" w:rsidRPr="00676170">
        <w:rPr>
          <w:rFonts w:ascii="Arial" w:hAnsi="Arial" w:cs="Arial"/>
          <w:sz w:val="20"/>
          <w:szCs w:val="20"/>
        </w:rPr>
        <w:t>let od data převedení finančních prostředků určených na dotaci (konečné platby) na účet příjemce dotace z</w:t>
      </w:r>
      <w:r w:rsidR="00930F4F">
        <w:rPr>
          <w:rFonts w:ascii="Arial" w:hAnsi="Arial" w:cs="Arial"/>
          <w:sz w:val="20"/>
          <w:szCs w:val="20"/>
        </w:rPr>
        <w:t xml:space="preserve"> dotačního titulu LBK 47 s cestou v k.ú. </w:t>
      </w:r>
      <w:proofErr w:type="spellStart"/>
      <w:r w:rsidR="00930F4F">
        <w:rPr>
          <w:rFonts w:ascii="Arial" w:hAnsi="Arial" w:cs="Arial"/>
          <w:sz w:val="20"/>
          <w:szCs w:val="20"/>
        </w:rPr>
        <w:t>Chodeč</w:t>
      </w:r>
      <w:proofErr w:type="spellEnd"/>
      <w:r w:rsidR="00930F4F">
        <w:rPr>
          <w:rFonts w:ascii="Arial" w:hAnsi="Arial" w:cs="Arial"/>
          <w:sz w:val="20"/>
          <w:szCs w:val="20"/>
        </w:rPr>
        <w:t xml:space="preserve"> u Mělníka</w:t>
      </w:r>
      <w:r w:rsidR="00A95EBD" w:rsidRPr="00930F4F">
        <w:rPr>
          <w:rFonts w:ascii="Arial" w:hAnsi="Arial" w:cs="Arial"/>
          <w:sz w:val="20"/>
          <w:szCs w:val="20"/>
        </w:rPr>
        <w:t xml:space="preserve">, na základě </w:t>
      </w:r>
      <w:r w:rsidR="00903810">
        <w:rPr>
          <w:rFonts w:ascii="Arial" w:hAnsi="Arial" w:cs="Arial"/>
          <w:sz w:val="20"/>
          <w:szCs w:val="20"/>
        </w:rPr>
        <w:t>číslo registrace PRV 24/000/</w:t>
      </w:r>
      <w:proofErr w:type="gramStart"/>
      <w:r w:rsidR="00903810">
        <w:rPr>
          <w:rFonts w:ascii="Arial" w:hAnsi="Arial" w:cs="Arial"/>
          <w:sz w:val="20"/>
          <w:szCs w:val="20"/>
        </w:rPr>
        <w:t>0431b</w:t>
      </w:r>
      <w:proofErr w:type="gramEnd"/>
      <w:r w:rsidR="00903810">
        <w:rPr>
          <w:rFonts w:ascii="Arial" w:hAnsi="Arial" w:cs="Arial"/>
          <w:sz w:val="20"/>
          <w:szCs w:val="20"/>
        </w:rPr>
        <w:t xml:space="preserve">/120/000025 </w:t>
      </w:r>
      <w:r w:rsidR="00F250B0">
        <w:rPr>
          <w:rFonts w:ascii="Arial" w:hAnsi="Arial" w:cs="Arial"/>
          <w:sz w:val="20"/>
          <w:szCs w:val="20"/>
        </w:rPr>
        <w:t>Dohoda</w:t>
      </w:r>
      <w:r w:rsidR="00903810">
        <w:rPr>
          <w:rFonts w:ascii="Arial" w:hAnsi="Arial" w:cs="Arial"/>
          <w:sz w:val="20"/>
          <w:szCs w:val="20"/>
        </w:rPr>
        <w:t xml:space="preserve"> uzavřená dne 5.1</w:t>
      </w:r>
      <w:r w:rsidR="00F250B0">
        <w:rPr>
          <w:rFonts w:ascii="Arial" w:hAnsi="Arial" w:cs="Arial"/>
          <w:sz w:val="20"/>
          <w:szCs w:val="20"/>
        </w:rPr>
        <w:t>2</w:t>
      </w:r>
      <w:r w:rsidR="00903810">
        <w:rPr>
          <w:rFonts w:ascii="Arial" w:hAnsi="Arial" w:cs="Arial"/>
          <w:sz w:val="20"/>
          <w:szCs w:val="20"/>
        </w:rPr>
        <w:t xml:space="preserve">.2024 mezi SPÚ a SZIF Praha č.j. </w:t>
      </w:r>
      <w:r w:rsidR="00F250B0">
        <w:rPr>
          <w:rFonts w:ascii="Arial" w:hAnsi="Arial" w:cs="Arial"/>
          <w:sz w:val="20"/>
          <w:szCs w:val="20"/>
        </w:rPr>
        <w:t>SPU 511305/2024.</w:t>
      </w:r>
    </w:p>
    <w:p w14:paraId="36B557D2" w14:textId="60DC87D4" w:rsidR="009068A2" w:rsidRPr="00A62A2E" w:rsidRDefault="00F250B0" w:rsidP="005F2D2B">
      <w:pPr>
        <w:pStyle w:val="Odstavecseseznamem"/>
        <w:suppressAutoHyphens w:val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62A2E">
        <w:rPr>
          <w:rFonts w:ascii="Arial" w:hAnsi="Arial" w:cs="Arial"/>
          <w:sz w:val="20"/>
          <w:szCs w:val="20"/>
        </w:rPr>
        <w:t>P</w:t>
      </w:r>
      <w:r w:rsidR="00A95EBD" w:rsidRPr="00676170">
        <w:rPr>
          <w:rFonts w:ascii="Arial" w:hAnsi="Arial" w:cs="Arial"/>
          <w:sz w:val="20"/>
          <w:szCs w:val="20"/>
        </w:rPr>
        <w:t>o dobu vázanosti zařízení pořízeného v </w:t>
      </w:r>
      <w:r w:rsidR="00A95EBD" w:rsidRPr="004F36AC">
        <w:rPr>
          <w:rFonts w:ascii="Arial" w:hAnsi="Arial" w:cs="Arial"/>
          <w:sz w:val="20"/>
          <w:szCs w:val="20"/>
        </w:rPr>
        <w:t xml:space="preserve">rámci </w:t>
      </w:r>
      <w:r w:rsidR="00A95EBD" w:rsidRPr="00A62A2E">
        <w:rPr>
          <w:rFonts w:ascii="Arial" w:hAnsi="Arial" w:cs="Arial"/>
          <w:sz w:val="20"/>
          <w:szCs w:val="20"/>
        </w:rPr>
        <w:t>dotačního titulu</w:t>
      </w:r>
      <w:r w:rsidR="004F36AC">
        <w:rPr>
          <w:rFonts w:ascii="Arial" w:hAnsi="Arial" w:cs="Arial"/>
          <w:sz w:val="20"/>
          <w:szCs w:val="20"/>
        </w:rPr>
        <w:t xml:space="preserve"> LBK 47 s cestou v k.ú. </w:t>
      </w:r>
      <w:proofErr w:type="spellStart"/>
      <w:r w:rsidR="004F36AC">
        <w:rPr>
          <w:rFonts w:ascii="Arial" w:hAnsi="Arial" w:cs="Arial"/>
          <w:sz w:val="20"/>
          <w:szCs w:val="20"/>
        </w:rPr>
        <w:t>Chodeč</w:t>
      </w:r>
      <w:proofErr w:type="spellEnd"/>
      <w:r w:rsidR="004F36AC">
        <w:rPr>
          <w:rFonts w:ascii="Arial" w:hAnsi="Arial" w:cs="Arial"/>
          <w:sz w:val="20"/>
          <w:szCs w:val="20"/>
        </w:rPr>
        <w:t xml:space="preserve"> u Mělníka </w:t>
      </w:r>
      <w:r w:rsidR="00A95EBD" w:rsidRPr="00676170">
        <w:rPr>
          <w:rFonts w:ascii="Arial" w:hAnsi="Arial" w:cs="Arial"/>
          <w:sz w:val="20"/>
          <w:szCs w:val="20"/>
        </w:rPr>
        <w:t>je vhodné, aby toto zařízení vlastník pojistil.</w:t>
      </w:r>
    </w:p>
    <w:p w14:paraId="65F6F30C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4DD6F271" w14:textId="77777777" w:rsidR="00A62A2E" w:rsidRPr="00266D6D" w:rsidRDefault="00F66E72" w:rsidP="005F2D2B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2A2E">
        <w:rPr>
          <w:rFonts w:ascii="Arial" w:hAnsi="Arial" w:cs="Arial"/>
          <w:sz w:val="20"/>
          <w:szCs w:val="20"/>
        </w:rPr>
        <w:t>1</w:t>
      </w:r>
      <w:r w:rsidR="003316EA" w:rsidRPr="00A62A2E">
        <w:rPr>
          <w:rFonts w:ascii="Arial" w:hAnsi="Arial" w:cs="Arial"/>
          <w:sz w:val="20"/>
          <w:szCs w:val="20"/>
        </w:rPr>
        <w:t>.</w:t>
      </w:r>
      <w:r w:rsidR="005F2D2B">
        <w:rPr>
          <w:rFonts w:ascii="Arial" w:hAnsi="Arial" w:cs="Arial"/>
          <w:sz w:val="20"/>
          <w:szCs w:val="20"/>
        </w:rPr>
        <w:tab/>
      </w:r>
      <w:r w:rsidR="00A62A2E" w:rsidRPr="00685FE0">
        <w:rPr>
          <w:rFonts w:ascii="Arial" w:hAnsi="Arial" w:cs="Arial"/>
          <w:sz w:val="20"/>
          <w:szCs w:val="20"/>
        </w:rPr>
        <w:t xml:space="preserve">Obě smluvní strany shodně prohlašují, že jim nejsou známy žádné skutečnosti, které by uzavření smlouvy bránily. </w:t>
      </w:r>
    </w:p>
    <w:p w14:paraId="4A1FC625" w14:textId="77777777" w:rsidR="0037157C" w:rsidRPr="00A62A2E" w:rsidRDefault="00A62A2E" w:rsidP="005F2D2B">
      <w:pPr>
        <w:ind w:left="284"/>
        <w:jc w:val="both"/>
        <w:rPr>
          <w:rFonts w:ascii="Arial" w:hAnsi="Arial" w:cs="Arial"/>
          <w:sz w:val="20"/>
          <w:szCs w:val="20"/>
        </w:rPr>
      </w:pPr>
      <w:r w:rsidRPr="00A62A2E">
        <w:rPr>
          <w:rFonts w:ascii="Arial" w:hAnsi="Arial" w:cs="Arial"/>
          <w:sz w:val="20"/>
          <w:szCs w:val="20"/>
        </w:rPr>
        <w:t>Smluvní strany berou na vědomí, že na pozem</w:t>
      </w:r>
      <w:r w:rsidR="00FA6612">
        <w:rPr>
          <w:rFonts w:ascii="Arial" w:hAnsi="Arial" w:cs="Arial"/>
          <w:sz w:val="20"/>
          <w:szCs w:val="20"/>
        </w:rPr>
        <w:t>cích</w:t>
      </w:r>
      <w:r w:rsidRPr="00A62A2E">
        <w:rPr>
          <w:rFonts w:ascii="Arial" w:hAnsi="Arial" w:cs="Arial"/>
          <w:sz w:val="20"/>
          <w:szCs w:val="20"/>
        </w:rPr>
        <w:t xml:space="preserve"> může být umístěno vedení nebo zařízení veřejné technické infrastruktury, k nimž existují oprávnění, jakož i omezení užívání pozemk</w:t>
      </w:r>
      <w:r w:rsidR="00FA6612">
        <w:rPr>
          <w:rFonts w:ascii="Arial" w:hAnsi="Arial" w:cs="Arial"/>
          <w:sz w:val="20"/>
          <w:szCs w:val="20"/>
        </w:rPr>
        <w:t>ů</w:t>
      </w:r>
      <w:r w:rsidRPr="00A62A2E">
        <w:rPr>
          <w:rFonts w:ascii="Arial" w:hAnsi="Arial" w:cs="Arial"/>
          <w:sz w:val="20"/>
          <w:szCs w:val="20"/>
        </w:rPr>
        <w:t xml:space="preserve"> vzniklá podle předchozích právních úprav, která se nezapisovala do pozemkových knih, evidence nemovitostí, ani katastru nemovitostí. Tato omezení a oprávnění přecházejí na nabyvatele pozemk</w:t>
      </w:r>
      <w:r w:rsidR="00FA6612">
        <w:rPr>
          <w:rFonts w:ascii="Arial" w:hAnsi="Arial" w:cs="Arial"/>
          <w:sz w:val="20"/>
          <w:szCs w:val="20"/>
        </w:rPr>
        <w:t>ů</w:t>
      </w:r>
      <w:r w:rsidR="0037157C" w:rsidRPr="00A62A2E">
        <w:rPr>
          <w:rFonts w:ascii="Arial" w:hAnsi="Arial" w:cs="Arial"/>
          <w:sz w:val="20"/>
          <w:szCs w:val="20"/>
        </w:rPr>
        <w:t>.</w:t>
      </w:r>
    </w:p>
    <w:p w14:paraId="40016543" w14:textId="77777777" w:rsidR="001D73FD" w:rsidRPr="00D06D0F" w:rsidRDefault="001D73FD" w:rsidP="000B0AA7">
      <w:pPr>
        <w:pStyle w:val="VnitrniText"/>
      </w:pPr>
    </w:p>
    <w:p w14:paraId="1096A3CB" w14:textId="77777777" w:rsidR="0037157C" w:rsidRDefault="00C8663B" w:rsidP="00642DD9">
      <w:pPr>
        <w:pStyle w:val="VnitrniText"/>
        <w:ind w:left="284" w:hanging="284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E90AF1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7E165E29" w14:textId="77777777" w:rsidR="006B5A37" w:rsidRPr="00D06D0F" w:rsidRDefault="006B5A37" w:rsidP="00EB6C54">
      <w:pPr>
        <w:pStyle w:val="VnitrniText"/>
      </w:pPr>
    </w:p>
    <w:p w14:paraId="3B274CAC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6DB52D09" w14:textId="77777777" w:rsidR="006B5A37" w:rsidRPr="00685FE0" w:rsidRDefault="006B5A37" w:rsidP="005F2D2B">
      <w:pPr>
        <w:pStyle w:val="vnintext"/>
        <w:tabs>
          <w:tab w:val="clear" w:pos="709"/>
        </w:tabs>
        <w:ind w:left="284" w:hanging="284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1</w:t>
      </w:r>
      <w:r w:rsidR="005F2D2B">
        <w:rPr>
          <w:rFonts w:ascii="Arial" w:hAnsi="Arial" w:cs="Arial"/>
          <w:sz w:val="20"/>
        </w:rPr>
        <w:t>.</w:t>
      </w:r>
      <w:r w:rsidR="005F2D2B">
        <w:rPr>
          <w:rFonts w:ascii="Arial" w:hAnsi="Arial" w:cs="Arial"/>
          <w:sz w:val="20"/>
        </w:rPr>
        <w:tab/>
      </w:r>
      <w:r w:rsidRPr="00685FE0">
        <w:rPr>
          <w:rFonts w:ascii="Arial" w:hAnsi="Arial" w:cs="Arial"/>
          <w:sz w:val="20"/>
        </w:rPr>
        <w:t xml:space="preserve">Smluvní strany se dohodly, že převádějící podá návrh na vklad vlastnického práva na základě této smlouvy u příslušného katastrálního úřadu do </w:t>
      </w:r>
      <w:r w:rsidRPr="00685FE0">
        <w:rPr>
          <w:rFonts w:ascii="Arial" w:hAnsi="Arial" w:cs="Arial"/>
          <w:bCs/>
          <w:iCs/>
          <w:sz w:val="20"/>
        </w:rPr>
        <w:t>30</w:t>
      </w:r>
      <w:r w:rsidRPr="00685FE0">
        <w:rPr>
          <w:rFonts w:ascii="Arial" w:hAnsi="Arial" w:cs="Arial"/>
          <w:sz w:val="20"/>
        </w:rPr>
        <w:t xml:space="preserve"> dnů ode dne účinnosti této smlouvy.</w:t>
      </w:r>
    </w:p>
    <w:p w14:paraId="5A8DA835" w14:textId="77777777" w:rsidR="006B5A37" w:rsidRDefault="006B5A37" w:rsidP="005F2D2B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2</w:t>
      </w:r>
      <w:r w:rsidR="005F2D2B">
        <w:rPr>
          <w:rFonts w:ascii="Arial" w:hAnsi="Arial" w:cs="Arial"/>
          <w:sz w:val="20"/>
        </w:rPr>
        <w:t>.</w:t>
      </w:r>
      <w:r w:rsidR="005F2D2B">
        <w:rPr>
          <w:rFonts w:ascii="Arial" w:hAnsi="Arial" w:cs="Arial"/>
          <w:sz w:val="20"/>
        </w:rPr>
        <w:tab/>
      </w:r>
      <w:r w:rsidRPr="00685FE0">
        <w:rPr>
          <w:rFonts w:ascii="Arial" w:hAnsi="Arial" w:cs="Arial"/>
          <w:sz w:val="20"/>
        </w:rPr>
        <w:t xml:space="preserve">Převádějící je ve smyslu zákona č. 634/2004 Sb., o správních poplatcích, ve znění pozdějších předpisů, osvobozen od správních poplatků. </w:t>
      </w:r>
    </w:p>
    <w:p w14:paraId="077ACF80" w14:textId="77777777" w:rsidR="00F13861" w:rsidRPr="004D5A68" w:rsidRDefault="00F13861" w:rsidP="00F13861">
      <w:pPr>
        <w:pStyle w:val="vnintext"/>
        <w:spacing w:before="60"/>
        <w:ind w:left="284" w:hanging="284"/>
        <w:rPr>
          <w:rFonts w:ascii="Arial" w:hAnsi="Arial" w:cs="Arial"/>
          <w:sz w:val="20"/>
        </w:rPr>
      </w:pPr>
      <w:bookmarkStart w:id="1" w:name="_Hlk147479198"/>
      <w:r>
        <w:rPr>
          <w:rFonts w:ascii="Arial" w:hAnsi="Arial" w:cs="Arial"/>
          <w:sz w:val="20"/>
        </w:rPr>
        <w:t xml:space="preserve">3. </w:t>
      </w:r>
      <w:r w:rsidRPr="004D5A68">
        <w:rPr>
          <w:rFonts w:ascii="Arial" w:hAnsi="Arial" w:cs="Arial"/>
          <w:sz w:val="20"/>
        </w:rPr>
        <w:t xml:space="preserve">Nabyvatel prohlašuje, že majetkovou dispozici podle této smlouvy odsouhlasilo zastupitelstvo </w:t>
      </w:r>
      <w:r>
        <w:rPr>
          <w:rFonts w:ascii="Arial" w:hAnsi="Arial" w:cs="Arial"/>
          <w:sz w:val="20"/>
        </w:rPr>
        <w:t>Obec Vysoká</w:t>
      </w:r>
      <w:r w:rsidRPr="004D5A68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 17.10.2024</w:t>
      </w:r>
      <w:r w:rsidRPr="004D5A68">
        <w:rPr>
          <w:rFonts w:ascii="Arial" w:hAnsi="Arial" w:cs="Arial"/>
          <w:sz w:val="20"/>
        </w:rPr>
        <w:t xml:space="preserve"> usnesením č. </w:t>
      </w:r>
      <w:r>
        <w:rPr>
          <w:rFonts w:ascii="Arial" w:hAnsi="Arial" w:cs="Arial"/>
          <w:sz w:val="20"/>
        </w:rPr>
        <w:t>6</w:t>
      </w:r>
      <w:r w:rsidRPr="004D5A68">
        <w:rPr>
          <w:rFonts w:ascii="Arial" w:hAnsi="Arial" w:cs="Arial"/>
          <w:sz w:val="20"/>
        </w:rPr>
        <w:t>.</w:t>
      </w:r>
    </w:p>
    <w:bookmarkEnd w:id="1"/>
    <w:p w14:paraId="0D77179A" w14:textId="77777777" w:rsidR="00D4325F" w:rsidRPr="00D06D0F" w:rsidRDefault="00D4325F" w:rsidP="00D4325F"/>
    <w:p w14:paraId="2CD127F8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6EF71155" w14:textId="77777777" w:rsidR="006B5A37" w:rsidRPr="00685FE0" w:rsidRDefault="006B5A37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1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na základě dohody účastníků smlouvy.</w:t>
      </w:r>
    </w:p>
    <w:p w14:paraId="1760EB95" w14:textId="77777777" w:rsidR="006B5A37" w:rsidRPr="00685FE0" w:rsidRDefault="006B5A37" w:rsidP="000C6F03">
      <w:pPr>
        <w:pStyle w:val="adresa"/>
        <w:tabs>
          <w:tab w:val="clear" w:pos="3402"/>
          <w:tab w:val="clear" w:pos="6237"/>
          <w:tab w:val="left" w:pos="284"/>
        </w:tabs>
        <w:spacing w:before="60"/>
        <w:ind w:left="284" w:hanging="284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sz w:val="20"/>
          <w:szCs w:val="20"/>
        </w:rPr>
        <w:t>2</w:t>
      </w:r>
      <w:r w:rsidR="000C6F03">
        <w:rPr>
          <w:rFonts w:ascii="Arial" w:hAnsi="Arial" w:cs="Arial"/>
          <w:sz w:val="20"/>
          <w:szCs w:val="20"/>
        </w:rPr>
        <w:t>.</w:t>
      </w:r>
      <w:r w:rsidR="000C6F03">
        <w:rPr>
          <w:rFonts w:ascii="Arial" w:hAnsi="Arial" w:cs="Arial"/>
          <w:sz w:val="20"/>
          <w:szCs w:val="20"/>
        </w:rPr>
        <w:tab/>
      </w:r>
      <w:r w:rsidRPr="00685FE0">
        <w:rPr>
          <w:rFonts w:ascii="Arial" w:hAnsi="Arial" w:cs="Arial"/>
          <w:sz w:val="20"/>
          <w:szCs w:val="20"/>
        </w:rPr>
        <w:t xml:space="preserve">Tato smlouva je vyhotovena ve </w:t>
      </w:r>
      <w:r w:rsidR="004F36AC" w:rsidRPr="004F36AC">
        <w:rPr>
          <w:rFonts w:ascii="Arial" w:hAnsi="Arial" w:cs="Arial"/>
          <w:sz w:val="20"/>
          <w:szCs w:val="20"/>
        </w:rPr>
        <w:t>3</w:t>
      </w:r>
      <w:r w:rsidRPr="00685FE0">
        <w:rPr>
          <w:rFonts w:ascii="Arial" w:hAnsi="Arial" w:cs="Arial"/>
          <w:sz w:val="20"/>
          <w:szCs w:val="20"/>
        </w:rPr>
        <w:t xml:space="preserve"> stejnopisech, z nichž každý má platnost originálu. Nabyvatel </w:t>
      </w:r>
      <w:proofErr w:type="gramStart"/>
      <w:r w:rsidRPr="00685FE0">
        <w:rPr>
          <w:rFonts w:ascii="Arial" w:hAnsi="Arial" w:cs="Arial"/>
          <w:sz w:val="20"/>
          <w:szCs w:val="20"/>
        </w:rPr>
        <w:t>obdrží</w:t>
      </w:r>
      <w:proofErr w:type="gramEnd"/>
      <w:r w:rsidRPr="00685FE0">
        <w:rPr>
          <w:rFonts w:ascii="Arial" w:hAnsi="Arial" w:cs="Arial"/>
          <w:sz w:val="20"/>
          <w:szCs w:val="20"/>
        </w:rPr>
        <w:t xml:space="preserve"> </w:t>
      </w:r>
      <w:r w:rsidR="004F36AC">
        <w:rPr>
          <w:rFonts w:ascii="Arial" w:hAnsi="Arial" w:cs="Arial"/>
          <w:sz w:val="20"/>
          <w:szCs w:val="20"/>
        </w:rPr>
        <w:t>1</w:t>
      </w:r>
      <w:r w:rsidRPr="00685FE0">
        <w:rPr>
          <w:rFonts w:ascii="Arial" w:hAnsi="Arial" w:cs="Arial"/>
          <w:sz w:val="20"/>
          <w:szCs w:val="20"/>
        </w:rPr>
        <w:t xml:space="preserve"> stejnopis a ostatní jsou určeny pro převádějícího.</w:t>
      </w:r>
    </w:p>
    <w:p w14:paraId="7C3A76C9" w14:textId="77777777" w:rsidR="006B5A37" w:rsidRDefault="006B5A37" w:rsidP="000C6F03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FE0">
        <w:rPr>
          <w:rFonts w:ascii="Arial" w:hAnsi="Arial" w:cs="Arial"/>
          <w:bCs/>
          <w:sz w:val="20"/>
          <w:szCs w:val="20"/>
        </w:rPr>
        <w:t>3</w:t>
      </w:r>
      <w:r w:rsidR="000C6F03">
        <w:rPr>
          <w:rFonts w:ascii="Arial" w:hAnsi="Arial" w:cs="Arial"/>
          <w:bCs/>
          <w:sz w:val="20"/>
          <w:szCs w:val="20"/>
        </w:rPr>
        <w:t>.</w:t>
      </w:r>
      <w:r w:rsidR="000C6F03">
        <w:rPr>
          <w:rFonts w:ascii="Arial" w:hAnsi="Arial" w:cs="Arial"/>
          <w:bCs/>
          <w:sz w:val="20"/>
          <w:szCs w:val="20"/>
        </w:rPr>
        <w:tab/>
      </w:r>
      <w:r w:rsidRPr="00685FE0">
        <w:rPr>
          <w:rFonts w:ascii="Arial" w:hAnsi="Arial" w:cs="Arial"/>
          <w:bCs/>
          <w:sz w:val="20"/>
          <w:szCs w:val="20"/>
        </w:rPr>
        <w:t>Tato smlouva nabývá platnosti dnem podpisu oběma smluvními stranami a účinnosti dnem jejího uveřejnění v Registru smluv dle zákona č.</w:t>
      </w:r>
      <w:r w:rsidRPr="00685FE0">
        <w:rPr>
          <w:rFonts w:ascii="Arial" w:hAnsi="Arial" w:cs="Arial"/>
          <w:sz w:val="20"/>
          <w:szCs w:val="20"/>
        </w:rPr>
        <w:t xml:space="preserve"> 340/2015 Sb., o zvláštních podmínkách účinnosti některých smluv, uveřejňování těchto smluv a o registru smluv, ve znění pozdějších předpisů</w:t>
      </w:r>
      <w:r w:rsidRPr="00685FE0">
        <w:rPr>
          <w:rFonts w:ascii="Arial" w:hAnsi="Arial" w:cs="Arial"/>
          <w:bCs/>
          <w:sz w:val="20"/>
          <w:szCs w:val="20"/>
        </w:rPr>
        <w:t>.</w:t>
      </w:r>
      <w:r w:rsidRPr="00685FE0">
        <w:rPr>
          <w:rFonts w:ascii="Arial" w:hAnsi="Arial" w:cs="Arial"/>
          <w:sz w:val="20"/>
          <w:szCs w:val="20"/>
        </w:rPr>
        <w:t xml:space="preserve"> Smluvní strany se dohodly, že uveřejnění této smlouvy </w:t>
      </w:r>
      <w:r w:rsidRPr="00685FE0">
        <w:rPr>
          <w:rFonts w:ascii="Arial" w:hAnsi="Arial" w:cs="Arial"/>
          <w:bCs/>
          <w:sz w:val="20"/>
          <w:szCs w:val="20"/>
        </w:rPr>
        <w:t>v Registru smluv dle zákona č.</w:t>
      </w:r>
      <w:r w:rsidRPr="00685FE0">
        <w:rPr>
          <w:rFonts w:ascii="Arial" w:hAnsi="Arial" w:cs="Arial"/>
          <w:sz w:val="20"/>
          <w:szCs w:val="20"/>
        </w:rPr>
        <w:t xml:space="preserve"> 340/2015 Sb., o zvláštních podmínkách účinnosti některých smluv, ve znění pozdějších předpisů, zajistí Státní pozemkový úřad.</w:t>
      </w:r>
    </w:p>
    <w:p w14:paraId="69EBFE0B" w14:textId="77777777" w:rsidR="00651DC0" w:rsidRDefault="00651DC0" w:rsidP="00651DC0">
      <w:pPr>
        <w:pStyle w:val="VnitrniText"/>
      </w:pPr>
    </w:p>
    <w:p w14:paraId="1D7DE41C" w14:textId="77777777" w:rsidR="00092D97" w:rsidRPr="00D917C5" w:rsidRDefault="00AE4A60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IX.</w:t>
      </w:r>
    </w:p>
    <w:p w14:paraId="01A4C02C" w14:textId="77777777" w:rsidR="006B5A37" w:rsidRPr="00685FE0" w:rsidRDefault="006B5A37" w:rsidP="006B5A37">
      <w:pPr>
        <w:pStyle w:val="vnintext0"/>
        <w:ind w:firstLine="0"/>
        <w:rPr>
          <w:rFonts w:ascii="Arial" w:hAnsi="Arial" w:cs="Arial"/>
          <w:sz w:val="20"/>
        </w:rPr>
      </w:pPr>
      <w:r w:rsidRPr="00685FE0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86CFBBA" w14:textId="77777777" w:rsidR="00EB6C54" w:rsidRPr="006856AD" w:rsidRDefault="00EB6C54" w:rsidP="00230457">
      <w:pPr>
        <w:pStyle w:val="VnitrniText"/>
      </w:pPr>
    </w:p>
    <w:p w14:paraId="7801DAB2" w14:textId="77777777" w:rsidR="00230457" w:rsidRDefault="00230457" w:rsidP="003D6A83"/>
    <w:p w14:paraId="7A2FD8FB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5C2DEC" w14:paraId="1AB9ECBA" w14:textId="77777777" w:rsidTr="005C2DEC">
        <w:tc>
          <w:tcPr>
            <w:tcW w:w="4888" w:type="dxa"/>
            <w:hideMark/>
          </w:tcPr>
          <w:p w14:paraId="18A41696" w14:textId="3AD083C4" w:rsidR="005C2DEC" w:rsidRDefault="005C2DEC">
            <w:pPr>
              <w:pStyle w:val="VnitrniText"/>
              <w:ind w:firstLine="0"/>
            </w:pPr>
            <w:r>
              <w:t xml:space="preserve">V Praze </w:t>
            </w:r>
            <w:r w:rsidR="009E7023">
              <w:t>dne 10.3.2025</w:t>
            </w:r>
          </w:p>
        </w:tc>
        <w:tc>
          <w:tcPr>
            <w:tcW w:w="4889" w:type="dxa"/>
            <w:hideMark/>
          </w:tcPr>
          <w:p w14:paraId="6A0346A4" w14:textId="4FCD6BD3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F250B0">
              <w:t>e Vysoké</w:t>
            </w:r>
            <w:r>
              <w:t xml:space="preserve"> dne </w:t>
            </w:r>
            <w:r w:rsidR="00221136">
              <w:t>5.3.2025</w:t>
            </w:r>
          </w:p>
        </w:tc>
      </w:tr>
    </w:tbl>
    <w:p w14:paraId="69BB6BAB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561E5FA1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66477B87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1C90C960" w14:textId="77777777" w:rsidTr="005C2DEC">
        <w:tc>
          <w:tcPr>
            <w:tcW w:w="4888" w:type="dxa"/>
          </w:tcPr>
          <w:p w14:paraId="5F5AD44A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3A8F0A74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415481E4" w14:textId="77777777" w:rsidTr="005C2DEC">
        <w:tc>
          <w:tcPr>
            <w:tcW w:w="4888" w:type="dxa"/>
          </w:tcPr>
          <w:p w14:paraId="798A3B6B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47166604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14:paraId="5109DBB0" w14:textId="77777777" w:rsidTr="005C2DEC">
        <w:tc>
          <w:tcPr>
            <w:tcW w:w="4888" w:type="dxa"/>
          </w:tcPr>
          <w:p w14:paraId="6207EAE2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64CABEE2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Vysoká</w:t>
            </w:r>
          </w:p>
        </w:tc>
      </w:tr>
      <w:tr w:rsidR="005C2DEC" w14:paraId="7EBD99CE" w14:textId="77777777" w:rsidTr="005C2DEC">
        <w:tc>
          <w:tcPr>
            <w:tcW w:w="4888" w:type="dxa"/>
          </w:tcPr>
          <w:p w14:paraId="023DC4E2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16B6D2B1" w14:textId="1485852D" w:rsidR="005C2DEC" w:rsidRDefault="009E702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Bořivoj Štolba, starosta</w:t>
            </w:r>
          </w:p>
        </w:tc>
      </w:tr>
      <w:tr w:rsidR="005C2DEC" w14:paraId="57F13E67" w14:textId="77777777" w:rsidTr="005C2DEC">
        <w:tc>
          <w:tcPr>
            <w:tcW w:w="4888" w:type="dxa"/>
          </w:tcPr>
          <w:p w14:paraId="4AC26BF2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</w:tcPr>
          <w:p w14:paraId="1FB40359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DEC" w14:paraId="44E157BC" w14:textId="77777777" w:rsidTr="005C2DEC">
        <w:tc>
          <w:tcPr>
            <w:tcW w:w="4888" w:type="dxa"/>
          </w:tcPr>
          <w:p w14:paraId="5CF3E3C9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3768537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FAF73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2A94AF" w14:textId="77777777" w:rsidR="00326A1C" w:rsidRDefault="00326A1C" w:rsidP="00326A1C">
      <w:pPr>
        <w:pStyle w:val="VnitrniText"/>
        <w:ind w:firstLine="142"/>
      </w:pPr>
    </w:p>
    <w:p w14:paraId="1596E979" w14:textId="77777777" w:rsidR="00722C9B" w:rsidRPr="00D06D0F" w:rsidRDefault="00722C9B" w:rsidP="000B0AA7">
      <w:pPr>
        <w:pStyle w:val="VnitrniText"/>
      </w:pPr>
    </w:p>
    <w:p w14:paraId="40ACA0C0" w14:textId="77777777" w:rsidR="00F1451D" w:rsidRDefault="00F1451D" w:rsidP="00F1451D">
      <w:pPr>
        <w:pStyle w:val="VnitrniText"/>
        <w:ind w:firstLine="0"/>
      </w:pPr>
    </w:p>
    <w:p w14:paraId="399FC18A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lastRenderedPageBreak/>
        <w:t xml:space="preserve">Tato smlouva byla uveřejněna v registru smluv, vedeném dle zákona č. 340/2015 Sb., o registru smluv. </w:t>
      </w:r>
    </w:p>
    <w:p w14:paraId="40D0922A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1C843698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172F16D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48B599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70F8035D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5A5F201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7A420DDD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531AE114" w14:textId="77777777" w:rsidR="00F1451D" w:rsidRPr="00D06D0F" w:rsidRDefault="00F1451D" w:rsidP="00F1451D">
      <w:pPr>
        <w:pStyle w:val="VnitrniText"/>
        <w:ind w:firstLine="0"/>
      </w:pPr>
    </w:p>
    <w:p w14:paraId="4939979A" w14:textId="77777777" w:rsidR="00F1451D" w:rsidRDefault="00F1451D" w:rsidP="000B0AA7">
      <w:pPr>
        <w:pStyle w:val="VnitrniText"/>
        <w:ind w:firstLine="0"/>
      </w:pPr>
    </w:p>
    <w:p w14:paraId="7A829CE2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7FC9862E" w14:textId="0FBE42EC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B4878">
        <w:t xml:space="preserve"> </w:t>
      </w:r>
      <w:r w:rsidRPr="00B4772C">
        <w:t xml:space="preserve">vedoucí oddělení převodu majetku státu pro </w:t>
      </w:r>
      <w:proofErr w:type="spellStart"/>
      <w:r w:rsidRPr="00B4772C">
        <w:t>Stř</w:t>
      </w:r>
      <w:proofErr w:type="spellEnd"/>
      <w:r w:rsidR="00F250B0">
        <w:t>.</w:t>
      </w:r>
      <w:r w:rsidRPr="00B4772C">
        <w:t xml:space="preserve"> kraj a </w:t>
      </w:r>
      <w:proofErr w:type="spellStart"/>
      <w:r w:rsidRPr="00B4772C">
        <w:t>hl.m</w:t>
      </w:r>
      <w:proofErr w:type="spellEnd"/>
      <w:r w:rsidRPr="00B4772C">
        <w:t>. Praha</w:t>
      </w:r>
    </w:p>
    <w:p w14:paraId="712D8B1E" w14:textId="77777777" w:rsidR="00B4772C" w:rsidRPr="00B4772C" w:rsidRDefault="00B4772C" w:rsidP="00B4772C">
      <w:pPr>
        <w:pStyle w:val="VnitrniText"/>
        <w:ind w:firstLine="0"/>
      </w:pPr>
      <w:r w:rsidRPr="00B4772C">
        <w:t>Ing. Michaela Svobodová</w:t>
      </w:r>
    </w:p>
    <w:p w14:paraId="7B3EFA34" w14:textId="77777777" w:rsidR="00CB4878" w:rsidRDefault="00CB4878" w:rsidP="00CB4878">
      <w:pPr>
        <w:pStyle w:val="VnitrniText"/>
        <w:ind w:firstLine="0"/>
      </w:pPr>
    </w:p>
    <w:p w14:paraId="3A1183EB" w14:textId="77777777" w:rsidR="00CB4878" w:rsidRDefault="00CB4878" w:rsidP="00CB4878">
      <w:pPr>
        <w:pStyle w:val="VnitrniText"/>
        <w:ind w:firstLine="0"/>
      </w:pPr>
    </w:p>
    <w:p w14:paraId="4CFE9EEB" w14:textId="77777777" w:rsidR="00CB4878" w:rsidRDefault="00CB4878" w:rsidP="00CB4878">
      <w:pPr>
        <w:pStyle w:val="VnitrniText"/>
        <w:ind w:firstLine="0"/>
      </w:pPr>
    </w:p>
    <w:p w14:paraId="5F238153" w14:textId="77777777" w:rsidR="00CB4878" w:rsidRDefault="00CB4878" w:rsidP="00CB4878">
      <w:pPr>
        <w:pStyle w:val="VnitrniText"/>
        <w:ind w:firstLine="0"/>
      </w:pPr>
      <w:r>
        <w:t>.................................................</w:t>
      </w:r>
    </w:p>
    <w:p w14:paraId="702532D4" w14:textId="77777777" w:rsidR="00CB4878" w:rsidRDefault="00CB4878" w:rsidP="00CB4878">
      <w:pPr>
        <w:pStyle w:val="VnitrniText"/>
        <w:ind w:firstLine="0"/>
      </w:pPr>
      <w:r>
        <w:tab/>
        <w:t>podpis</w:t>
      </w:r>
    </w:p>
    <w:p w14:paraId="5E1BDB83" w14:textId="77777777" w:rsidR="00CB4878" w:rsidRDefault="00CB4878" w:rsidP="00CB4878">
      <w:pPr>
        <w:pStyle w:val="VnitrniText"/>
        <w:ind w:firstLine="0"/>
      </w:pPr>
    </w:p>
    <w:p w14:paraId="6DC10B07" w14:textId="77777777" w:rsidR="00CB4878" w:rsidRDefault="00CB4878" w:rsidP="00CB4878">
      <w:pPr>
        <w:pStyle w:val="VnitrniText"/>
        <w:ind w:firstLine="0"/>
      </w:pPr>
    </w:p>
    <w:p w14:paraId="21D0EE9A" w14:textId="77777777" w:rsidR="00CB4878" w:rsidRDefault="00CB4878" w:rsidP="00CB4878">
      <w:pPr>
        <w:pStyle w:val="VnitrniText"/>
        <w:ind w:firstLine="0"/>
      </w:pPr>
      <w:r>
        <w:t>Za správnost KPÚ: Bc. Jana Machulková</w:t>
      </w:r>
    </w:p>
    <w:p w14:paraId="675E4284" w14:textId="77777777" w:rsidR="00CB4878" w:rsidRDefault="00CB4878" w:rsidP="00CB4878">
      <w:pPr>
        <w:pStyle w:val="VnitrniText"/>
        <w:ind w:firstLine="0"/>
      </w:pPr>
    </w:p>
    <w:p w14:paraId="262AA11D" w14:textId="77777777" w:rsidR="00CB4878" w:rsidRDefault="00CB4878" w:rsidP="00CB4878">
      <w:pPr>
        <w:pStyle w:val="VnitrniText"/>
        <w:ind w:firstLine="0"/>
      </w:pPr>
    </w:p>
    <w:p w14:paraId="4C73A33C" w14:textId="77777777" w:rsidR="00CB4878" w:rsidRDefault="00CB4878" w:rsidP="00CB4878">
      <w:pPr>
        <w:pStyle w:val="VnitrniText"/>
        <w:ind w:firstLine="0"/>
      </w:pPr>
    </w:p>
    <w:p w14:paraId="0B4A1C80" w14:textId="77777777" w:rsidR="00CB4878" w:rsidRDefault="00CB4878" w:rsidP="00CB4878">
      <w:pPr>
        <w:pStyle w:val="VnitrniText"/>
        <w:ind w:firstLine="0"/>
      </w:pPr>
      <w:r>
        <w:t>.................................................</w:t>
      </w:r>
    </w:p>
    <w:p w14:paraId="35341CF6" w14:textId="77777777" w:rsidR="00CB4878" w:rsidRDefault="00CB4878" w:rsidP="00CB4878">
      <w:pPr>
        <w:pStyle w:val="VnitrniText"/>
        <w:ind w:firstLine="0"/>
      </w:pPr>
      <w:r>
        <w:tab/>
        <w:t>podpis</w:t>
      </w:r>
    </w:p>
    <w:p w14:paraId="2B47E7A1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70C3" w14:textId="77777777" w:rsidR="00BE3102" w:rsidRDefault="00BE3102">
      <w:r>
        <w:separator/>
      </w:r>
    </w:p>
  </w:endnote>
  <w:endnote w:type="continuationSeparator" w:id="0">
    <w:p w14:paraId="72ABF53D" w14:textId="77777777" w:rsidR="00BE3102" w:rsidRDefault="00BE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D24D" w14:textId="77777777" w:rsidR="00BE3102" w:rsidRDefault="00BE3102">
      <w:r>
        <w:separator/>
      </w:r>
    </w:p>
  </w:footnote>
  <w:footnote w:type="continuationSeparator" w:id="0">
    <w:p w14:paraId="5B5B8F99" w14:textId="77777777" w:rsidR="00BE3102" w:rsidRDefault="00BE3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5E75971"/>
    <w:multiLevelType w:val="hybridMultilevel"/>
    <w:tmpl w:val="FFFFFFFF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796C2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5343325">
    <w:abstractNumId w:val="0"/>
  </w:num>
  <w:num w:numId="2" w16cid:durableId="122696411">
    <w:abstractNumId w:val="1"/>
  </w:num>
  <w:num w:numId="3" w16cid:durableId="1167676081">
    <w:abstractNumId w:val="2"/>
  </w:num>
  <w:num w:numId="4" w16cid:durableId="569315559">
    <w:abstractNumId w:val="3"/>
  </w:num>
  <w:num w:numId="5" w16cid:durableId="539437095">
    <w:abstractNumId w:val="4"/>
  </w:num>
  <w:num w:numId="6" w16cid:durableId="411317583">
    <w:abstractNumId w:val="5"/>
  </w:num>
  <w:num w:numId="7" w16cid:durableId="15525021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314671">
    <w:abstractNumId w:val="8"/>
  </w:num>
  <w:num w:numId="9" w16cid:durableId="748649558">
    <w:abstractNumId w:val="6"/>
  </w:num>
  <w:num w:numId="10" w16cid:durableId="1142697759">
    <w:abstractNumId w:val="7"/>
  </w:num>
  <w:num w:numId="11" w16cid:durableId="1858928747">
    <w:abstractNumId w:val="10"/>
  </w:num>
  <w:num w:numId="12" w16cid:durableId="8852158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739527">
    <w:abstractNumId w:val="9"/>
  </w:num>
  <w:num w:numId="14" w16cid:durableId="1479496040">
    <w:abstractNumId w:val="12"/>
  </w:num>
  <w:num w:numId="15" w16cid:durableId="12114582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5978"/>
    <w:rsid w:val="000528C7"/>
    <w:rsid w:val="00057863"/>
    <w:rsid w:val="00057CBA"/>
    <w:rsid w:val="00060CE4"/>
    <w:rsid w:val="000713C9"/>
    <w:rsid w:val="000738A5"/>
    <w:rsid w:val="000746DA"/>
    <w:rsid w:val="00075977"/>
    <w:rsid w:val="00077DDA"/>
    <w:rsid w:val="00080A5E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C6F03"/>
    <w:rsid w:val="000D1676"/>
    <w:rsid w:val="000D609F"/>
    <w:rsid w:val="000E2F54"/>
    <w:rsid w:val="00100347"/>
    <w:rsid w:val="00101C6D"/>
    <w:rsid w:val="00103375"/>
    <w:rsid w:val="001067E4"/>
    <w:rsid w:val="00112F3C"/>
    <w:rsid w:val="00122A67"/>
    <w:rsid w:val="00122D7B"/>
    <w:rsid w:val="00126EEB"/>
    <w:rsid w:val="001274AE"/>
    <w:rsid w:val="00132361"/>
    <w:rsid w:val="00136F17"/>
    <w:rsid w:val="00140462"/>
    <w:rsid w:val="00143674"/>
    <w:rsid w:val="00150B15"/>
    <w:rsid w:val="00166E69"/>
    <w:rsid w:val="00170A4E"/>
    <w:rsid w:val="00173815"/>
    <w:rsid w:val="00181A52"/>
    <w:rsid w:val="0018318A"/>
    <w:rsid w:val="00190EA1"/>
    <w:rsid w:val="0019777F"/>
    <w:rsid w:val="001A00D9"/>
    <w:rsid w:val="001B0095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13082"/>
    <w:rsid w:val="002201BF"/>
    <w:rsid w:val="00220727"/>
    <w:rsid w:val="00221136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EB0"/>
    <w:rsid w:val="00260A8B"/>
    <w:rsid w:val="00261B6F"/>
    <w:rsid w:val="00263AF3"/>
    <w:rsid w:val="00266D6D"/>
    <w:rsid w:val="002774C6"/>
    <w:rsid w:val="002809F9"/>
    <w:rsid w:val="002832E4"/>
    <w:rsid w:val="00293BF9"/>
    <w:rsid w:val="0029466F"/>
    <w:rsid w:val="002B1AFF"/>
    <w:rsid w:val="002C0E97"/>
    <w:rsid w:val="002C4372"/>
    <w:rsid w:val="002C4C46"/>
    <w:rsid w:val="002C5ED7"/>
    <w:rsid w:val="002D7E4C"/>
    <w:rsid w:val="002E5E8D"/>
    <w:rsid w:val="002E7356"/>
    <w:rsid w:val="002E7B91"/>
    <w:rsid w:val="002F0280"/>
    <w:rsid w:val="002F47C2"/>
    <w:rsid w:val="002F4AE1"/>
    <w:rsid w:val="003011F2"/>
    <w:rsid w:val="003012FD"/>
    <w:rsid w:val="00302DA0"/>
    <w:rsid w:val="00303660"/>
    <w:rsid w:val="003057BA"/>
    <w:rsid w:val="0031058A"/>
    <w:rsid w:val="00311FF0"/>
    <w:rsid w:val="003224C9"/>
    <w:rsid w:val="00326A1C"/>
    <w:rsid w:val="003307CF"/>
    <w:rsid w:val="003316EA"/>
    <w:rsid w:val="00332E0F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8399F"/>
    <w:rsid w:val="00387735"/>
    <w:rsid w:val="00390A13"/>
    <w:rsid w:val="00394854"/>
    <w:rsid w:val="00394B2D"/>
    <w:rsid w:val="0039790A"/>
    <w:rsid w:val="003A432A"/>
    <w:rsid w:val="003B4003"/>
    <w:rsid w:val="003B7D4F"/>
    <w:rsid w:val="003C3CC3"/>
    <w:rsid w:val="003C4278"/>
    <w:rsid w:val="003C6600"/>
    <w:rsid w:val="003D4F2E"/>
    <w:rsid w:val="003D5654"/>
    <w:rsid w:val="003D6A83"/>
    <w:rsid w:val="003E5100"/>
    <w:rsid w:val="003F56C5"/>
    <w:rsid w:val="0040389C"/>
    <w:rsid w:val="0040415F"/>
    <w:rsid w:val="00411A01"/>
    <w:rsid w:val="004243BC"/>
    <w:rsid w:val="00425A7B"/>
    <w:rsid w:val="00425E6C"/>
    <w:rsid w:val="004316D8"/>
    <w:rsid w:val="0043238D"/>
    <w:rsid w:val="004331FA"/>
    <w:rsid w:val="00453ABD"/>
    <w:rsid w:val="00464535"/>
    <w:rsid w:val="00491D41"/>
    <w:rsid w:val="004A3F22"/>
    <w:rsid w:val="004A5163"/>
    <w:rsid w:val="004A5A92"/>
    <w:rsid w:val="004D5A68"/>
    <w:rsid w:val="004E11C1"/>
    <w:rsid w:val="004E368B"/>
    <w:rsid w:val="004E6319"/>
    <w:rsid w:val="004E708A"/>
    <w:rsid w:val="004F0F7F"/>
    <w:rsid w:val="004F36AC"/>
    <w:rsid w:val="004F57EF"/>
    <w:rsid w:val="005211F0"/>
    <w:rsid w:val="00526280"/>
    <w:rsid w:val="00556316"/>
    <w:rsid w:val="0056118C"/>
    <w:rsid w:val="00565DF2"/>
    <w:rsid w:val="00576EE6"/>
    <w:rsid w:val="00583F66"/>
    <w:rsid w:val="00584DF2"/>
    <w:rsid w:val="005A08E9"/>
    <w:rsid w:val="005B0329"/>
    <w:rsid w:val="005C2DEC"/>
    <w:rsid w:val="005C5AF6"/>
    <w:rsid w:val="005D1D35"/>
    <w:rsid w:val="005D5BA8"/>
    <w:rsid w:val="005D7048"/>
    <w:rsid w:val="005F2D2B"/>
    <w:rsid w:val="005F70A8"/>
    <w:rsid w:val="006069E5"/>
    <w:rsid w:val="0061270B"/>
    <w:rsid w:val="00614963"/>
    <w:rsid w:val="006178AD"/>
    <w:rsid w:val="006227AE"/>
    <w:rsid w:val="00634DC7"/>
    <w:rsid w:val="00637E47"/>
    <w:rsid w:val="00642DD9"/>
    <w:rsid w:val="006479E9"/>
    <w:rsid w:val="00651DC0"/>
    <w:rsid w:val="006536BE"/>
    <w:rsid w:val="00660772"/>
    <w:rsid w:val="00676170"/>
    <w:rsid w:val="00676CFF"/>
    <w:rsid w:val="006856AD"/>
    <w:rsid w:val="00685FE0"/>
    <w:rsid w:val="0068647E"/>
    <w:rsid w:val="006A6C71"/>
    <w:rsid w:val="006B2EB0"/>
    <w:rsid w:val="006B51FD"/>
    <w:rsid w:val="006B5A37"/>
    <w:rsid w:val="006C4C9A"/>
    <w:rsid w:val="006C54B0"/>
    <w:rsid w:val="006D086F"/>
    <w:rsid w:val="006D0D71"/>
    <w:rsid w:val="006D1A0C"/>
    <w:rsid w:val="006D5D8D"/>
    <w:rsid w:val="006D7824"/>
    <w:rsid w:val="006E1896"/>
    <w:rsid w:val="006E336F"/>
    <w:rsid w:val="006E33CA"/>
    <w:rsid w:val="006E59C4"/>
    <w:rsid w:val="006E70AE"/>
    <w:rsid w:val="006F29C4"/>
    <w:rsid w:val="006F6A1B"/>
    <w:rsid w:val="007057A6"/>
    <w:rsid w:val="0070591A"/>
    <w:rsid w:val="00711680"/>
    <w:rsid w:val="007153F9"/>
    <w:rsid w:val="0071659D"/>
    <w:rsid w:val="00722843"/>
    <w:rsid w:val="007228A4"/>
    <w:rsid w:val="00722C9B"/>
    <w:rsid w:val="00737777"/>
    <w:rsid w:val="007431BA"/>
    <w:rsid w:val="0074433C"/>
    <w:rsid w:val="00753420"/>
    <w:rsid w:val="007537E0"/>
    <w:rsid w:val="0076112C"/>
    <w:rsid w:val="00761B51"/>
    <w:rsid w:val="007633D3"/>
    <w:rsid w:val="007825A7"/>
    <w:rsid w:val="00784CED"/>
    <w:rsid w:val="0079412E"/>
    <w:rsid w:val="007A0E22"/>
    <w:rsid w:val="007B15D9"/>
    <w:rsid w:val="007D2608"/>
    <w:rsid w:val="007F0181"/>
    <w:rsid w:val="007F1B83"/>
    <w:rsid w:val="007F44FD"/>
    <w:rsid w:val="008046CB"/>
    <w:rsid w:val="00814339"/>
    <w:rsid w:val="008173E3"/>
    <w:rsid w:val="0082535B"/>
    <w:rsid w:val="00830569"/>
    <w:rsid w:val="00832287"/>
    <w:rsid w:val="008345B3"/>
    <w:rsid w:val="008445AB"/>
    <w:rsid w:val="008505AD"/>
    <w:rsid w:val="00854569"/>
    <w:rsid w:val="00864B6B"/>
    <w:rsid w:val="008851FA"/>
    <w:rsid w:val="008857B6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3810"/>
    <w:rsid w:val="009068A2"/>
    <w:rsid w:val="0092090F"/>
    <w:rsid w:val="00930423"/>
    <w:rsid w:val="00930F4F"/>
    <w:rsid w:val="009579A9"/>
    <w:rsid w:val="009603E5"/>
    <w:rsid w:val="00961005"/>
    <w:rsid w:val="00970C02"/>
    <w:rsid w:val="00970EE4"/>
    <w:rsid w:val="00971DFB"/>
    <w:rsid w:val="00974B19"/>
    <w:rsid w:val="00986FFC"/>
    <w:rsid w:val="009A30E2"/>
    <w:rsid w:val="009B091D"/>
    <w:rsid w:val="009B300A"/>
    <w:rsid w:val="009B6B30"/>
    <w:rsid w:val="009C2C86"/>
    <w:rsid w:val="009C6747"/>
    <w:rsid w:val="009C6A18"/>
    <w:rsid w:val="009D0DDC"/>
    <w:rsid w:val="009D1A88"/>
    <w:rsid w:val="009D2F14"/>
    <w:rsid w:val="009D4580"/>
    <w:rsid w:val="009E2AED"/>
    <w:rsid w:val="009E7023"/>
    <w:rsid w:val="009F1EB1"/>
    <w:rsid w:val="00A01666"/>
    <w:rsid w:val="00A03432"/>
    <w:rsid w:val="00A06BBA"/>
    <w:rsid w:val="00A07F0F"/>
    <w:rsid w:val="00A111A6"/>
    <w:rsid w:val="00A1698F"/>
    <w:rsid w:val="00A21E6E"/>
    <w:rsid w:val="00A3392F"/>
    <w:rsid w:val="00A34803"/>
    <w:rsid w:val="00A35A72"/>
    <w:rsid w:val="00A44D36"/>
    <w:rsid w:val="00A4751B"/>
    <w:rsid w:val="00A536BF"/>
    <w:rsid w:val="00A621EF"/>
    <w:rsid w:val="00A62A2E"/>
    <w:rsid w:val="00A66E77"/>
    <w:rsid w:val="00A7171C"/>
    <w:rsid w:val="00A73D4E"/>
    <w:rsid w:val="00A74BA3"/>
    <w:rsid w:val="00A7544F"/>
    <w:rsid w:val="00A7577B"/>
    <w:rsid w:val="00A80770"/>
    <w:rsid w:val="00A87810"/>
    <w:rsid w:val="00A93619"/>
    <w:rsid w:val="00A95EBD"/>
    <w:rsid w:val="00AA7507"/>
    <w:rsid w:val="00AC1FD6"/>
    <w:rsid w:val="00AC3EC5"/>
    <w:rsid w:val="00AC7C6B"/>
    <w:rsid w:val="00AD27BC"/>
    <w:rsid w:val="00AE18A9"/>
    <w:rsid w:val="00AE38E1"/>
    <w:rsid w:val="00AE4A60"/>
    <w:rsid w:val="00AF0382"/>
    <w:rsid w:val="00AF03B3"/>
    <w:rsid w:val="00AF2149"/>
    <w:rsid w:val="00AF3286"/>
    <w:rsid w:val="00AF5FDA"/>
    <w:rsid w:val="00B042AF"/>
    <w:rsid w:val="00B10575"/>
    <w:rsid w:val="00B211B3"/>
    <w:rsid w:val="00B23058"/>
    <w:rsid w:val="00B27B5C"/>
    <w:rsid w:val="00B42E23"/>
    <w:rsid w:val="00B4353D"/>
    <w:rsid w:val="00B4772C"/>
    <w:rsid w:val="00B47C55"/>
    <w:rsid w:val="00B51D84"/>
    <w:rsid w:val="00B6447E"/>
    <w:rsid w:val="00B757A7"/>
    <w:rsid w:val="00B9043A"/>
    <w:rsid w:val="00B9324E"/>
    <w:rsid w:val="00BA3C66"/>
    <w:rsid w:val="00BB37D9"/>
    <w:rsid w:val="00BB6A66"/>
    <w:rsid w:val="00BB6A7B"/>
    <w:rsid w:val="00BB6F6B"/>
    <w:rsid w:val="00BC17A6"/>
    <w:rsid w:val="00BC66CD"/>
    <w:rsid w:val="00BD1BBC"/>
    <w:rsid w:val="00BD2928"/>
    <w:rsid w:val="00BE3102"/>
    <w:rsid w:val="00C05330"/>
    <w:rsid w:val="00C10AEE"/>
    <w:rsid w:val="00C15F34"/>
    <w:rsid w:val="00C16C9A"/>
    <w:rsid w:val="00C221A2"/>
    <w:rsid w:val="00C22BC8"/>
    <w:rsid w:val="00C30794"/>
    <w:rsid w:val="00C31774"/>
    <w:rsid w:val="00C31FD5"/>
    <w:rsid w:val="00C37A15"/>
    <w:rsid w:val="00C45A9D"/>
    <w:rsid w:val="00C5272C"/>
    <w:rsid w:val="00C5620B"/>
    <w:rsid w:val="00C62E0E"/>
    <w:rsid w:val="00C6727E"/>
    <w:rsid w:val="00C708DD"/>
    <w:rsid w:val="00C75CFA"/>
    <w:rsid w:val="00C8663B"/>
    <w:rsid w:val="00C9018E"/>
    <w:rsid w:val="00CA4256"/>
    <w:rsid w:val="00CA5922"/>
    <w:rsid w:val="00CB35F4"/>
    <w:rsid w:val="00CB4878"/>
    <w:rsid w:val="00CB5F51"/>
    <w:rsid w:val="00CC1097"/>
    <w:rsid w:val="00CC4CBF"/>
    <w:rsid w:val="00CC5483"/>
    <w:rsid w:val="00CD0A4B"/>
    <w:rsid w:val="00CD194E"/>
    <w:rsid w:val="00CD348C"/>
    <w:rsid w:val="00CE10CA"/>
    <w:rsid w:val="00CE60A0"/>
    <w:rsid w:val="00CF17C0"/>
    <w:rsid w:val="00CF1CED"/>
    <w:rsid w:val="00D010C4"/>
    <w:rsid w:val="00D02FD6"/>
    <w:rsid w:val="00D06D0F"/>
    <w:rsid w:val="00D12D2D"/>
    <w:rsid w:val="00D153A5"/>
    <w:rsid w:val="00D17DB5"/>
    <w:rsid w:val="00D24258"/>
    <w:rsid w:val="00D36269"/>
    <w:rsid w:val="00D4325F"/>
    <w:rsid w:val="00D43C07"/>
    <w:rsid w:val="00D4409F"/>
    <w:rsid w:val="00D45704"/>
    <w:rsid w:val="00D471AC"/>
    <w:rsid w:val="00D47CAF"/>
    <w:rsid w:val="00D51881"/>
    <w:rsid w:val="00D51A2A"/>
    <w:rsid w:val="00D520B2"/>
    <w:rsid w:val="00D536D6"/>
    <w:rsid w:val="00D53A35"/>
    <w:rsid w:val="00D917C5"/>
    <w:rsid w:val="00DA417E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227E9"/>
    <w:rsid w:val="00E339F6"/>
    <w:rsid w:val="00E356EB"/>
    <w:rsid w:val="00E3659E"/>
    <w:rsid w:val="00E36F12"/>
    <w:rsid w:val="00E45108"/>
    <w:rsid w:val="00E46414"/>
    <w:rsid w:val="00E503CF"/>
    <w:rsid w:val="00E60971"/>
    <w:rsid w:val="00E61F91"/>
    <w:rsid w:val="00E63A04"/>
    <w:rsid w:val="00E75539"/>
    <w:rsid w:val="00E85F55"/>
    <w:rsid w:val="00E90AF1"/>
    <w:rsid w:val="00E92626"/>
    <w:rsid w:val="00EA18D8"/>
    <w:rsid w:val="00EA19FB"/>
    <w:rsid w:val="00EA42E5"/>
    <w:rsid w:val="00EA7FBC"/>
    <w:rsid w:val="00EB1E29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61"/>
    <w:rsid w:val="00F13881"/>
    <w:rsid w:val="00F1451D"/>
    <w:rsid w:val="00F17E6F"/>
    <w:rsid w:val="00F2225C"/>
    <w:rsid w:val="00F23993"/>
    <w:rsid w:val="00F247E1"/>
    <w:rsid w:val="00F250B0"/>
    <w:rsid w:val="00F26A5F"/>
    <w:rsid w:val="00F4287B"/>
    <w:rsid w:val="00F500AD"/>
    <w:rsid w:val="00F61148"/>
    <w:rsid w:val="00F65859"/>
    <w:rsid w:val="00F66559"/>
    <w:rsid w:val="00F66E72"/>
    <w:rsid w:val="00F84387"/>
    <w:rsid w:val="00F95393"/>
    <w:rsid w:val="00F95BB8"/>
    <w:rsid w:val="00FA091E"/>
    <w:rsid w:val="00FA1CE3"/>
    <w:rsid w:val="00FA41FA"/>
    <w:rsid w:val="00FA6612"/>
    <w:rsid w:val="00FA7FF5"/>
    <w:rsid w:val="00FB5B12"/>
    <w:rsid w:val="00FB6E4E"/>
    <w:rsid w:val="00FE09D2"/>
    <w:rsid w:val="00FE37AE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78A01"/>
  <w14:defaultImageDpi w14:val="0"/>
  <w15:docId w15:val="{5C5E2158-9488-4C62-9EAC-4DE1AA5A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A95EBD"/>
    <w:pPr>
      <w:tabs>
        <w:tab w:val="left" w:pos="709"/>
      </w:tabs>
      <w:ind w:firstLine="426"/>
      <w:jc w:val="both"/>
    </w:pPr>
    <w:rPr>
      <w:szCs w:val="20"/>
      <w:u w:color="000000"/>
    </w:rPr>
  </w:style>
  <w:style w:type="paragraph" w:styleId="Zkladntext">
    <w:name w:val="Body Text"/>
    <w:basedOn w:val="Normln"/>
    <w:link w:val="ZkladntextChar"/>
    <w:uiPriority w:val="99"/>
    <w:rsid w:val="00A95E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95EBD"/>
    <w:rPr>
      <w:rFonts w:cs="Times New Roman"/>
      <w:sz w:val="24"/>
      <w:szCs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rsid w:val="00A62A2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center" w:pos="4536"/>
        <w:tab w:val="right" w:pos="9072"/>
      </w:tabs>
      <w:suppressAutoHyphens w:val="0"/>
    </w:pPr>
    <w:rPr>
      <w:color w:val="000000"/>
      <w:u w:color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A62A2E"/>
    <w:rPr>
      <w:rFonts w:cs="Times New Roman"/>
      <w:color w:val="000000"/>
      <w:sz w:val="24"/>
      <w:szCs w:val="24"/>
      <w:u w:color="000000"/>
    </w:rPr>
  </w:style>
  <w:style w:type="paragraph" w:customStyle="1" w:styleId="vnintext0">
    <w:name w:val="vniřnítext"/>
    <w:basedOn w:val="Normln"/>
    <w:rsid w:val="006B5A37"/>
    <w:pPr>
      <w:tabs>
        <w:tab w:val="left" w:pos="709"/>
      </w:tabs>
      <w:suppressAutoHyphens w:val="0"/>
      <w:ind w:firstLine="426"/>
      <w:jc w:val="both"/>
    </w:pPr>
    <w:rPr>
      <w:szCs w:val="20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1651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Machulková Jana Bc.</dc:creator>
  <cp:keywords/>
  <dc:description/>
  <cp:lastModifiedBy>Svobodová Michaela Ing.</cp:lastModifiedBy>
  <cp:revision>2</cp:revision>
  <cp:lastPrinted>2025-02-20T13:08:00Z</cp:lastPrinted>
  <dcterms:created xsi:type="dcterms:W3CDTF">2025-03-10T08:37:00Z</dcterms:created>
  <dcterms:modified xsi:type="dcterms:W3CDTF">2025-03-10T08:37:00Z</dcterms:modified>
</cp:coreProperties>
</file>