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49D4" w14:textId="6C6D3D5E" w:rsidR="00C80F0D" w:rsidRDefault="00C80F0D" w:rsidP="00C80F0D">
      <w:pPr>
        <w:ind w:left="85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59264" behindDoc="0" locked="0" layoutInCell="1" allowOverlap="1" wp14:anchorId="2F26B352" wp14:editId="53EB4B43">
            <wp:simplePos x="0" y="0"/>
            <wp:positionH relativeFrom="page">
              <wp:posOffset>622935</wp:posOffset>
            </wp:positionH>
            <wp:positionV relativeFrom="page">
              <wp:posOffset>944880</wp:posOffset>
            </wp:positionV>
            <wp:extent cx="784225" cy="21050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2105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99B">
        <w:rPr>
          <w:noProof/>
          <w:lang w:eastAsia="cs-CZ"/>
        </w:rPr>
        <w:drawing>
          <wp:inline distT="0" distB="0" distL="0" distR="0" wp14:anchorId="7ABA0B88" wp14:editId="67E7F1B8">
            <wp:extent cx="20478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39BC" w14:textId="77777777" w:rsidR="00C80F0D" w:rsidRDefault="00C80F0D" w:rsidP="00C80F0D">
      <w:pPr>
        <w:jc w:val="center"/>
        <w:rPr>
          <w:b/>
          <w:bCs/>
          <w:sz w:val="28"/>
          <w:szCs w:val="28"/>
        </w:rPr>
      </w:pPr>
    </w:p>
    <w:p w14:paraId="031DB479" w14:textId="77777777" w:rsidR="00C80F0D" w:rsidRDefault="00C80F0D" w:rsidP="00C80F0D">
      <w:pPr>
        <w:jc w:val="center"/>
        <w:rPr>
          <w:b/>
          <w:bCs/>
          <w:sz w:val="28"/>
          <w:szCs w:val="28"/>
        </w:rPr>
      </w:pPr>
    </w:p>
    <w:p w14:paraId="25A12AE6" w14:textId="77777777" w:rsidR="00C80F0D" w:rsidRDefault="00C80F0D" w:rsidP="00C80F0D">
      <w:pPr>
        <w:jc w:val="center"/>
        <w:rPr>
          <w:b/>
          <w:bCs/>
          <w:sz w:val="28"/>
          <w:szCs w:val="28"/>
        </w:rPr>
      </w:pPr>
    </w:p>
    <w:p w14:paraId="32F78217" w14:textId="77777777" w:rsidR="00C80F0D" w:rsidRDefault="00C80F0D" w:rsidP="00C80F0D">
      <w:pPr>
        <w:jc w:val="center"/>
        <w:rPr>
          <w:b/>
          <w:bCs/>
          <w:sz w:val="28"/>
          <w:szCs w:val="28"/>
        </w:rPr>
      </w:pPr>
    </w:p>
    <w:p w14:paraId="5C46703D" w14:textId="77777777" w:rsidR="00C80F0D" w:rsidRDefault="00C80F0D" w:rsidP="00C80F0D">
      <w:pPr>
        <w:jc w:val="center"/>
        <w:rPr>
          <w:b/>
          <w:bCs/>
          <w:sz w:val="28"/>
          <w:szCs w:val="28"/>
        </w:rPr>
      </w:pPr>
    </w:p>
    <w:p w14:paraId="154CC3BB" w14:textId="77777777" w:rsidR="00C80F0D" w:rsidRPr="00530434" w:rsidRDefault="00C80F0D" w:rsidP="00C80F0D">
      <w:pPr>
        <w:ind w:left="2832" w:firstLine="708"/>
        <w:jc w:val="right"/>
        <w:rPr>
          <w:b/>
          <w:bCs/>
          <w:sz w:val="32"/>
          <w:szCs w:val="32"/>
        </w:rPr>
      </w:pPr>
      <w:r w:rsidRPr="00530434">
        <w:rPr>
          <w:b/>
          <w:bCs/>
          <w:sz w:val="32"/>
          <w:szCs w:val="32"/>
        </w:rPr>
        <w:t xml:space="preserve">o umístění zařízení </w:t>
      </w:r>
    </w:p>
    <w:p w14:paraId="3CFDA22B" w14:textId="4AD8B10B" w:rsidR="00C80F0D" w:rsidRPr="00E75BF6" w:rsidRDefault="001F7BCA" w:rsidP="001F7BCA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C80F0D" w:rsidRPr="006413FA">
        <w:rPr>
          <w:b/>
          <w:bCs/>
          <w:sz w:val="28"/>
          <w:szCs w:val="28"/>
        </w:rPr>
        <w:t xml:space="preserve">č. </w:t>
      </w:r>
      <w:r w:rsidR="00744FCC" w:rsidRPr="00B03DC5">
        <w:rPr>
          <w:b/>
          <w:sz w:val="28"/>
          <w:szCs w:val="28"/>
        </w:rPr>
        <w:t>315039</w:t>
      </w:r>
      <w:r w:rsidR="00744FCC">
        <w:rPr>
          <w:b/>
          <w:sz w:val="28"/>
          <w:szCs w:val="28"/>
        </w:rPr>
        <w:t>259</w:t>
      </w:r>
      <w:r>
        <w:rPr>
          <w:b/>
          <w:sz w:val="28"/>
          <w:szCs w:val="28"/>
        </w:rPr>
        <w:t xml:space="preserve">, </w:t>
      </w:r>
      <w:r w:rsidRPr="001F7BCA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-</w:t>
      </w:r>
      <w:r w:rsidRPr="001F7BCA">
        <w:rPr>
          <w:b/>
          <w:sz w:val="20"/>
          <w:szCs w:val="20"/>
        </w:rPr>
        <w:t>INFRA</w:t>
      </w:r>
      <w:r>
        <w:rPr>
          <w:b/>
          <w:sz w:val="28"/>
          <w:szCs w:val="28"/>
        </w:rPr>
        <w:t xml:space="preserve"> </w:t>
      </w:r>
      <w:r w:rsidRPr="001F7BCA">
        <w:rPr>
          <w:b/>
          <w:sz w:val="22"/>
          <w:szCs w:val="22"/>
        </w:rPr>
        <w:t>50049/NS2/INF-000/2025</w:t>
      </w:r>
    </w:p>
    <w:p w14:paraId="69431F2A" w14:textId="77777777" w:rsidR="00C80F0D" w:rsidRDefault="00C80F0D" w:rsidP="00C80F0D">
      <w:pPr>
        <w:pStyle w:val="Zkladntext3"/>
        <w:rPr>
          <w:sz w:val="24"/>
          <w:szCs w:val="24"/>
        </w:rPr>
      </w:pPr>
    </w:p>
    <w:p w14:paraId="202455B5" w14:textId="6D291752" w:rsidR="00C80F0D" w:rsidRPr="00E031E1" w:rsidRDefault="00A65A1F" w:rsidP="00A65A1F">
      <w:pPr>
        <w:pStyle w:val="Zkladntext3"/>
        <w:rPr>
          <w:sz w:val="24"/>
          <w:szCs w:val="24"/>
        </w:rPr>
      </w:pPr>
      <w:r w:rsidRPr="00E031E1">
        <w:rPr>
          <w:sz w:val="24"/>
          <w:szCs w:val="24"/>
        </w:rPr>
        <w:t xml:space="preserve">uzavřená podle § </w:t>
      </w:r>
      <w:r>
        <w:rPr>
          <w:sz w:val="24"/>
          <w:szCs w:val="24"/>
        </w:rPr>
        <w:t>1746 odst. 2 a násl.</w:t>
      </w:r>
      <w:r w:rsidRPr="00E031E1">
        <w:rPr>
          <w:sz w:val="24"/>
          <w:szCs w:val="24"/>
        </w:rPr>
        <w:t xml:space="preserve"> zákona č. </w:t>
      </w:r>
      <w:r>
        <w:rPr>
          <w:sz w:val="24"/>
          <w:szCs w:val="24"/>
        </w:rPr>
        <w:t>89</w:t>
      </w:r>
      <w:r w:rsidRPr="00E031E1">
        <w:rPr>
          <w:sz w:val="24"/>
          <w:szCs w:val="24"/>
        </w:rPr>
        <w:t>/</w:t>
      </w:r>
      <w:r>
        <w:rPr>
          <w:sz w:val="24"/>
          <w:szCs w:val="24"/>
        </w:rPr>
        <w:t>2012</w:t>
      </w:r>
      <w:r w:rsidRPr="00E031E1">
        <w:rPr>
          <w:sz w:val="24"/>
          <w:szCs w:val="24"/>
        </w:rPr>
        <w:t xml:space="preserve"> Sb., ob</w:t>
      </w:r>
      <w:r>
        <w:rPr>
          <w:sz w:val="24"/>
          <w:szCs w:val="24"/>
        </w:rPr>
        <w:t>č</w:t>
      </w:r>
      <w:r w:rsidRPr="00E031E1">
        <w:rPr>
          <w:sz w:val="24"/>
          <w:szCs w:val="24"/>
        </w:rPr>
        <w:t>anský zákoník,</w:t>
      </w:r>
      <w:r>
        <w:rPr>
          <w:sz w:val="24"/>
          <w:szCs w:val="24"/>
        </w:rPr>
        <w:t xml:space="preserve"> ve znění pozdějších předpisů,</w:t>
      </w:r>
      <w:r w:rsidRPr="00E031E1">
        <w:rPr>
          <w:sz w:val="24"/>
          <w:szCs w:val="24"/>
        </w:rPr>
        <w:t xml:space="preserve"> zákona č. 235/2004 Sb.</w:t>
      </w:r>
      <w:r>
        <w:rPr>
          <w:sz w:val="24"/>
          <w:szCs w:val="24"/>
        </w:rPr>
        <w:t>,</w:t>
      </w:r>
      <w:r w:rsidRPr="00E031E1">
        <w:rPr>
          <w:sz w:val="24"/>
          <w:szCs w:val="24"/>
        </w:rPr>
        <w:t xml:space="preserve"> o </w:t>
      </w:r>
      <w:r>
        <w:rPr>
          <w:sz w:val="24"/>
          <w:szCs w:val="24"/>
        </w:rPr>
        <w:t>dani z přidané hodnoty, ve znění pozdějších předpisů</w:t>
      </w:r>
      <w:r w:rsidRPr="00E031E1">
        <w:rPr>
          <w:sz w:val="24"/>
          <w:szCs w:val="24"/>
        </w:rPr>
        <w:t xml:space="preserve"> a zákona č. 219/2000 Sb., o majetku České republiky a jejím vystupování v právních vztazích, ve znění pozdějších předpisů</w:t>
      </w:r>
      <w:r>
        <w:rPr>
          <w:sz w:val="24"/>
          <w:szCs w:val="24"/>
        </w:rPr>
        <w:t xml:space="preserve"> a zákona č. 127/2005 Sb., o elektronických komunikacích a o změně některých souvisejících zákonů, ve znění pozdějších předpisů.</w:t>
      </w:r>
    </w:p>
    <w:p w14:paraId="2CF8D5E0" w14:textId="77777777" w:rsidR="00C80F0D" w:rsidRPr="00E031E1" w:rsidRDefault="00C80F0D" w:rsidP="00C80F0D">
      <w:pPr>
        <w:jc w:val="center"/>
        <w:rPr>
          <w:b/>
          <w:bCs/>
          <w:sz w:val="28"/>
          <w:szCs w:val="28"/>
        </w:rPr>
      </w:pPr>
      <w:r w:rsidRPr="00E031E1">
        <w:rPr>
          <w:b/>
          <w:bCs/>
          <w:sz w:val="28"/>
          <w:szCs w:val="28"/>
        </w:rPr>
        <w:t xml:space="preserve"> </w:t>
      </w:r>
    </w:p>
    <w:p w14:paraId="6131B309" w14:textId="77777777" w:rsidR="00C80F0D" w:rsidRDefault="00C80F0D" w:rsidP="00C80F0D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Zařízení služeb pro Ministerstvo vnitra</w:t>
      </w:r>
      <w:r>
        <w:rPr>
          <w:bCs/>
          <w:color w:val="000000"/>
        </w:rPr>
        <w:t>,</w:t>
      </w:r>
    </w:p>
    <w:p w14:paraId="4AAE571B" w14:textId="77777777" w:rsidR="00C80F0D" w:rsidRDefault="00C80F0D" w:rsidP="00C80F0D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se sídlem: </w:t>
      </w:r>
      <w:r>
        <w:rPr>
          <w:bCs/>
          <w:color w:val="000000"/>
        </w:rPr>
        <w:tab/>
        <w:t>Přípotoční 300/12, 101 00 Praha 10</w:t>
      </w:r>
    </w:p>
    <w:p w14:paraId="1D5083CC" w14:textId="73777C06" w:rsidR="00C80F0D" w:rsidRPr="00252A69" w:rsidRDefault="00C80F0D" w:rsidP="00C80F0D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zastoupené: </w:t>
      </w:r>
      <w:r>
        <w:rPr>
          <w:bCs/>
          <w:color w:val="000000"/>
        </w:rPr>
        <w:tab/>
      </w:r>
      <w:r w:rsidR="00D60F31">
        <w:t>Mgr. Simonou Hrubou</w:t>
      </w:r>
      <w:r w:rsidRPr="00252A69">
        <w:t>, ředitel</w:t>
      </w:r>
      <w:r w:rsidR="00D60F31">
        <w:t>kou</w:t>
      </w:r>
      <w:r w:rsidRPr="00252A69">
        <w:t xml:space="preserve"> ZSMV</w:t>
      </w:r>
    </w:p>
    <w:p w14:paraId="34DCEC8C" w14:textId="77777777" w:rsidR="00C80F0D" w:rsidRDefault="00C80F0D" w:rsidP="00C80F0D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IČ: </w:t>
      </w:r>
      <w:r>
        <w:rPr>
          <w:bCs/>
          <w:color w:val="000000"/>
        </w:rPr>
        <w:tab/>
        <w:t>67779999</w:t>
      </w:r>
    </w:p>
    <w:p w14:paraId="1A6B7C9F" w14:textId="77777777" w:rsidR="00C80F0D" w:rsidRDefault="00C80F0D" w:rsidP="00C80F0D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DIČ: </w:t>
      </w:r>
      <w:r>
        <w:rPr>
          <w:bCs/>
          <w:color w:val="000000"/>
        </w:rPr>
        <w:tab/>
        <w:t>CZ67779999</w:t>
      </w:r>
    </w:p>
    <w:p w14:paraId="2898975C" w14:textId="77777777" w:rsidR="00C80F0D" w:rsidRDefault="00C80F0D" w:rsidP="00C80F0D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bankovní spojení: </w:t>
      </w:r>
      <w:r>
        <w:rPr>
          <w:bCs/>
          <w:color w:val="000000"/>
        </w:rPr>
        <w:tab/>
        <w:t xml:space="preserve">ČNB </w:t>
      </w:r>
      <w:r>
        <w:t>Praha 1</w:t>
      </w:r>
    </w:p>
    <w:p w14:paraId="00F375B9" w14:textId="77777777" w:rsidR="00C80F0D" w:rsidRDefault="00C80F0D" w:rsidP="00C80F0D">
      <w:pPr>
        <w:tabs>
          <w:tab w:val="left" w:pos="1843"/>
        </w:tabs>
      </w:pPr>
      <w:r>
        <w:rPr>
          <w:bCs/>
          <w:color w:val="000000"/>
        </w:rPr>
        <w:t xml:space="preserve">číslo účtu: </w:t>
      </w:r>
      <w:r>
        <w:rPr>
          <w:bCs/>
          <w:color w:val="000000"/>
        </w:rPr>
        <w:tab/>
        <w:t>30320881/0710</w:t>
      </w:r>
      <w:r w:rsidRPr="003F20BB">
        <w:rPr>
          <w:bCs/>
          <w:color w:val="000000"/>
        </w:rPr>
        <w:t xml:space="preserve">                 </w:t>
      </w:r>
    </w:p>
    <w:p w14:paraId="16F7F0C2" w14:textId="77777777" w:rsidR="00C80F0D" w:rsidRDefault="00C80F0D" w:rsidP="00C80F0D">
      <w:pPr>
        <w:tabs>
          <w:tab w:val="left" w:pos="1843"/>
        </w:tabs>
        <w:rPr>
          <w:b/>
          <w:bCs/>
        </w:rPr>
      </w:pPr>
    </w:p>
    <w:p w14:paraId="40DBFEF2" w14:textId="77777777" w:rsidR="00C80F0D" w:rsidRPr="00577E34" w:rsidRDefault="00C80F0D" w:rsidP="00C80F0D">
      <w:pPr>
        <w:tabs>
          <w:tab w:val="left" w:pos="1843"/>
        </w:tabs>
        <w:ind w:left="1980" w:hanging="1980"/>
        <w:rPr>
          <w:bCs/>
        </w:rPr>
      </w:pPr>
      <w:r w:rsidRPr="00577E34">
        <w:rPr>
          <w:bCs/>
        </w:rPr>
        <w:t>(dále jen „</w:t>
      </w:r>
      <w:r w:rsidRPr="00577E34">
        <w:rPr>
          <w:b/>
        </w:rPr>
        <w:t>poskytovatel</w:t>
      </w:r>
      <w:r w:rsidRPr="00577E34">
        <w:rPr>
          <w:bCs/>
        </w:rPr>
        <w:t>“)</w:t>
      </w:r>
    </w:p>
    <w:p w14:paraId="52D05F4B" w14:textId="77777777" w:rsidR="00C80F0D" w:rsidRDefault="00C80F0D" w:rsidP="00C80F0D">
      <w:pPr>
        <w:tabs>
          <w:tab w:val="left" w:pos="1843"/>
        </w:tabs>
        <w:rPr>
          <w:bCs/>
        </w:rPr>
      </w:pPr>
    </w:p>
    <w:p w14:paraId="1EE4AC72" w14:textId="77777777" w:rsidR="00C80F0D" w:rsidRDefault="00C80F0D" w:rsidP="00C80F0D">
      <w:pPr>
        <w:tabs>
          <w:tab w:val="left" w:pos="1843"/>
        </w:tabs>
        <w:ind w:left="1980" w:hanging="1980"/>
        <w:rPr>
          <w:bCs/>
        </w:rPr>
      </w:pPr>
      <w:r>
        <w:rPr>
          <w:bCs/>
        </w:rPr>
        <w:t>a</w:t>
      </w:r>
    </w:p>
    <w:p w14:paraId="45B84FFB" w14:textId="77777777" w:rsidR="00C80F0D" w:rsidRPr="005D3692" w:rsidRDefault="00C80F0D" w:rsidP="00C80F0D">
      <w:pPr>
        <w:tabs>
          <w:tab w:val="left" w:pos="1843"/>
        </w:tabs>
        <w:rPr>
          <w:bCs/>
        </w:rPr>
      </w:pPr>
    </w:p>
    <w:p w14:paraId="36992FE4" w14:textId="77777777" w:rsidR="00C76C0B" w:rsidRPr="00104CF7" w:rsidRDefault="00C76C0B" w:rsidP="00C76C0B">
      <w:pPr>
        <w:ind w:left="1980" w:hanging="1980"/>
        <w:rPr>
          <w:b/>
          <w:bCs/>
          <w:color w:val="FF0000"/>
        </w:rPr>
      </w:pPr>
      <w:r w:rsidRPr="00104CF7">
        <w:rPr>
          <w:b/>
          <w:bCs/>
        </w:rPr>
        <w:t>T-Mobile Infra CZ s.r.o.</w:t>
      </w:r>
    </w:p>
    <w:p w14:paraId="2DCF1BCA" w14:textId="77777777" w:rsidR="00C76C0B" w:rsidRPr="00104CF7" w:rsidRDefault="00C76C0B" w:rsidP="00C76C0B">
      <w:pPr>
        <w:ind w:left="1980" w:hanging="1980"/>
        <w:rPr>
          <w:bCs/>
        </w:rPr>
      </w:pPr>
      <w:r w:rsidRPr="00104CF7">
        <w:rPr>
          <w:bCs/>
        </w:rPr>
        <w:t>zápis v </w:t>
      </w:r>
      <w:proofErr w:type="gramStart"/>
      <w:r w:rsidRPr="00104CF7">
        <w:rPr>
          <w:bCs/>
        </w:rPr>
        <w:t xml:space="preserve">OR:   </w:t>
      </w:r>
      <w:proofErr w:type="gramEnd"/>
      <w:r w:rsidRPr="00104CF7">
        <w:rPr>
          <w:bCs/>
        </w:rPr>
        <w:t xml:space="preserve">                Městský soud v Praze, oddíl C, vložka 365643 </w:t>
      </w:r>
    </w:p>
    <w:p w14:paraId="7D69E5AD" w14:textId="77777777" w:rsidR="00C76C0B" w:rsidRPr="00104CF7" w:rsidRDefault="00C76C0B" w:rsidP="00C76C0B">
      <w:pPr>
        <w:ind w:left="1980" w:hanging="1980"/>
      </w:pPr>
      <w:r w:rsidRPr="00104CF7">
        <w:t>se sídlem:</w:t>
      </w:r>
      <w:r w:rsidRPr="00104CF7">
        <w:tab/>
        <w:t xml:space="preserve">     Tomíčkova 2144/1, 148 00 Praha 4</w:t>
      </w:r>
    </w:p>
    <w:p w14:paraId="629D211F" w14:textId="587E3EEE" w:rsidR="00C76C0B" w:rsidRPr="00915BB1" w:rsidRDefault="00C76C0B" w:rsidP="00C76C0B">
      <w:r w:rsidRPr="00104CF7">
        <w:t>zastoupená:</w:t>
      </w:r>
      <w:r w:rsidRPr="00104CF7">
        <w:tab/>
        <w:t xml:space="preserve">               </w:t>
      </w:r>
      <w:r w:rsidR="001F7BCA" w:rsidRPr="00104CF7">
        <w:t xml:space="preserve">Ing. Ivana </w:t>
      </w:r>
      <w:proofErr w:type="gramStart"/>
      <w:r w:rsidR="001F7BCA" w:rsidRPr="00104CF7">
        <w:t>Bodlák ,na</w:t>
      </w:r>
      <w:proofErr w:type="gramEnd"/>
      <w:r w:rsidR="001F7BCA" w:rsidRPr="00104CF7">
        <w:t xml:space="preserve"> základě pověření</w:t>
      </w:r>
      <w:r w:rsidR="001F7BCA">
        <w:t xml:space="preserve"> </w:t>
      </w:r>
      <w:r w:rsidRPr="00915BB1">
        <w:t xml:space="preserve">                                    </w:t>
      </w:r>
    </w:p>
    <w:p w14:paraId="410C8518" w14:textId="77777777" w:rsidR="00C76C0B" w:rsidRPr="00915BB1" w:rsidRDefault="00C76C0B" w:rsidP="00C76C0B">
      <w:pPr>
        <w:rPr>
          <w:color w:val="FF0000"/>
        </w:rPr>
      </w:pPr>
      <w:r w:rsidRPr="00915BB1">
        <w:t>IČO:</w:t>
      </w:r>
      <w:r w:rsidRPr="00915BB1">
        <w:tab/>
        <w:t xml:space="preserve">                          14436663</w:t>
      </w:r>
    </w:p>
    <w:p w14:paraId="185AB39A" w14:textId="77777777" w:rsidR="00C76C0B" w:rsidRPr="00915BB1" w:rsidRDefault="00C76C0B" w:rsidP="00C76C0B">
      <w:pPr>
        <w:ind w:left="1980" w:hanging="1980"/>
        <w:rPr>
          <w:color w:val="FF0000"/>
        </w:rPr>
      </w:pPr>
      <w:r w:rsidRPr="00915BB1">
        <w:t>DIČ:</w:t>
      </w:r>
      <w:r w:rsidRPr="00915BB1">
        <w:tab/>
        <w:t xml:space="preserve">     CZ14436663</w:t>
      </w:r>
    </w:p>
    <w:p w14:paraId="6AA8D22A" w14:textId="77777777" w:rsidR="00C76C0B" w:rsidRPr="00915BB1" w:rsidRDefault="00C76C0B" w:rsidP="00C76C0B">
      <w:pPr>
        <w:ind w:left="1980" w:hanging="1980"/>
      </w:pPr>
      <w:r w:rsidRPr="00915BB1">
        <w:t xml:space="preserve">Datová </w:t>
      </w:r>
      <w:proofErr w:type="gramStart"/>
      <w:r w:rsidRPr="00915BB1">
        <w:t xml:space="preserve">schránka:   </w:t>
      </w:r>
      <w:proofErr w:type="gramEnd"/>
      <w:r w:rsidRPr="00915BB1">
        <w:t xml:space="preserve">       6n33g5d </w:t>
      </w:r>
    </w:p>
    <w:p w14:paraId="69939070" w14:textId="77777777" w:rsidR="00C76C0B" w:rsidRPr="00915BB1" w:rsidRDefault="00C76C0B" w:rsidP="00C76C0B">
      <w:pPr>
        <w:ind w:left="1980" w:hanging="1980"/>
        <w:rPr>
          <w:color w:val="FF0000"/>
        </w:rPr>
      </w:pPr>
      <w:r w:rsidRPr="00915BB1">
        <w:t>bankovní spojení:</w:t>
      </w:r>
      <w:r w:rsidRPr="00915BB1">
        <w:tab/>
        <w:t xml:space="preserve">     Česká spořitelna, a.s.</w:t>
      </w:r>
    </w:p>
    <w:p w14:paraId="5D190A34" w14:textId="77777777" w:rsidR="00C76C0B" w:rsidRPr="00915BB1" w:rsidRDefault="00C76C0B" w:rsidP="00C76C0B">
      <w:pPr>
        <w:ind w:left="1980" w:hanging="1980"/>
      </w:pPr>
      <w:r w:rsidRPr="00915BB1">
        <w:t>číslo účtu:</w:t>
      </w:r>
      <w:r w:rsidRPr="00915BB1">
        <w:tab/>
        <w:t xml:space="preserve">     500131672/0800, SWIFT: GIBACZPX,</w:t>
      </w:r>
    </w:p>
    <w:p w14:paraId="24A94DDA" w14:textId="77777777" w:rsidR="00C76C0B" w:rsidRPr="00915BB1" w:rsidRDefault="00C76C0B" w:rsidP="00C76C0B">
      <w:pPr>
        <w:ind w:left="1980" w:hanging="1980"/>
      </w:pPr>
      <w:proofErr w:type="gramStart"/>
      <w:r w:rsidRPr="00915BB1">
        <w:t xml:space="preserve">IBAN:   </w:t>
      </w:r>
      <w:proofErr w:type="gramEnd"/>
      <w:r w:rsidRPr="00915BB1">
        <w:t xml:space="preserve">                        CZ90 0800 0000 0005 0013 1672</w:t>
      </w:r>
    </w:p>
    <w:p w14:paraId="0E1C5953" w14:textId="77777777" w:rsidR="00C76C0B" w:rsidRPr="007867E4" w:rsidRDefault="00C76C0B" w:rsidP="00C76C0B">
      <w:pPr>
        <w:ind w:left="1980" w:hanging="1980"/>
      </w:pPr>
      <w:r w:rsidRPr="00915BB1">
        <w:t>Plátce DPH</w:t>
      </w:r>
    </w:p>
    <w:p w14:paraId="48762EC5" w14:textId="77777777" w:rsidR="00C80F0D" w:rsidRDefault="00C80F0D" w:rsidP="00C80F0D"/>
    <w:p w14:paraId="78ED1BFF" w14:textId="77777777" w:rsidR="00C80F0D" w:rsidRDefault="00C80F0D" w:rsidP="00C80F0D">
      <w:pPr>
        <w:ind w:left="1980" w:hanging="1980"/>
      </w:pPr>
      <w:r>
        <w:t>(dále jen „</w:t>
      </w:r>
      <w:r w:rsidRPr="00577E34">
        <w:rPr>
          <w:b/>
        </w:rPr>
        <w:t>provozovatel</w:t>
      </w:r>
      <w:r>
        <w:t>“)</w:t>
      </w:r>
    </w:p>
    <w:p w14:paraId="3B57FD13" w14:textId="77777777" w:rsidR="00C80F0D" w:rsidRDefault="00C80F0D" w:rsidP="00C80F0D">
      <w:pPr>
        <w:ind w:left="1980" w:hanging="1980"/>
      </w:pPr>
    </w:p>
    <w:p w14:paraId="39948A0F" w14:textId="77777777" w:rsidR="00C80F0D" w:rsidRDefault="00C80F0D" w:rsidP="00C80F0D">
      <w:pPr>
        <w:ind w:left="1980" w:hanging="1980"/>
      </w:pPr>
      <w:r>
        <w:t>(dále také jen „</w:t>
      </w:r>
      <w:r w:rsidRPr="00577E34">
        <w:rPr>
          <w:b/>
          <w:bCs/>
        </w:rPr>
        <w:t>smluvní strany</w:t>
      </w:r>
      <w:r>
        <w:t>“)</w:t>
      </w:r>
    </w:p>
    <w:p w14:paraId="12813838" w14:textId="77777777" w:rsidR="00C80F0D" w:rsidRDefault="00C80F0D" w:rsidP="00C80F0D">
      <w:pPr>
        <w:ind w:left="1980" w:hanging="1980"/>
      </w:pPr>
    </w:p>
    <w:p w14:paraId="65CA8D8F" w14:textId="709B704F" w:rsidR="00AE157C" w:rsidRDefault="00C80F0D" w:rsidP="00C76C0B">
      <w:pPr>
        <w:rPr>
          <w:bCs/>
        </w:rPr>
      </w:pPr>
      <w:r w:rsidRPr="00735082">
        <w:rPr>
          <w:bCs/>
        </w:rPr>
        <w:t>uzavírají níže uvedeného dne, měsíce a roku následující smlouvu</w:t>
      </w:r>
      <w:r>
        <w:rPr>
          <w:bCs/>
        </w:rPr>
        <w:t xml:space="preserve"> (dále jen „</w:t>
      </w:r>
      <w:r w:rsidRPr="00577E34">
        <w:rPr>
          <w:b/>
          <w:bCs/>
        </w:rPr>
        <w:t>smlouva</w:t>
      </w:r>
      <w:r>
        <w:rPr>
          <w:bCs/>
        </w:rPr>
        <w:t>“):</w:t>
      </w:r>
      <w:r w:rsidR="00AE157C">
        <w:rPr>
          <w:bCs/>
        </w:rPr>
        <w:br w:type="page"/>
      </w:r>
    </w:p>
    <w:p w14:paraId="26A5A342" w14:textId="77777777" w:rsidR="00AE157C" w:rsidRDefault="00AE157C" w:rsidP="00834DC9">
      <w:pPr>
        <w:ind w:hanging="465"/>
        <w:jc w:val="center"/>
        <w:rPr>
          <w:b/>
          <w:bCs/>
        </w:rPr>
      </w:pPr>
      <w:r>
        <w:rPr>
          <w:b/>
          <w:bCs/>
        </w:rPr>
        <w:lastRenderedPageBreak/>
        <w:t>Čl. 1</w:t>
      </w:r>
    </w:p>
    <w:p w14:paraId="3B74DB91" w14:textId="77777777" w:rsidR="00AE157C" w:rsidRDefault="00AE157C" w:rsidP="00834DC9">
      <w:pPr>
        <w:ind w:hanging="465"/>
        <w:jc w:val="center"/>
        <w:rPr>
          <w:b/>
          <w:bCs/>
        </w:rPr>
      </w:pPr>
      <w:r>
        <w:rPr>
          <w:b/>
          <w:bCs/>
        </w:rPr>
        <w:t>Předmět a účel smlouvy</w:t>
      </w:r>
    </w:p>
    <w:p w14:paraId="0D18132F" w14:textId="77777777" w:rsidR="00AE157C" w:rsidRDefault="00AE157C" w:rsidP="00834DC9">
      <w:pPr>
        <w:ind w:hanging="465"/>
        <w:rPr>
          <w:b/>
          <w:bCs/>
        </w:rPr>
      </w:pPr>
    </w:p>
    <w:p w14:paraId="2CC62E2E" w14:textId="0DFE9831" w:rsidR="00AE157C" w:rsidRDefault="00AE157C" w:rsidP="00834DC9">
      <w:pPr>
        <w:numPr>
          <w:ilvl w:val="0"/>
          <w:numId w:val="1"/>
        </w:numPr>
        <w:ind w:left="0"/>
      </w:pPr>
      <w:r w:rsidRPr="003F6284">
        <w:t xml:space="preserve">Poskytovatel hospodaří, na základě smlouvy o změně příslušnosti hospodařit </w:t>
      </w:r>
      <w:r w:rsidRPr="003F6284">
        <w:br/>
        <w:t>s majetkem státu ze dne 24. 4. 2007</w:t>
      </w:r>
      <w:r>
        <w:t>, ve znění Dodatku č.1 a Dodatku č.2</w:t>
      </w:r>
      <w:r w:rsidRPr="003F6284">
        <w:t xml:space="preserve"> s majetkem České republiky tj. s ocelovým příhradovým stožárem</w:t>
      </w:r>
      <w:r>
        <w:t>, technologickým kontejnerem a přípojko nízkého napětí na</w:t>
      </w:r>
      <w:r w:rsidRPr="003F6284">
        <w:t xml:space="preserve"> pozemk</w:t>
      </w:r>
      <w:r>
        <w:t xml:space="preserve">u </w:t>
      </w:r>
      <w:proofErr w:type="spellStart"/>
      <w:r>
        <w:t>p.č</w:t>
      </w:r>
      <w:proofErr w:type="spellEnd"/>
      <w:r>
        <w:t>. 893/5 v katastrálním území Prasek [732 885], obci Prasek [570 648], pozemek je zapsán</w:t>
      </w:r>
      <w:r w:rsidR="003C7418">
        <w:t xml:space="preserve"> na listu vlastnictví č. 439 Pro Rovenskou Milušku a Valáška Petra vedeném u Katastrálního úřadu pro Královehradecký kraj, Katastrální pracoviště Hradec Králové pro shora uvedené katastrální území.</w:t>
      </w:r>
    </w:p>
    <w:p w14:paraId="1B86B75A" w14:textId="03CB8B96" w:rsidR="00AE157C" w:rsidRPr="003F6284" w:rsidRDefault="00AE157C" w:rsidP="00834DC9">
      <w:pPr>
        <w:numPr>
          <w:ilvl w:val="0"/>
          <w:numId w:val="1"/>
        </w:numPr>
        <w:ind w:left="0"/>
      </w:pPr>
      <w:r w:rsidRPr="003F6284">
        <w:t>Předmětem smlouvy je závazek poskytovatele umožnit na majetku dle předchozího odstavce umístění komunikačního zařízení provozovatele (</w:t>
      </w:r>
      <w:r>
        <w:t>poskytnut</w:t>
      </w:r>
      <w:r w:rsidR="003C7418">
        <w:t xml:space="preserve">í </w:t>
      </w:r>
      <w:r>
        <w:t>služby přenechání zboží k užití</w:t>
      </w:r>
      <w:r w:rsidRPr="003F6284">
        <w:t xml:space="preserve"> 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3F6284">
        <w:t xml:space="preserve"> § 14 odst. 1 písm. b) zákona č. 235/2004 Sb., o dani z přidané </w:t>
      </w:r>
      <w:proofErr w:type="gramStart"/>
      <w:r w:rsidRPr="003F6284">
        <w:t>hodnoty - dále</w:t>
      </w:r>
      <w:proofErr w:type="gramEnd"/>
      <w:r w:rsidRPr="003F6284">
        <w:t xml:space="preserve"> jen „</w:t>
      </w:r>
      <w:r w:rsidRPr="007A12A3">
        <w:rPr>
          <w:b/>
        </w:rPr>
        <w:t>poskytnutá služba</w:t>
      </w:r>
      <w:r w:rsidRPr="003F6284">
        <w:t>“) a závazek provozovatele platit poskytovateli dohodnutou úhradu.</w:t>
      </w:r>
    </w:p>
    <w:p w14:paraId="5E8493C6" w14:textId="77777777" w:rsidR="00D663CC" w:rsidRDefault="00AE157C" w:rsidP="00D663CC">
      <w:pPr>
        <w:numPr>
          <w:ilvl w:val="0"/>
          <w:numId w:val="1"/>
        </w:numPr>
        <w:ind w:left="0"/>
      </w:pPr>
      <w:r w:rsidRPr="003F6284">
        <w:t xml:space="preserve">Předmětem poskytované služby je </w:t>
      </w:r>
      <w:r w:rsidR="000E57EF">
        <w:t xml:space="preserve">umístění radiokomunikačního zařízení uvnitř technologického kontejneru a na ocelovém příhradovém stožáru na pozemku </w:t>
      </w:r>
      <w:proofErr w:type="spellStart"/>
      <w:r w:rsidR="000E57EF">
        <w:t>p.č</w:t>
      </w:r>
      <w:proofErr w:type="spellEnd"/>
      <w:r w:rsidR="000E57EF">
        <w:t>. 893/5 v katastrálním území Prasek [732 885], obci Prasek [570 648], specifikovaném v odst. 1) tohoto článku smlouvy.</w:t>
      </w:r>
      <w:r w:rsidR="00D663CC">
        <w:t xml:space="preserve"> </w:t>
      </w:r>
      <w:r w:rsidR="00D663CC" w:rsidRPr="00C85065">
        <w:t>(dále jen „</w:t>
      </w:r>
      <w:r w:rsidR="00D663CC">
        <w:t>p</w:t>
      </w:r>
      <w:r w:rsidR="00D663CC" w:rsidRPr="00C85065">
        <w:t>ředmět užití“).</w:t>
      </w:r>
      <w:r w:rsidR="00D663CC">
        <w:t xml:space="preserve"> </w:t>
      </w:r>
      <w:r w:rsidR="000E57EF">
        <w:t>Poskytovatel umožní provozovateli připojení na rozvod elektrické energie. Odběr elektrické energie bude provozovatel hradit paušální platbou na základě vystavených faktur.</w:t>
      </w:r>
    </w:p>
    <w:p w14:paraId="10E2FBC0" w14:textId="00733352" w:rsidR="00D663CC" w:rsidRDefault="00D663CC" w:rsidP="00D663CC">
      <w:pPr>
        <w:numPr>
          <w:ilvl w:val="0"/>
          <w:numId w:val="1"/>
        </w:numPr>
        <w:ind w:left="0"/>
      </w:pPr>
      <w:r w:rsidRPr="00C85065">
        <w:t>Účelem poskytnuté služby je umístění, užívání a provozování uvedených zařízení příslušenství a součástí pro výkon komunikačních činností ve smyslu § 7 zákona č. 127/2005 Sb., o elektronických komunikacích, ve znění pozdějších předpisů (dále</w:t>
      </w:r>
      <w:r w:rsidRPr="0021603E">
        <w:t xml:space="preserve"> jen „ZEK“).</w:t>
      </w:r>
      <w:bookmarkStart w:id="0" w:name="_Hlk187142607"/>
    </w:p>
    <w:bookmarkEnd w:id="0"/>
    <w:p w14:paraId="09B335CC" w14:textId="3B23908D" w:rsidR="000E57EF" w:rsidRDefault="000E57EF" w:rsidP="00834DC9"/>
    <w:p w14:paraId="2194FA1C" w14:textId="77777777" w:rsidR="000E57EF" w:rsidRPr="00C85ADE" w:rsidRDefault="000E57EF" w:rsidP="00834DC9">
      <w:pPr>
        <w:suppressAutoHyphens w:val="0"/>
        <w:spacing w:line="276" w:lineRule="auto"/>
        <w:contextualSpacing/>
        <w:jc w:val="center"/>
        <w:rPr>
          <w:b/>
        </w:rPr>
      </w:pPr>
      <w:r w:rsidRPr="00C85ADE">
        <w:rPr>
          <w:b/>
        </w:rPr>
        <w:t>Čl. 2</w:t>
      </w:r>
    </w:p>
    <w:p w14:paraId="6B4BB77F" w14:textId="77777777" w:rsidR="000E57EF" w:rsidRPr="00C85ADE" w:rsidRDefault="000E57EF" w:rsidP="00834DC9">
      <w:pPr>
        <w:suppressAutoHyphens w:val="0"/>
        <w:spacing w:line="276" w:lineRule="auto"/>
        <w:contextualSpacing/>
        <w:jc w:val="center"/>
        <w:rPr>
          <w:b/>
        </w:rPr>
      </w:pPr>
      <w:r w:rsidRPr="00C85ADE">
        <w:rPr>
          <w:b/>
        </w:rPr>
        <w:t>Prohlášení smluvních stran</w:t>
      </w:r>
    </w:p>
    <w:p w14:paraId="5C0D4DA7" w14:textId="77777777" w:rsidR="0038003D" w:rsidRDefault="000E57EF" w:rsidP="0038003D">
      <w:pPr>
        <w:numPr>
          <w:ilvl w:val="0"/>
          <w:numId w:val="2"/>
        </w:numPr>
        <w:tabs>
          <w:tab w:val="decimal" w:pos="576"/>
        </w:tabs>
        <w:suppressAutoHyphens w:val="0"/>
        <w:ind w:left="0"/>
        <w:jc w:val="left"/>
        <w:rPr>
          <w:color w:val="000000"/>
          <w:spacing w:val="1"/>
        </w:rPr>
      </w:pPr>
      <w:r w:rsidRPr="00C85ADE">
        <w:rPr>
          <w:color w:val="000000"/>
          <w:spacing w:val="1"/>
        </w:rPr>
        <w:t xml:space="preserve"> </w:t>
      </w:r>
      <w:r w:rsidRPr="00C85ADE">
        <w:rPr>
          <w:color w:val="000000"/>
          <w:spacing w:val="1"/>
        </w:rPr>
        <w:tab/>
        <w:t xml:space="preserve">Provozovatel prohlašuje, že je mu stav </w:t>
      </w:r>
      <w:r>
        <w:rPr>
          <w:color w:val="000000"/>
          <w:spacing w:val="1"/>
        </w:rPr>
        <w:t>hmotného předmětů poskytnuté služby</w:t>
      </w:r>
      <w:r w:rsidR="00DC11E0">
        <w:rPr>
          <w:color w:val="000000"/>
          <w:spacing w:val="1"/>
        </w:rPr>
        <w:t xml:space="preserve"> (příhradový ocelový stožár a technologický kontejner na pozemku </w:t>
      </w:r>
      <w:proofErr w:type="spellStart"/>
      <w:r w:rsidR="00DC11E0">
        <w:rPr>
          <w:color w:val="000000"/>
          <w:spacing w:val="1"/>
        </w:rPr>
        <w:t>p.č</w:t>
      </w:r>
      <w:proofErr w:type="spellEnd"/>
      <w:r w:rsidR="00DC11E0">
        <w:rPr>
          <w:color w:val="000000"/>
          <w:spacing w:val="1"/>
        </w:rPr>
        <w:t>. 839/5 v katastrálním území Prasek [732 885], obci Prasek [570 648]) znám a souhlasí s</w:t>
      </w:r>
      <w:r w:rsidR="00410AE4">
        <w:rPr>
          <w:color w:val="000000"/>
          <w:spacing w:val="1"/>
        </w:rPr>
        <w:t> </w:t>
      </w:r>
      <w:r w:rsidR="00DC11E0">
        <w:rPr>
          <w:color w:val="000000"/>
          <w:spacing w:val="1"/>
        </w:rPr>
        <w:t>tím</w:t>
      </w:r>
      <w:r w:rsidR="00410AE4">
        <w:rPr>
          <w:color w:val="000000"/>
          <w:spacing w:val="1"/>
        </w:rPr>
        <w:t>,</w:t>
      </w:r>
      <w:r w:rsidR="00DC11E0">
        <w:rPr>
          <w:color w:val="000000"/>
          <w:spacing w:val="1"/>
        </w:rPr>
        <w:t xml:space="preserve"> že je způsobilý k užívání ve smyslu účelu smlouvy.</w:t>
      </w:r>
    </w:p>
    <w:p w14:paraId="153EA7F7" w14:textId="77777777" w:rsidR="00C95953" w:rsidRDefault="0038003D" w:rsidP="00C95953">
      <w:pPr>
        <w:numPr>
          <w:ilvl w:val="0"/>
          <w:numId w:val="2"/>
        </w:numPr>
        <w:tabs>
          <w:tab w:val="decimal" w:pos="576"/>
        </w:tabs>
        <w:suppressAutoHyphens w:val="0"/>
        <w:ind w:left="0"/>
        <w:jc w:val="left"/>
        <w:rPr>
          <w:color w:val="000000"/>
          <w:spacing w:val="1"/>
        </w:rPr>
      </w:pPr>
      <w:r>
        <w:t>Provozovatel prohlašuje, že provedení umístěného zařízení respektuje platné právní předpisy včetně platných závazných technických norem a hygienických obecně závazných předpisů.</w:t>
      </w:r>
    </w:p>
    <w:p w14:paraId="0369FC2B" w14:textId="1F2609FB" w:rsidR="00784E45" w:rsidRPr="00C95953" w:rsidRDefault="00C95953" w:rsidP="00C95953">
      <w:pPr>
        <w:numPr>
          <w:ilvl w:val="0"/>
          <w:numId w:val="2"/>
        </w:numPr>
        <w:tabs>
          <w:tab w:val="decimal" w:pos="576"/>
        </w:tabs>
        <w:suppressAutoHyphens w:val="0"/>
        <w:ind w:left="0"/>
        <w:jc w:val="left"/>
        <w:rPr>
          <w:color w:val="000000"/>
          <w:spacing w:val="1"/>
        </w:rPr>
      </w:pPr>
      <w:r w:rsidRPr="00C85065">
        <w:t>V souladu s </w:t>
      </w:r>
      <w:proofErr w:type="spellStart"/>
      <w:r w:rsidRPr="00C85065">
        <w:t>ust</w:t>
      </w:r>
      <w:proofErr w:type="spellEnd"/>
      <w:r w:rsidRPr="00C85065">
        <w:t>. § 14 odst. 7 a § 27 odst. 1 zákona č. 219/2000 Sb., o majetku České republiky a jejím vystupování v právních vztazích, ve znění pozdějších předpisů (dále jen „ZMS“), poskytovatel touto smlouvou rozhoduje a zároveň prohlašuje, že Předmět užití poskytnutý provozovateli dočasně nepotřebuje k plnění funkcí státu nebo jiných úkolů v rámci své působnosti nebo stanoveného předmětu činnosti.</w:t>
      </w:r>
    </w:p>
    <w:p w14:paraId="1AAA8722" w14:textId="36B51036" w:rsidR="00521DBC" w:rsidRDefault="00784E45" w:rsidP="00521DBC">
      <w:pPr>
        <w:numPr>
          <w:ilvl w:val="0"/>
          <w:numId w:val="2"/>
        </w:numPr>
        <w:tabs>
          <w:tab w:val="decimal" w:pos="576"/>
        </w:tabs>
        <w:suppressAutoHyphens w:val="0"/>
        <w:ind w:left="0"/>
        <w:rPr>
          <w:color w:val="000000"/>
          <w:spacing w:val="-3"/>
        </w:rPr>
      </w:pPr>
      <w:r w:rsidRPr="00C85065">
        <w:t xml:space="preserve">Poskytovatel dále prohlašuje, že spadá pod účinnost zákona č. 340/2015 Sb., o registru smluv (dále jen </w:t>
      </w:r>
      <w:r w:rsidRPr="00784E45">
        <w:rPr>
          <w:b/>
        </w:rPr>
        <w:t>„Zákon o registru smluv“</w:t>
      </w:r>
      <w:r w:rsidRPr="00C85065">
        <w:t>) a v souladu s tímto zákonem zajistí zaregistrování této smlouvy. Prostřednictvím registru smluv se neuveřejňují informace, které nelze poskytnout při postupu podle předpisů upravujících svobodný přístup k</w:t>
      </w:r>
      <w:r w:rsidR="00D663CC">
        <w:t xml:space="preserve"> </w:t>
      </w:r>
      <w:proofErr w:type="gramStart"/>
      <w:r w:rsidRPr="00C85065">
        <w:t>informacím</w:t>
      </w:r>
      <w:proofErr w:type="gramEnd"/>
      <w:r w:rsidRPr="00C85065">
        <w:t xml:space="preserve"> a to zejména zákona č. 106/1999 Sb., o svobodném přístupu k informacím. Především se jedná o osobní údaje týkající se soukromého a osobního</w:t>
      </w:r>
      <w:r w:rsidRPr="007D08CA">
        <w:t xml:space="preserve"> života smluvní strany a třetích osob, kromě údaj</w:t>
      </w:r>
      <w:r w:rsidRPr="00D95680">
        <w:t>ů</w:t>
      </w:r>
      <w:r w:rsidRPr="007D08CA">
        <w:t xml:space="preserve"> uveden</w:t>
      </w:r>
      <w:r w:rsidRPr="00D95680">
        <w:t>ých</w:t>
      </w:r>
      <w:r w:rsidRPr="007D08CA">
        <w:t xml:space="preserve"> v živnostenském nebo obchodním rejstříku; utajované informace a obchodní tajemství, kterým nemůže být smlouva jako celek, ale pouze skutečnosti splňující pojmové znaky uvedené v § 504 občanského zákoníku.</w:t>
      </w:r>
    </w:p>
    <w:p w14:paraId="36377E35" w14:textId="77777777" w:rsidR="00521DBC" w:rsidRDefault="00521DBC" w:rsidP="00521DBC">
      <w:pPr>
        <w:numPr>
          <w:ilvl w:val="0"/>
          <w:numId w:val="2"/>
        </w:numPr>
        <w:tabs>
          <w:tab w:val="decimal" w:pos="576"/>
        </w:tabs>
        <w:suppressAutoHyphens w:val="0"/>
        <w:ind w:left="0"/>
        <w:rPr>
          <w:color w:val="000000"/>
          <w:spacing w:val="-3"/>
        </w:rPr>
      </w:pPr>
      <w:r w:rsidRPr="00660DE3">
        <w:t xml:space="preserve">Pro odstranění pochybností smluvní strany shodně prohlašují, že žádná skutečnost smlouvy nepředstavuje obchodní tajemství.   </w:t>
      </w:r>
    </w:p>
    <w:p w14:paraId="227284FE" w14:textId="77777777" w:rsidR="00521DBC" w:rsidRDefault="00521DBC" w:rsidP="00521DBC">
      <w:pPr>
        <w:numPr>
          <w:ilvl w:val="0"/>
          <w:numId w:val="2"/>
        </w:numPr>
        <w:tabs>
          <w:tab w:val="decimal" w:pos="576"/>
        </w:tabs>
        <w:suppressAutoHyphens w:val="0"/>
        <w:ind w:left="0"/>
        <w:rPr>
          <w:color w:val="000000"/>
          <w:spacing w:val="-3"/>
        </w:rPr>
      </w:pPr>
      <w:r w:rsidRPr="00BF7740">
        <w:t xml:space="preserve">Poskytovatel je povinen písemně informovat provozovatele o dni uveřejnění smlouvy v registru smluv a to neprodleně. V ostatních náležitostech souvisejících se Zákonem o registru smluv </w:t>
      </w:r>
      <w:r w:rsidRPr="00BF7740">
        <w:lastRenderedPageBreak/>
        <w:t xml:space="preserve">postupuje poskytovatel dle tohoto zákona, případně dalších souvisejících právních </w:t>
      </w:r>
      <w:proofErr w:type="gramStart"/>
      <w:r w:rsidRPr="00BF7740">
        <w:t>předpisů</w:t>
      </w:r>
      <w:proofErr w:type="gramEnd"/>
      <w:r w:rsidRPr="00BF7740">
        <w:t xml:space="preserve"> a to zejména v oblasti týkajících se obchodního tajemství.</w:t>
      </w:r>
    </w:p>
    <w:p w14:paraId="5868F92D" w14:textId="5B3BBB16" w:rsidR="00521DBC" w:rsidRDefault="00521DBC" w:rsidP="00521DBC">
      <w:pPr>
        <w:numPr>
          <w:ilvl w:val="0"/>
          <w:numId w:val="2"/>
        </w:numPr>
        <w:tabs>
          <w:tab w:val="decimal" w:pos="576"/>
        </w:tabs>
        <w:suppressAutoHyphens w:val="0"/>
        <w:ind w:left="0"/>
        <w:rPr>
          <w:color w:val="000000"/>
          <w:spacing w:val="-3"/>
        </w:rPr>
      </w:pPr>
      <w:r>
        <w:t xml:space="preserve">Provozovatel prohlašuje, že je osobou oprávněnou mimo jiné k výkonu vybraných komunikačních </w:t>
      </w:r>
      <w:proofErr w:type="gramStart"/>
      <w:r>
        <w:t>činností</w:t>
      </w:r>
      <w:proofErr w:type="gramEnd"/>
      <w:r>
        <w:t xml:space="preserve"> tj. z</w:t>
      </w:r>
      <w:r w:rsidRPr="00E07B3D">
        <w:t>ajišťování veřejné komunikační sítě - zemská rádiová v nelicencovaném pásmu</w:t>
      </w:r>
      <w:r w:rsidRPr="00E07B3D" w:rsidDel="00E07B3D">
        <w:t xml:space="preserve"> </w:t>
      </w:r>
      <w:r>
        <w:t>a p</w:t>
      </w:r>
      <w:r w:rsidRPr="00E07B3D">
        <w:t>oskytování veřejných služeb elektronických komunikací - pronájem okruhů</w:t>
      </w:r>
      <w:r>
        <w:t xml:space="preserve">. </w:t>
      </w:r>
    </w:p>
    <w:p w14:paraId="154A9042" w14:textId="5E51C346" w:rsidR="00521DBC" w:rsidRPr="00521DBC" w:rsidRDefault="00521DBC" w:rsidP="00521DBC">
      <w:pPr>
        <w:numPr>
          <w:ilvl w:val="0"/>
          <w:numId w:val="2"/>
        </w:numPr>
        <w:tabs>
          <w:tab w:val="decimal" w:pos="576"/>
        </w:tabs>
        <w:suppressAutoHyphens w:val="0"/>
        <w:ind w:left="0"/>
        <w:rPr>
          <w:color w:val="000000"/>
          <w:spacing w:val="-3"/>
        </w:rPr>
      </w:pPr>
      <w:r w:rsidRPr="00C85065">
        <w:t xml:space="preserve">Vzhledem k tomu, že zařízení </w:t>
      </w:r>
      <w:r>
        <w:t xml:space="preserve">provozovatele </w:t>
      </w:r>
      <w:r w:rsidRPr="00C85065">
        <w:t>může být provozováno v tzv. sdíleném režimu, může být v </w:t>
      </w:r>
      <w:r>
        <w:t>p</w:t>
      </w:r>
      <w:r w:rsidRPr="00C85065">
        <w:t>ředmětu užití umístěno zařízení či technologie ve vlastnictví podnikatele zajišťujícího veřejnou komunikační síť</w:t>
      </w:r>
      <w:r>
        <w:t xml:space="preserve"> ve sdíleném režimu s provozovatelem</w:t>
      </w:r>
      <w:r w:rsidRPr="00C85065">
        <w:t xml:space="preserve">, odlišného od </w:t>
      </w:r>
      <w:r>
        <w:t>p</w:t>
      </w:r>
      <w:r w:rsidRPr="00C85065">
        <w:t xml:space="preserve">rovozovatele, přičemž </w:t>
      </w:r>
      <w:r>
        <w:t>p</w:t>
      </w:r>
      <w:r w:rsidRPr="00C85065">
        <w:t>rovozovatel je k jejímu umístění a provozování v </w:t>
      </w:r>
      <w:r>
        <w:t>p</w:t>
      </w:r>
      <w:r w:rsidRPr="00C85065">
        <w:t>ředmětu užití oprávněn a nese za její umístění a provozování plnou odpovědnost. O této skutečnosti je provozovatel povinen prokazatelně informovat poskytovatele.</w:t>
      </w:r>
    </w:p>
    <w:p w14:paraId="5E6D48F6" w14:textId="77777777" w:rsidR="000E57EF" w:rsidRPr="003F6284" w:rsidRDefault="000E57EF" w:rsidP="00834DC9"/>
    <w:p w14:paraId="05D67DC3" w14:textId="77777777" w:rsidR="00C80F0D" w:rsidRDefault="00C80F0D" w:rsidP="00834DC9">
      <w:pPr>
        <w:rPr>
          <w:bCs/>
        </w:rPr>
      </w:pPr>
    </w:p>
    <w:p w14:paraId="26056702" w14:textId="77777777" w:rsidR="0037552D" w:rsidRPr="00C85ADE" w:rsidRDefault="0037552D" w:rsidP="00834DC9">
      <w:pPr>
        <w:suppressAutoHyphens w:val="0"/>
        <w:spacing w:line="276" w:lineRule="auto"/>
        <w:contextualSpacing/>
        <w:jc w:val="center"/>
        <w:rPr>
          <w:b/>
        </w:rPr>
      </w:pPr>
      <w:r w:rsidRPr="00C85ADE">
        <w:rPr>
          <w:b/>
        </w:rPr>
        <w:t>Čl. 3</w:t>
      </w:r>
    </w:p>
    <w:p w14:paraId="384D81D5" w14:textId="77777777" w:rsidR="0037552D" w:rsidRPr="00C85ADE" w:rsidRDefault="0037552D" w:rsidP="00834DC9">
      <w:pPr>
        <w:suppressAutoHyphens w:val="0"/>
        <w:spacing w:line="276" w:lineRule="auto"/>
        <w:contextualSpacing/>
        <w:jc w:val="center"/>
        <w:rPr>
          <w:b/>
        </w:rPr>
      </w:pPr>
      <w:r w:rsidRPr="00C85ADE">
        <w:rPr>
          <w:b/>
        </w:rPr>
        <w:t>Doba trvání a ukončení smluvního vztahu</w:t>
      </w:r>
    </w:p>
    <w:p w14:paraId="6D2616E2" w14:textId="77777777" w:rsidR="003831AE" w:rsidRPr="003831AE" w:rsidRDefault="0037552D" w:rsidP="003831AE">
      <w:pPr>
        <w:pStyle w:val="Odstavecseseznamem"/>
        <w:numPr>
          <w:ilvl w:val="0"/>
          <w:numId w:val="3"/>
        </w:numPr>
        <w:ind w:left="0"/>
        <w:rPr>
          <w:color w:val="000000"/>
          <w:spacing w:val="7"/>
        </w:rPr>
      </w:pPr>
      <w:r w:rsidRPr="00C85ADE">
        <w:rPr>
          <w:color w:val="000000"/>
          <w:spacing w:val="7"/>
        </w:rPr>
        <w:t xml:space="preserve">Tato smlouva se sjednává na dobu určitou osmi let, a to ode dne platnosti této </w:t>
      </w:r>
      <w:r w:rsidRPr="00C85ADE">
        <w:rPr>
          <w:color w:val="000000"/>
        </w:rPr>
        <w:t>smlouvy.</w:t>
      </w:r>
    </w:p>
    <w:p w14:paraId="1E0C5445" w14:textId="18C7AB39" w:rsidR="003831AE" w:rsidRPr="003831AE" w:rsidRDefault="003831AE" w:rsidP="003831AE">
      <w:pPr>
        <w:pStyle w:val="Odstavecseseznamem"/>
        <w:numPr>
          <w:ilvl w:val="0"/>
          <w:numId w:val="3"/>
        </w:numPr>
        <w:ind w:left="0"/>
        <w:rPr>
          <w:color w:val="000000"/>
          <w:spacing w:val="7"/>
        </w:rPr>
      </w:pPr>
      <w:r>
        <w:t>Platnost i účinnost</w:t>
      </w:r>
      <w:r w:rsidRPr="00D84095">
        <w:t xml:space="preserve"> smlouvy končí uplynutím doby</w:t>
      </w:r>
      <w:r>
        <w:t xml:space="preserve"> dle odst. 1 tohoto článku</w:t>
      </w:r>
      <w:r w:rsidRPr="00D84095">
        <w:t>.</w:t>
      </w:r>
    </w:p>
    <w:p w14:paraId="069064DB" w14:textId="77777777" w:rsidR="00AE0672" w:rsidRPr="00AE0672" w:rsidRDefault="0037552D" w:rsidP="00AE0672">
      <w:pPr>
        <w:pStyle w:val="Odstavecseseznamem"/>
        <w:numPr>
          <w:ilvl w:val="0"/>
          <w:numId w:val="3"/>
        </w:numPr>
        <w:ind w:left="0"/>
        <w:rPr>
          <w:color w:val="000000"/>
          <w:spacing w:val="5"/>
        </w:rPr>
      </w:pPr>
      <w:r w:rsidRPr="00C85ADE">
        <w:rPr>
          <w:color w:val="000000"/>
          <w:spacing w:val="5"/>
        </w:rPr>
        <w:t xml:space="preserve">Pokud budou v době ukončení smluvního vztahu uplynutím doby i nadále platit </w:t>
      </w:r>
      <w:r w:rsidRPr="00C85ADE">
        <w:rPr>
          <w:color w:val="000000"/>
        </w:rPr>
        <w:t>podmínky § 27 odst. 1 a 2 ZMS, lze s provozovatelem uzavřít nový smluvní vztah.</w:t>
      </w:r>
    </w:p>
    <w:p w14:paraId="4480D491" w14:textId="4B6F43FF" w:rsidR="00AE0672" w:rsidRPr="00AE0672" w:rsidRDefault="00AE0672" w:rsidP="00AE0672">
      <w:pPr>
        <w:pStyle w:val="Odstavecseseznamem"/>
        <w:numPr>
          <w:ilvl w:val="0"/>
          <w:numId w:val="3"/>
        </w:numPr>
        <w:ind w:left="0"/>
        <w:rPr>
          <w:color w:val="000000"/>
          <w:spacing w:val="5"/>
        </w:rPr>
      </w:pPr>
      <w:r>
        <w:t>S</w:t>
      </w:r>
      <w:r w:rsidRPr="00D84095">
        <w:t>mlouv</w:t>
      </w:r>
      <w:r>
        <w:t>u</w:t>
      </w:r>
      <w:r w:rsidRPr="00D84095">
        <w:t xml:space="preserve"> lze ukončit</w:t>
      </w:r>
      <w:r>
        <w:t xml:space="preserve"> </w:t>
      </w:r>
      <w:r w:rsidRPr="00D84095">
        <w:t xml:space="preserve">dohodou </w:t>
      </w:r>
      <w:r w:rsidRPr="00C85065">
        <w:t>smluvních stran. Dále pak ze strany poskytovatele výpovědí nebo odstoupením od smlouvy</w:t>
      </w:r>
      <w:r>
        <w:t>,</w:t>
      </w:r>
      <w:r w:rsidRPr="00C85065">
        <w:t xml:space="preserve"> pokud přestanou být plněny podmínky podle § 27 odst. 1 ZMS. Ze strany provozovatele </w:t>
      </w:r>
      <w:r>
        <w:t xml:space="preserve">lze smlouvu dále ukončit </w:t>
      </w:r>
      <w:r w:rsidRPr="00C85065">
        <w:t>dle platných ustanovení zákona č. 89/2012 Sb., Občanský zákoník. Pro všechny tyto způsoby ukončení smlouvy je vyžadována</w:t>
      </w:r>
      <w:r w:rsidRPr="00D84095">
        <w:t xml:space="preserve"> písemná forma.</w:t>
      </w:r>
    </w:p>
    <w:p w14:paraId="51BD51E4" w14:textId="77777777" w:rsidR="0037552D" w:rsidRPr="00C85ADE" w:rsidRDefault="0037552D" w:rsidP="00834DC9">
      <w:pPr>
        <w:pStyle w:val="Odstavecseseznamem"/>
        <w:numPr>
          <w:ilvl w:val="0"/>
          <w:numId w:val="3"/>
        </w:numPr>
        <w:ind w:left="0"/>
        <w:rPr>
          <w:color w:val="000000"/>
          <w:spacing w:val="-3"/>
        </w:rPr>
      </w:pPr>
      <w:r w:rsidRPr="00C85ADE">
        <w:rPr>
          <w:color w:val="000000"/>
          <w:spacing w:val="-3"/>
        </w:rPr>
        <w:t xml:space="preserve">V dohodě smluvních stran musí být uvedeno datum, ke kterému pozbývá tato smlouva </w:t>
      </w:r>
      <w:r w:rsidRPr="00C85ADE">
        <w:rPr>
          <w:color w:val="000000"/>
        </w:rPr>
        <w:t>platnost.</w:t>
      </w:r>
    </w:p>
    <w:p w14:paraId="66FB6EF8" w14:textId="77777777" w:rsidR="0037552D" w:rsidRPr="00C85ADE" w:rsidRDefault="0037552D" w:rsidP="00834DC9">
      <w:pPr>
        <w:pStyle w:val="Odstavecseseznamem"/>
        <w:numPr>
          <w:ilvl w:val="0"/>
          <w:numId w:val="3"/>
        </w:numPr>
        <w:suppressAutoHyphens w:val="0"/>
        <w:spacing w:line="276" w:lineRule="auto"/>
        <w:ind w:left="0"/>
        <w:contextualSpacing/>
        <w:jc w:val="both"/>
      </w:pPr>
      <w:r w:rsidRPr="00C85ADE">
        <w:rPr>
          <w:color w:val="000000"/>
          <w:spacing w:val="2"/>
        </w:rPr>
        <w:t>Výpovědí dále může smlouvu ukončit</w:t>
      </w:r>
    </w:p>
    <w:p w14:paraId="56DD0373" w14:textId="2A0CD253" w:rsidR="0037552D" w:rsidRPr="00C85ADE" w:rsidRDefault="0037552D" w:rsidP="00611216">
      <w:pPr>
        <w:pStyle w:val="Odstavecseseznamem"/>
        <w:numPr>
          <w:ilvl w:val="1"/>
          <w:numId w:val="3"/>
        </w:numPr>
        <w:suppressAutoHyphens w:val="0"/>
        <w:spacing w:line="276" w:lineRule="auto"/>
        <w:contextualSpacing/>
        <w:jc w:val="both"/>
      </w:pPr>
      <w:r w:rsidRPr="00C85ADE">
        <w:t>Poskytovatel, pokud</w:t>
      </w:r>
    </w:p>
    <w:p w14:paraId="7E55FDC3" w14:textId="77777777" w:rsidR="00611216" w:rsidRPr="00611216" w:rsidRDefault="00F44A22" w:rsidP="00611216">
      <w:pPr>
        <w:pStyle w:val="Odstavecseseznamem"/>
        <w:numPr>
          <w:ilvl w:val="3"/>
          <w:numId w:val="3"/>
        </w:numPr>
        <w:rPr>
          <w:color w:val="000000"/>
          <w:spacing w:val="3"/>
        </w:rPr>
      </w:pPr>
      <w:r w:rsidRPr="00D84095">
        <w:t xml:space="preserve">provozovatel užívá </w:t>
      </w:r>
      <w:r>
        <w:t>P</w:t>
      </w:r>
      <w:r w:rsidRPr="00D84095">
        <w:t>ředmět</w:t>
      </w:r>
      <w:r>
        <w:t xml:space="preserve"> užití</w:t>
      </w:r>
      <w:r w:rsidRPr="00D84095">
        <w:t xml:space="preserve"> v rozporu se smlouvou a nezjedná nápravu ani v dodatečné lhůtě ne kratší než </w:t>
      </w:r>
      <w:r w:rsidRPr="00660DE3">
        <w:t>30 p</w:t>
      </w:r>
      <w:r w:rsidRPr="00D84095">
        <w:t>racovních dní po obdržení písemné výzvy poskytovatele k nápravě s určením, v čem poskytovatel shledává rozpor se smlouvou,</w:t>
      </w:r>
    </w:p>
    <w:p w14:paraId="25AAB79A" w14:textId="5228BAB3" w:rsidR="00611216" w:rsidRPr="00611216" w:rsidRDefault="00611216" w:rsidP="00611216">
      <w:pPr>
        <w:pStyle w:val="Odstavecseseznamem"/>
        <w:numPr>
          <w:ilvl w:val="3"/>
          <w:numId w:val="3"/>
        </w:numPr>
        <w:rPr>
          <w:color w:val="000000"/>
          <w:spacing w:val="3"/>
        </w:rPr>
      </w:pPr>
      <w:r w:rsidRPr="00D84095">
        <w:t>provozovatel neplní povinnosti stanovené touto smlouvou (předevší</w:t>
      </w:r>
      <w:r>
        <w:t xml:space="preserve">m </w:t>
      </w:r>
      <w:r w:rsidRPr="00D84095">
        <w:t>prodlení</w:t>
      </w:r>
      <w:r>
        <w:t xml:space="preserve"> </w:t>
      </w:r>
      <w:r w:rsidRPr="00D84095">
        <w:t xml:space="preserve">s placením </w:t>
      </w:r>
      <w:r>
        <w:t>úhrady za umístění</w:t>
      </w:r>
      <w:r w:rsidRPr="00D84095">
        <w:t xml:space="preserve"> apod.) a nezjedná nápravu ani v dodatečné lhůtě ne kratší než </w:t>
      </w:r>
      <w:r w:rsidRPr="00660DE3">
        <w:t>30</w:t>
      </w:r>
      <w:r w:rsidRPr="00D84095">
        <w:t xml:space="preserve"> pracovních dnů po obdržení písemné výzvy poskytovatele k nápravě se specifikací porušené povinnosti.</w:t>
      </w:r>
    </w:p>
    <w:p w14:paraId="02999F06" w14:textId="350D9118" w:rsidR="0037552D" w:rsidRPr="00C85ADE" w:rsidRDefault="0037552D" w:rsidP="00611216">
      <w:pPr>
        <w:pStyle w:val="Odstavecseseznamem"/>
        <w:numPr>
          <w:ilvl w:val="1"/>
          <w:numId w:val="3"/>
        </w:numPr>
        <w:suppressAutoHyphens w:val="0"/>
        <w:spacing w:line="276" w:lineRule="auto"/>
        <w:contextualSpacing/>
        <w:jc w:val="both"/>
      </w:pPr>
      <w:r w:rsidRPr="00C85ADE">
        <w:t>Provozovatel, pokud</w:t>
      </w:r>
    </w:p>
    <w:p w14:paraId="5A765BAE" w14:textId="66A910BD" w:rsidR="0037552D" w:rsidRPr="008E3DBE" w:rsidRDefault="0037552D" w:rsidP="004E4120">
      <w:pPr>
        <w:pStyle w:val="Odstavecseseznamem"/>
        <w:numPr>
          <w:ilvl w:val="3"/>
          <w:numId w:val="3"/>
        </w:numPr>
        <w:rPr>
          <w:color w:val="000000"/>
          <w:spacing w:val="11"/>
        </w:rPr>
      </w:pPr>
      <w:r w:rsidRPr="00C85ADE">
        <w:rPr>
          <w:color w:val="000000"/>
          <w:spacing w:val="11"/>
        </w:rPr>
        <w:t xml:space="preserve">ztratí způsobilost k provozování činnosti dle zákona o elektronických </w:t>
      </w:r>
      <w:r w:rsidRPr="00C85ADE">
        <w:rPr>
          <w:color w:val="000000"/>
        </w:rPr>
        <w:t>komunikacích,</w:t>
      </w:r>
    </w:p>
    <w:p w14:paraId="7EF40DCE" w14:textId="059468E4" w:rsidR="008E3DBE" w:rsidRPr="00C85ADE" w:rsidRDefault="008E3DBE" w:rsidP="004E4120">
      <w:pPr>
        <w:pStyle w:val="Odstavecseseznamem"/>
        <w:numPr>
          <w:ilvl w:val="3"/>
          <w:numId w:val="3"/>
        </w:numPr>
        <w:rPr>
          <w:color w:val="000000"/>
          <w:spacing w:val="11"/>
        </w:rPr>
      </w:pPr>
      <w:r w:rsidRPr="00D84095">
        <w:t>poskytovatel neplní povinnosti stanovené touto smlouvou,</w:t>
      </w:r>
    </w:p>
    <w:p w14:paraId="09A80C64" w14:textId="77777777" w:rsidR="0037552D" w:rsidRPr="00C85ADE" w:rsidRDefault="0037552D" w:rsidP="00935955">
      <w:pPr>
        <w:pStyle w:val="Odstavecseseznamem"/>
        <w:numPr>
          <w:ilvl w:val="3"/>
          <w:numId w:val="3"/>
        </w:numPr>
        <w:suppressAutoHyphens w:val="0"/>
        <w:spacing w:line="276" w:lineRule="auto"/>
        <w:contextualSpacing/>
        <w:jc w:val="both"/>
      </w:pPr>
      <w:r w:rsidRPr="00C85ADE">
        <w:rPr>
          <w:color w:val="000000"/>
          <w:spacing w:val="-3"/>
        </w:rPr>
        <w:t xml:space="preserve">dojde k poškození nebo zničení zařízení poskytovatele v takovém rozsahu, že jej </w:t>
      </w:r>
      <w:r w:rsidRPr="00C85ADE">
        <w:rPr>
          <w:color w:val="000000"/>
        </w:rPr>
        <w:t>nebude možné provozovat,</w:t>
      </w:r>
    </w:p>
    <w:p w14:paraId="0EF00B35" w14:textId="7A686E9E" w:rsidR="0037552D" w:rsidRPr="00C85ADE" w:rsidRDefault="0037552D" w:rsidP="00935955">
      <w:pPr>
        <w:pStyle w:val="Odstavecseseznamem"/>
        <w:numPr>
          <w:ilvl w:val="3"/>
          <w:numId w:val="3"/>
        </w:numPr>
        <w:suppressAutoHyphens w:val="0"/>
        <w:spacing w:line="276" w:lineRule="auto"/>
        <w:contextualSpacing/>
        <w:jc w:val="both"/>
      </w:pPr>
      <w:r w:rsidRPr="00C85ADE">
        <w:rPr>
          <w:color w:val="000000"/>
        </w:rPr>
        <w:t>přestane majetek uvedený v čl. 1 odst. 1 využívat.</w:t>
      </w:r>
    </w:p>
    <w:p w14:paraId="1D6DB729" w14:textId="151860C9" w:rsidR="005C40B2" w:rsidRPr="005C40B2" w:rsidRDefault="0037552D" w:rsidP="005C40B2">
      <w:pPr>
        <w:pStyle w:val="Odstavecseseznamem"/>
        <w:numPr>
          <w:ilvl w:val="0"/>
          <w:numId w:val="3"/>
        </w:numPr>
        <w:suppressAutoHyphens w:val="0"/>
        <w:spacing w:line="276" w:lineRule="auto"/>
        <w:ind w:left="0"/>
        <w:contextualSpacing/>
      </w:pPr>
      <w:r>
        <w:rPr>
          <w:color w:val="000000"/>
          <w:spacing w:val="-3"/>
        </w:rPr>
        <w:t>V</w:t>
      </w:r>
      <w:r w:rsidRPr="00C85ADE">
        <w:rPr>
          <w:color w:val="000000"/>
          <w:spacing w:val="-3"/>
        </w:rPr>
        <w:t>ýpovědní doba</w:t>
      </w:r>
      <w:r>
        <w:rPr>
          <w:color w:val="000000"/>
          <w:spacing w:val="-3"/>
        </w:rPr>
        <w:t xml:space="preserve"> je</w:t>
      </w:r>
      <w:r w:rsidRPr="00C85ADE">
        <w:rPr>
          <w:color w:val="000000"/>
          <w:spacing w:val="-3"/>
        </w:rPr>
        <w:t xml:space="preserve"> tříměsíční a začíná běžet prvním dnem měsíce </w:t>
      </w:r>
      <w:r w:rsidRPr="00C85ADE">
        <w:rPr>
          <w:color w:val="000000"/>
          <w:spacing w:val="1"/>
        </w:rPr>
        <w:t>následujícího po měsíci, v němž bylo písemné oznámení výpovědi doručeno druhé</w:t>
      </w:r>
      <w:r>
        <w:rPr>
          <w:color w:val="000000"/>
          <w:spacing w:val="1"/>
        </w:rPr>
        <w:t xml:space="preserve"> smluvní</w:t>
      </w:r>
      <w:r w:rsidRPr="00C85ADE">
        <w:rPr>
          <w:color w:val="000000"/>
          <w:spacing w:val="1"/>
        </w:rPr>
        <w:t xml:space="preserve"> </w:t>
      </w:r>
      <w:r w:rsidRPr="00C85ADE">
        <w:rPr>
          <w:color w:val="000000"/>
        </w:rPr>
        <w:t>straně.</w:t>
      </w:r>
    </w:p>
    <w:p w14:paraId="43D5280C" w14:textId="77777777" w:rsidR="005C40B2" w:rsidRDefault="005C40B2" w:rsidP="005C40B2">
      <w:pPr>
        <w:pStyle w:val="Odstavecseseznamem"/>
        <w:numPr>
          <w:ilvl w:val="0"/>
          <w:numId w:val="3"/>
        </w:numPr>
        <w:suppressAutoHyphens w:val="0"/>
        <w:spacing w:line="276" w:lineRule="auto"/>
        <w:ind w:left="0"/>
        <w:contextualSpacing/>
      </w:pPr>
      <w:r>
        <w:t>O</w:t>
      </w:r>
      <w:r w:rsidRPr="00D84095">
        <w:t>dstoupení</w:t>
      </w:r>
      <w:r>
        <w:t>m od smlouvy</w:t>
      </w:r>
      <w:r w:rsidRPr="00D84095">
        <w:t xml:space="preserve"> nastávají</w:t>
      </w:r>
      <w:r>
        <w:t xml:space="preserve"> jeho účinky</w:t>
      </w:r>
      <w:r w:rsidRPr="00D84095">
        <w:t xml:space="preserve"> následující den po dni doručení písemného oznámení o odstoupení </w:t>
      </w:r>
      <w:r>
        <w:t>druhé smluvní straně</w:t>
      </w:r>
      <w:r w:rsidRPr="00D84095">
        <w:t>.</w:t>
      </w:r>
    </w:p>
    <w:p w14:paraId="6F7E4781" w14:textId="5A8A152A" w:rsidR="005C40B2" w:rsidRDefault="005C40B2" w:rsidP="005C40B2">
      <w:pPr>
        <w:pStyle w:val="Odstavecseseznamem"/>
        <w:numPr>
          <w:ilvl w:val="0"/>
          <w:numId w:val="3"/>
        </w:numPr>
        <w:suppressAutoHyphens w:val="0"/>
        <w:spacing w:line="276" w:lineRule="auto"/>
        <w:ind w:left="0"/>
        <w:contextualSpacing/>
      </w:pPr>
      <w:r>
        <w:lastRenderedPageBreak/>
        <w:t xml:space="preserve">Poskytovatel se zavazuje provozovatele bez zbytečného odkladu informovat o tom, že o předmět užití zažádala jiná organizační složka státu ve smyslu </w:t>
      </w:r>
      <w:proofErr w:type="spellStart"/>
      <w:r>
        <w:t>ust</w:t>
      </w:r>
      <w:proofErr w:type="spellEnd"/>
      <w:r>
        <w:t xml:space="preserve">. § 19a – 19c zákona č. 219/2000 Sb., o majetku České republiky a jejím vystupování v právních </w:t>
      </w:r>
      <w:r w:rsidRPr="00C85065">
        <w:t>vztazích nebo státní organizace při plnění úkolů státu, jakož i o tom, že s tímto majetkem hodlá sám nadále nakládat jako s majetkem potřebným</w:t>
      </w:r>
      <w:r>
        <w:t xml:space="preserve"> pro plnění funkcí státu či jiných úkolů vyplývajících z platných právních předpisů.</w:t>
      </w:r>
    </w:p>
    <w:p w14:paraId="05982FE5" w14:textId="16F9EF2F" w:rsidR="005C40B2" w:rsidRPr="00D84095" w:rsidRDefault="005C40B2" w:rsidP="005C40B2">
      <w:pPr>
        <w:pStyle w:val="Odstavecseseznamem"/>
        <w:numPr>
          <w:ilvl w:val="0"/>
          <w:numId w:val="3"/>
        </w:numPr>
        <w:suppressAutoHyphens w:val="0"/>
        <w:spacing w:line="276" w:lineRule="auto"/>
        <w:ind w:left="0"/>
        <w:contextualSpacing/>
      </w:pPr>
      <w:r>
        <w:t>Poskytovatel v případě ukončení smlouvy odstoupením ze strany poskytovatele poskytne provozovateli lhůtu ne kratší než 30 kalendářních dnů běžící ode dne doručení oznámení odstoupení nezbytnou k odstranění umístěného zařízení z předmětu užití.</w:t>
      </w:r>
    </w:p>
    <w:p w14:paraId="6B39A16B" w14:textId="77777777" w:rsidR="006F41FE" w:rsidRDefault="006F41FE" w:rsidP="00834DC9">
      <w:pPr>
        <w:pStyle w:val="Odstavecseseznamem"/>
        <w:ind w:left="0"/>
      </w:pPr>
    </w:p>
    <w:p w14:paraId="4D62DC4A" w14:textId="77777777" w:rsidR="006F41FE" w:rsidRPr="00C85ADE" w:rsidRDefault="006F41FE" w:rsidP="00834DC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5ADE">
        <w:rPr>
          <w:rFonts w:ascii="Times New Roman" w:hAnsi="Times New Roman"/>
          <w:b/>
          <w:sz w:val="24"/>
          <w:szCs w:val="24"/>
        </w:rPr>
        <w:t>Čl. 4</w:t>
      </w:r>
    </w:p>
    <w:p w14:paraId="64A9E363" w14:textId="77777777" w:rsidR="006F41FE" w:rsidRPr="00C85ADE" w:rsidRDefault="006F41FE" w:rsidP="00834DC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5ADE">
        <w:rPr>
          <w:rFonts w:ascii="Times New Roman" w:hAnsi="Times New Roman"/>
          <w:b/>
          <w:sz w:val="24"/>
          <w:szCs w:val="24"/>
        </w:rPr>
        <w:t>Výše a splatnost úhrad</w:t>
      </w:r>
    </w:p>
    <w:p w14:paraId="2CA8D26D" w14:textId="2FEE547B" w:rsidR="00582555" w:rsidRPr="00351268" w:rsidRDefault="006F41FE" w:rsidP="00834DC9">
      <w:pPr>
        <w:pStyle w:val="Bezmezer"/>
        <w:numPr>
          <w:ilvl w:val="0"/>
          <w:numId w:val="4"/>
        </w:numPr>
        <w:spacing w:line="208" w:lineRule="auto"/>
        <w:ind w:left="0"/>
        <w:jc w:val="both"/>
        <w:rPr>
          <w:rFonts w:ascii="Times New Roman" w:hAnsi="Times New Roman"/>
          <w:color w:val="000000"/>
          <w:spacing w:val="-4"/>
          <w:w w:val="105"/>
          <w:sz w:val="24"/>
          <w:szCs w:val="24"/>
        </w:rPr>
      </w:pPr>
      <w:r w:rsidRPr="00351268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Provozovatel se zavazuje</w:t>
      </w:r>
      <w:r w:rsidR="00582555" w:rsidRPr="00351268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 xml:space="preserve"> dnem </w:t>
      </w:r>
      <w:r w:rsidR="00AC6B90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nabytí účinnosti této smlouvy</w:t>
      </w:r>
      <w:r w:rsidRPr="00351268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 xml:space="preserve"> platit poskytovateli úhradu za umístění </w:t>
      </w:r>
      <w:r w:rsidR="00582555" w:rsidRPr="00351268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 xml:space="preserve">radiokomunikační technologie společnosti T-Mobile Czech Republic a.s., </w:t>
      </w:r>
      <w:r w:rsidR="00582555" w:rsidRPr="00351268">
        <w:rPr>
          <w:rFonts w:ascii="Times New Roman" w:hAnsi="Times New Roman"/>
          <w:sz w:val="24"/>
          <w:szCs w:val="24"/>
        </w:rPr>
        <w:t>Tomíčkova 2144/1, 148 00 Praha 4 na příhradovém ocelovém stožáru a v technologickém kontejneru v majetkové správě Zařízení služeb pro Ministerstvo vnitra.</w:t>
      </w:r>
    </w:p>
    <w:p w14:paraId="6613B40F" w14:textId="1A8537D8" w:rsidR="006F41FE" w:rsidRPr="00351268" w:rsidRDefault="006F41FE" w:rsidP="00834DC9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1268">
        <w:rPr>
          <w:rFonts w:ascii="Times New Roman" w:hAnsi="Times New Roman"/>
          <w:color w:val="000000"/>
          <w:spacing w:val="-8"/>
          <w:w w:val="105"/>
          <w:sz w:val="24"/>
          <w:szCs w:val="24"/>
        </w:rPr>
        <w:t xml:space="preserve">Smluvní strany se dohodly, že úhrada za umístěnou radiokomunikační </w:t>
      </w:r>
      <w:r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 xml:space="preserve">technologii činí </w:t>
      </w:r>
      <w:r w:rsidR="00196FCB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90</w:t>
      </w:r>
      <w:r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.</w:t>
      </w:r>
      <w:r w:rsidR="00196FCB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277</w:t>
      </w:r>
      <w:r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,</w:t>
      </w:r>
      <w:r w:rsidR="00196FCB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05</w:t>
      </w:r>
      <w:r w:rsidR="00B22C7C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 xml:space="preserve"> </w:t>
      </w:r>
      <w:r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Kč/rok bez DPH</w:t>
      </w:r>
      <w:r w:rsidR="00582555"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>.</w:t>
      </w:r>
      <w:r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 xml:space="preserve"> </w:t>
      </w:r>
      <w:r w:rsidR="00582555"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 xml:space="preserve">Úhrada za elektronickou zabezpečovací službu činí 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7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.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829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,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17</w:t>
      </w:r>
      <w:r w:rsidR="00B22C7C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 xml:space="preserve"> 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Kč/rok bez DPH</w:t>
      </w:r>
      <w:r w:rsidR="00582555"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 xml:space="preserve">. 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 xml:space="preserve">Celkem 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98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.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106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,</w:t>
      </w:r>
      <w:r w:rsidR="002109F3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22</w:t>
      </w:r>
      <w:r w:rsidR="00B22C7C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 xml:space="preserve"> </w:t>
      </w:r>
      <w:r w:rsidR="00582555" w:rsidRPr="00351268">
        <w:rPr>
          <w:rFonts w:ascii="Times New Roman" w:hAnsi="Times New Roman"/>
          <w:b/>
          <w:color w:val="000000"/>
          <w:spacing w:val="-6"/>
          <w:w w:val="105"/>
          <w:sz w:val="24"/>
          <w:szCs w:val="24"/>
        </w:rPr>
        <w:t>Kč/rok bez DPH</w:t>
      </w:r>
      <w:r w:rsidR="00582555" w:rsidRPr="00351268">
        <w:rPr>
          <w:rFonts w:ascii="Times New Roman" w:hAnsi="Times New Roman"/>
          <w:color w:val="000000"/>
          <w:spacing w:val="-6"/>
          <w:w w:val="105"/>
          <w:sz w:val="24"/>
          <w:szCs w:val="24"/>
        </w:rPr>
        <w:t>.</w:t>
      </w:r>
    </w:p>
    <w:p w14:paraId="1CEF7DE4" w14:textId="62995B8B" w:rsidR="006F41FE" w:rsidRPr="00C85ADE" w:rsidRDefault="006F41FE" w:rsidP="00834DC9">
      <w:pPr>
        <w:numPr>
          <w:ilvl w:val="0"/>
          <w:numId w:val="4"/>
        </w:numPr>
        <w:tabs>
          <w:tab w:val="decimal" w:pos="576"/>
        </w:tabs>
        <w:suppressAutoHyphens w:val="0"/>
        <w:ind w:left="0"/>
        <w:jc w:val="left"/>
        <w:rPr>
          <w:color w:val="000000"/>
          <w:spacing w:val="-6"/>
          <w:w w:val="105"/>
        </w:rPr>
      </w:pPr>
      <w:r w:rsidRPr="00C85ADE">
        <w:rPr>
          <w:color w:val="000000"/>
          <w:spacing w:val="-6"/>
          <w:w w:val="105"/>
        </w:rPr>
        <w:t xml:space="preserve">Poskytovatel je oprávněn vždy od 1. ledna příslušného kalendářního roku zvýšit úhradu </w:t>
      </w:r>
      <w:r w:rsidRPr="00C85ADE">
        <w:rPr>
          <w:color w:val="000000"/>
          <w:spacing w:val="-4"/>
          <w:w w:val="105"/>
        </w:rPr>
        <w:t>za poskytnutou službu o stanovenou míru inflace za uplynulý kalendářní rok.</w:t>
      </w:r>
    </w:p>
    <w:p w14:paraId="2ABD5086" w14:textId="0C46C6BA" w:rsidR="006F41FE" w:rsidRPr="002109F3" w:rsidRDefault="00582555" w:rsidP="00834DC9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  <w:szCs w:val="24"/>
        </w:rPr>
        <w:t xml:space="preserve">Spolu s úhradou za poskytnutou službu bude hrazena i spotřeba elektrické energie, jejíž cena je stanovena technickým výpočtem. Cena za odebranou elektrickou energii pro příslušný kalendářní rok činí </w:t>
      </w:r>
      <w:r w:rsidR="002109F3"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50</w:t>
      </w:r>
      <w:r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.</w:t>
      </w:r>
      <w:r w:rsidR="002109F3"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619</w:t>
      </w:r>
      <w:r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,</w:t>
      </w:r>
      <w:r w:rsidR="002109F3"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83</w:t>
      </w:r>
      <w:r w:rsidR="00B22C7C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 xml:space="preserve"> </w:t>
      </w:r>
      <w:r w:rsidRPr="002109F3">
        <w:rPr>
          <w:rFonts w:ascii="Times New Roman" w:hAnsi="Times New Roman"/>
          <w:b/>
          <w:color w:val="000000"/>
          <w:spacing w:val="-5"/>
          <w:w w:val="105"/>
          <w:sz w:val="24"/>
          <w:szCs w:val="24"/>
        </w:rPr>
        <w:t>Kč/rok bez DPH.</w:t>
      </w:r>
    </w:p>
    <w:p w14:paraId="3BC6DD1A" w14:textId="1A9AF98F" w:rsidR="006F41FE" w:rsidRPr="00C85ADE" w:rsidRDefault="00582555" w:rsidP="00834DC9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Výše ceny za spotřebovanou elektrickou energii se může měnit v</w:t>
      </w:r>
      <w:r w:rsidR="006E78E0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návaznosti</w:t>
      </w:r>
      <w:r w:rsidR="006E78E0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 na změnu ceny od dodavatele, případně se změnou příkonu umístěné technologie provozovatele.</w:t>
      </w:r>
    </w:p>
    <w:p w14:paraId="14F8947F" w14:textId="72E0614F" w:rsidR="00F32F56" w:rsidRDefault="00634C24" w:rsidP="00F32F56">
      <w:pPr>
        <w:numPr>
          <w:ilvl w:val="0"/>
          <w:numId w:val="4"/>
        </w:numPr>
        <w:ind w:left="0"/>
      </w:pPr>
      <w:r w:rsidRPr="00183466">
        <w:t xml:space="preserve">Úhrady za poskytnutou službu budou prováděny na základě vystaveného daňového dokladu – faktury, který bude vystaven poskytovatelem </w:t>
      </w:r>
      <w:proofErr w:type="gramStart"/>
      <w:r w:rsidRPr="00183466">
        <w:t>pololetně</w:t>
      </w:r>
      <w:proofErr w:type="gramEnd"/>
      <w:r w:rsidRPr="00183466">
        <w:t xml:space="preserve"> a to vždy nejdříve 1. den třetího měsíce příslušného kalendářního pololetí, příslušného kalendářního roku. Doba splatnosti je </w:t>
      </w:r>
      <w:r w:rsidR="006163B2">
        <w:t>25</w:t>
      </w:r>
      <w:r w:rsidRPr="00183466">
        <w:t xml:space="preserve"> kalendářních dnů od vystavení daňového dokladu.</w:t>
      </w:r>
    </w:p>
    <w:p w14:paraId="3097B131" w14:textId="68EADBA1" w:rsidR="00F32F56" w:rsidRDefault="00F32F56" w:rsidP="00F32F56">
      <w:pPr>
        <w:numPr>
          <w:ilvl w:val="0"/>
          <w:numId w:val="4"/>
        </w:numPr>
        <w:ind w:left="0"/>
      </w:pPr>
      <w:r w:rsidRPr="000A57E9">
        <w:t>Daňové doklady – faktury budou zasílány elektronicky na</w:t>
      </w:r>
      <w:r>
        <w:t xml:space="preserve"> </w:t>
      </w:r>
      <w:r w:rsidRPr="000A57E9">
        <w:t xml:space="preserve">adresu: </w:t>
      </w:r>
    </w:p>
    <w:p w14:paraId="02346CDD" w14:textId="1F6579EC" w:rsidR="00F32F56" w:rsidRPr="00183466" w:rsidRDefault="00AD6E50" w:rsidP="00F32F56">
      <w:pPr>
        <w:ind w:left="720"/>
      </w:pPr>
      <w:hyperlink r:id="rId7" w:history="1">
        <w:r w:rsidR="00F32F56" w:rsidRPr="00EE2CB7">
          <w:rPr>
            <w:rStyle w:val="Hypertextovodkaz"/>
            <w:szCs w:val="22"/>
          </w:rPr>
          <w:t>PN-Invoice.0133@invoicedtse.telekom.de</w:t>
        </w:r>
      </w:hyperlink>
    </w:p>
    <w:p w14:paraId="67716327" w14:textId="5CE72533" w:rsidR="006D46C7" w:rsidRDefault="006D46C7" w:rsidP="00834DC9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úhradám bude účtována aktuální sazba DPH.</w:t>
      </w:r>
    </w:p>
    <w:p w14:paraId="72603CE9" w14:textId="77777777" w:rsidR="00F32F56" w:rsidRPr="00F32F56" w:rsidRDefault="006D46C7" w:rsidP="00F32F56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2F56">
        <w:rPr>
          <w:rFonts w:ascii="Times New Roman" w:hAnsi="Times New Roman"/>
          <w:sz w:val="24"/>
          <w:szCs w:val="24"/>
        </w:rPr>
        <w:t>V daňovém dokladu – faktuře je poskytovatel oprávněn uplatnit aktuálně změnu dle stanovené míry inflace a změnu ceny elektrické energie.</w:t>
      </w:r>
    </w:p>
    <w:p w14:paraId="75F83873" w14:textId="47B12834" w:rsidR="00F32F56" w:rsidRPr="00F32F56" w:rsidRDefault="00F32F56" w:rsidP="00F32F56">
      <w:pPr>
        <w:pStyle w:val="Bezmezer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2F56">
        <w:rPr>
          <w:rFonts w:ascii="Times New Roman" w:hAnsi="Times New Roman"/>
          <w:sz w:val="24"/>
          <w:szCs w:val="24"/>
        </w:rPr>
        <w:t xml:space="preserve">V případě prodlení úhrady je poskytovatel oprávněn účtovat úroky z prodlení dle </w:t>
      </w:r>
      <w:proofErr w:type="spellStart"/>
      <w:r w:rsidRPr="00F32F56">
        <w:rPr>
          <w:rFonts w:ascii="Times New Roman" w:hAnsi="Times New Roman"/>
          <w:sz w:val="24"/>
          <w:szCs w:val="24"/>
        </w:rPr>
        <w:t>ust</w:t>
      </w:r>
      <w:proofErr w:type="spellEnd"/>
      <w:r w:rsidRPr="00F32F56">
        <w:rPr>
          <w:rFonts w:ascii="Times New Roman" w:hAnsi="Times New Roman"/>
          <w:sz w:val="24"/>
          <w:szCs w:val="24"/>
        </w:rPr>
        <w:t xml:space="preserve">. § 1970 občanského zákoníku a </w:t>
      </w:r>
      <w:proofErr w:type="spellStart"/>
      <w:r w:rsidRPr="00F32F56">
        <w:rPr>
          <w:rFonts w:ascii="Times New Roman" w:hAnsi="Times New Roman"/>
          <w:sz w:val="24"/>
          <w:szCs w:val="24"/>
        </w:rPr>
        <w:t>ust</w:t>
      </w:r>
      <w:proofErr w:type="spellEnd"/>
      <w:r w:rsidRPr="00F32F56">
        <w:rPr>
          <w:rFonts w:ascii="Times New Roman" w:hAnsi="Times New Roman"/>
          <w:sz w:val="24"/>
          <w:szCs w:val="24"/>
        </w:rPr>
        <w:t xml:space="preserve">. § 2 a § 3 Nařízením vlády č. 351/2013 Sb. Smluvní strany sjednávají, že provozovatel se nedostane do prodlení s úhradou za umístění zařízení v případě, že neobdrží řádný daňový doklad vystavený poskytovatelem. </w:t>
      </w:r>
    </w:p>
    <w:p w14:paraId="10C8B738" w14:textId="0D9CA9BB" w:rsidR="006F41FE" w:rsidRDefault="006F41FE" w:rsidP="00834DC9"/>
    <w:p w14:paraId="77B58AB0" w14:textId="77777777" w:rsidR="009C3DCC" w:rsidRPr="00C85ADE" w:rsidRDefault="009C3DCC" w:rsidP="00834DC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5ADE">
        <w:rPr>
          <w:rFonts w:ascii="Times New Roman" w:hAnsi="Times New Roman"/>
          <w:b/>
          <w:sz w:val="24"/>
          <w:szCs w:val="24"/>
        </w:rPr>
        <w:t>Čl. 5.</w:t>
      </w:r>
    </w:p>
    <w:p w14:paraId="0A967B8D" w14:textId="77777777" w:rsidR="009C3DCC" w:rsidRPr="00C85ADE" w:rsidRDefault="009C3DCC" w:rsidP="00834DC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5ADE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4A0E7C35" w14:textId="5A559902" w:rsidR="009C3DCC" w:rsidRPr="00C85ADE" w:rsidRDefault="009278A0" w:rsidP="00834DC9">
      <w:pPr>
        <w:numPr>
          <w:ilvl w:val="0"/>
          <w:numId w:val="5"/>
        </w:numPr>
        <w:suppressAutoHyphens w:val="0"/>
        <w:spacing w:line="276" w:lineRule="auto"/>
        <w:ind w:left="0"/>
      </w:pPr>
      <w:r>
        <w:rPr>
          <w:color w:val="000000"/>
          <w:spacing w:val="-5"/>
          <w:w w:val="105"/>
        </w:rPr>
        <w:t xml:space="preserve">Provozovatel </w:t>
      </w:r>
      <w:r w:rsidRPr="00C85065">
        <w:t xml:space="preserve">je oprávněn řádně užívat </w:t>
      </w:r>
      <w:r>
        <w:t>p</w:t>
      </w:r>
      <w:r w:rsidRPr="00C85065">
        <w:t xml:space="preserve">ředmět užití a dbát, aby při jeho činnosti nedocházelo </w:t>
      </w:r>
      <w:r>
        <w:t xml:space="preserve">k rušení provozu technického zařízení poskytovatele nebo </w:t>
      </w:r>
      <w:r w:rsidRPr="00C85065">
        <w:t>ke škodám na</w:t>
      </w:r>
      <w:r>
        <w:t xml:space="preserve"> jeho </w:t>
      </w:r>
      <w:r w:rsidRPr="00C85065">
        <w:t xml:space="preserve">majetku, případně </w:t>
      </w:r>
      <w:r>
        <w:t xml:space="preserve">aby nedošlo ke škodám nebo k rušení provozu technických zařízení </w:t>
      </w:r>
      <w:r w:rsidRPr="00C85065">
        <w:t xml:space="preserve">jiných provozovatelů </w:t>
      </w:r>
      <w:r>
        <w:lastRenderedPageBreak/>
        <w:t>umístěných na majetku poskytovatele specifikovaném v čl. 1 odst.1 smlouvy ke dni uzavření této smlouvy</w:t>
      </w:r>
    </w:p>
    <w:p w14:paraId="28BFC8A2" w14:textId="44243C8B" w:rsidR="009C3DCC" w:rsidRPr="00C85ADE" w:rsidRDefault="009278A0" w:rsidP="00834DC9">
      <w:pPr>
        <w:numPr>
          <w:ilvl w:val="0"/>
          <w:numId w:val="5"/>
        </w:numPr>
        <w:suppressAutoHyphens w:val="0"/>
        <w:spacing w:line="276" w:lineRule="auto"/>
        <w:ind w:left="0"/>
      </w:pPr>
      <w:r w:rsidRPr="00C85065">
        <w:t>V</w:t>
      </w:r>
      <w:r>
        <w:t xml:space="preserve"> </w:t>
      </w:r>
      <w:r w:rsidRPr="00C85065">
        <w:t xml:space="preserve">případě narušení provozu technických zařízení poskytovatele, </w:t>
      </w:r>
      <w:r>
        <w:t>či narušení</w:t>
      </w:r>
      <w:r w:rsidRPr="00C85065">
        <w:t xml:space="preserve"> </w:t>
      </w:r>
      <w:r>
        <w:t>provozu technických zařízení jiných provozovatelů umístěných na majetku poskytovatele specifikovaném v čl.</w:t>
      </w:r>
      <w:r w:rsidR="00A9242E">
        <w:t xml:space="preserve"> </w:t>
      </w:r>
      <w:r>
        <w:t>1 odst.1 smlouvy ke dni uzavření této smlouvy, a to prokazatelně způsobeného zařízením provozovatele či třetích osob dle čl. 2 odst.8 smlouvy umístěným na předmětu užití</w:t>
      </w:r>
      <w:r w:rsidRPr="00C85065">
        <w:t>,</w:t>
      </w:r>
      <w:r>
        <w:t xml:space="preserve"> </w:t>
      </w:r>
      <w:r w:rsidRPr="00C85065">
        <w:t>je provozovatel povinen tuto situaci neprodleně vyřešit.</w:t>
      </w:r>
      <w:r>
        <w:t xml:space="preserve"> Pokud bude zapotřebí z důvodu rušení zařízení v majetku poskytovatele či z důvodu rušení zařízení jiných provozovatelů umístěných na majetku poskytovatele specifikovaném v čl.1 odst.1 smlouvy ke dni uzavření této smlouvy zařízení provozovatele či třetí osoby dle čl. 2 odst. 8 smlouvy přemístit, poskytovatel se zavazuje, a to bude-li to technicky možné, umožnit provozovateli a/nebo třetí osobě dle čl. 2 odst. 8 smlouvy jeho přemístění v rámci jiného vhodného prostoru na majetku poskytovatele uvedeném v čl.1 odst.1 této smlouvy</w:t>
      </w:r>
      <w:r w:rsidR="009C3DCC" w:rsidRPr="00C85ADE">
        <w:rPr>
          <w:color w:val="000000"/>
          <w:spacing w:val="-19"/>
        </w:rPr>
        <w:t>.</w:t>
      </w:r>
    </w:p>
    <w:p w14:paraId="6080BE59" w14:textId="5A745737" w:rsidR="009C3DCC" w:rsidRPr="00C85ADE" w:rsidRDefault="009278A0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>
        <w:t>Poskytovatel se zavazuje před uzavřením každého nového smluvního vztahu mezi poskytovatelem a třetí osobou, případně úpravy stávajícího smluvního vztahu mezi poskytovatelem a třetí osobou z důvodu umístění nového zařízení či změny na stávajícím technickém zařízení, vyžádat si od zájemce o umístění nebo změnu, písemné doložení souhlasu všech zde již umístěných provozovatelů zařízení. Bez doložení těchto souhlasů nebude možné provést umístění nového zařízení nebo změnu na stávajícím zařízení a nový smluvní vztah či dodatek k příslušné smlouvě uzavřít.</w:t>
      </w:r>
    </w:p>
    <w:p w14:paraId="461351D2" w14:textId="0D150BC7" w:rsidR="009C3DCC" w:rsidRPr="00C85ADE" w:rsidRDefault="00844CBC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 xml:space="preserve">Všechny případné změny prováděné provozovatelem na předmětu užití podléhají písemnému schválení poskytovatele. Náklady na tyto změny znamenající rozšíření </w:t>
      </w:r>
      <w:r>
        <w:t>p</w:t>
      </w:r>
      <w:r w:rsidRPr="00C85065">
        <w:t xml:space="preserve">ředmětu užití uhradí provozovatel. Provozovatel zajistí, pokud bude třeba na vlastní náklady přípravu dokumentace potřebné k provedení takových úprav </w:t>
      </w:r>
      <w:r>
        <w:t>p</w:t>
      </w:r>
      <w:r w:rsidRPr="00C85065">
        <w:t>ředmětu užití a souvisejících prací a úkonů, jako i veškerá potřebná rozhodnutí, povolení, vyjádření a souhlasy příslušných správních orgánů. Poskytovatel se zavazuje poskytnout provozovateli nezbytnou součinnost</w:t>
      </w:r>
      <w:r>
        <w:t>.</w:t>
      </w:r>
    </w:p>
    <w:p w14:paraId="6E36B7EF" w14:textId="25BD9041" w:rsidR="009C3DCC" w:rsidRPr="00C85ADE" w:rsidRDefault="00BE6E74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>Provozovatel odpovídá za bezpečnost práce a požární ochranu při vlastní činnosti zejména při montáži, údržbě a provozu zařízení provozovatele. Po celou dobu platnosti této smlouvy bude provozovatel dodržovat platné protipožární, bezpečnostní, hygienické a ekologické obecně závazné normy</w:t>
      </w:r>
      <w:r w:rsidR="00245B9B">
        <w:t>.</w:t>
      </w:r>
    </w:p>
    <w:p w14:paraId="443B3313" w14:textId="1BA861D3" w:rsidR="009C3DCC" w:rsidRPr="00C85ADE" w:rsidRDefault="00BE6E74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D84095">
        <w:t>Provozovatel je povinen provádět údržbu, revize a opravy svého komunikačního zařízení na své náklady</w:t>
      </w:r>
      <w:r w:rsidR="00245B9B">
        <w:t>.</w:t>
      </w:r>
    </w:p>
    <w:p w14:paraId="3A1EAEE6" w14:textId="7453D4B8" w:rsidR="00245B9B" w:rsidRPr="00245B9B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>Provozovatel je povinen označit svá zařízení na viditelném místě názvem společnosti a dále uvede kontaktní telefonické spojení</w:t>
      </w:r>
      <w:r>
        <w:rPr>
          <w:color w:val="000000"/>
          <w:spacing w:val="5"/>
        </w:rPr>
        <w:t>.</w:t>
      </w:r>
    </w:p>
    <w:p w14:paraId="1A2B6B86" w14:textId="3DFD14C9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>Provozovatel odpovídá za úklid a odvoz odpadu, který vznikl jeho činností</w:t>
      </w:r>
      <w:r>
        <w:t>.</w:t>
      </w:r>
    </w:p>
    <w:p w14:paraId="0EC8B000" w14:textId="5DD4CD3B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 xml:space="preserve">Provozovatel, resp. jím určení zaměstnanci </w:t>
      </w:r>
      <w:r>
        <w:t xml:space="preserve">či pověření dodavatelé, </w:t>
      </w:r>
      <w:r w:rsidRPr="00C85065">
        <w:t>mají právo za dodržení podmínek tohoto článku přístupu k technickému zařízení provozovatele bez časového omezení, tj. 24 hodin denně, 7 dní v</w:t>
      </w:r>
      <w:r>
        <w:t> </w:t>
      </w:r>
      <w:r w:rsidRPr="00C85065">
        <w:t>týdnu</w:t>
      </w:r>
      <w:r>
        <w:t>.</w:t>
      </w:r>
    </w:p>
    <w:p w14:paraId="4414ABF1" w14:textId="2E9EE536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>Provozovatel je oprávněn přizpůsobovat instalované zařízení technickému vývoji a měnit ho částečně, případně zcela, pokud se tím nerozšiřuje rozsah umístění zařízení. O prováděných změnách umístěného zařízení, je povinen informovat poskytovatele</w:t>
      </w:r>
      <w:r>
        <w:t>.</w:t>
      </w:r>
    </w:p>
    <w:p w14:paraId="68152260" w14:textId="71925CF5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065">
        <w:t>Poskytovatel je povinen se zdržet takových činností, které by bránily řádnému provozu zařízení provozovatele. V případě nutných činností souvisejících s bezpečností provozu nebo ohrožením života a zdraví osob, je povinen informovat provozovatele a situaci řešit po vzájemné dohodě</w:t>
      </w:r>
    </w:p>
    <w:p w14:paraId="0DD4B750" w14:textId="2A425A80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D84095">
        <w:t>V případě způsobené škody na majetku druhé smluvní strany, jsou smluvní strany povinny si tuto škodu nahradit, a to především uvedením do původního stavu, nedohodnou-li se jinak</w:t>
      </w:r>
      <w:r>
        <w:t>.</w:t>
      </w:r>
    </w:p>
    <w:p w14:paraId="348923E6" w14:textId="3C215F56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D84095">
        <w:lastRenderedPageBreak/>
        <w:t>Smluvní strany jsou povinny se navzájem informovat o všech zjištěných nebezpečích nebo závadách, které mohou vést ke vzniku škod na majetku jiných osob</w:t>
      </w:r>
    </w:p>
    <w:p w14:paraId="0C32EC00" w14:textId="15297CD0" w:rsidR="009C3DCC" w:rsidRPr="00C85ADE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908A9">
        <w:t>P</w:t>
      </w:r>
      <w:r>
        <w:t>oskytovatel</w:t>
      </w:r>
      <w:r w:rsidRPr="00C908A9">
        <w:t xml:space="preserve"> nemá právo na úhradu pohledávky vůči </w:t>
      </w:r>
      <w:r>
        <w:t>provozovateli za</w:t>
      </w:r>
      <w:r w:rsidRPr="00C908A9">
        <w:t xml:space="preserve">držet movité věci, které </w:t>
      </w:r>
      <w:r>
        <w:t>má provozovatel na p</w:t>
      </w:r>
      <w:r w:rsidRPr="00A6271A">
        <w:t>ředmětu užití</w:t>
      </w:r>
      <w:r>
        <w:t>.</w:t>
      </w:r>
    </w:p>
    <w:p w14:paraId="18946D61" w14:textId="275CE343" w:rsidR="009C3DCC" w:rsidRPr="00C85ADE" w:rsidRDefault="009C3DCC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C85ADE">
        <w:rPr>
          <w:color w:val="000000"/>
          <w:spacing w:val="2"/>
        </w:rPr>
        <w:t>V případě převodu vlastnického práva k ocelovému příhradovému stožáru</w:t>
      </w:r>
      <w:r w:rsidR="00CC7EB6">
        <w:rPr>
          <w:color w:val="000000"/>
          <w:spacing w:val="2"/>
        </w:rPr>
        <w:t xml:space="preserve"> a technologickému kontejneru</w:t>
      </w:r>
      <w:r w:rsidRPr="00C85ADE">
        <w:rPr>
          <w:color w:val="000000"/>
          <w:spacing w:val="2"/>
        </w:rPr>
        <w:t xml:space="preserve"> na </w:t>
      </w:r>
      <w:r w:rsidRPr="00C85ADE">
        <w:rPr>
          <w:color w:val="000000"/>
          <w:spacing w:val="-1"/>
        </w:rPr>
        <w:t xml:space="preserve">pozemku </w:t>
      </w:r>
      <w:proofErr w:type="spellStart"/>
      <w:r w:rsidRPr="00C85ADE">
        <w:rPr>
          <w:color w:val="000000"/>
          <w:spacing w:val="-1"/>
        </w:rPr>
        <w:t>p.č</w:t>
      </w:r>
      <w:proofErr w:type="spellEnd"/>
      <w:r w:rsidRPr="00C85ADE">
        <w:rPr>
          <w:color w:val="000000"/>
          <w:spacing w:val="-1"/>
        </w:rPr>
        <w:t xml:space="preserve">. </w:t>
      </w:r>
      <w:r w:rsidR="00CC7EB6">
        <w:rPr>
          <w:color w:val="000000"/>
          <w:spacing w:val="-1"/>
        </w:rPr>
        <w:t>893</w:t>
      </w:r>
      <w:r w:rsidRPr="00C85ADE">
        <w:rPr>
          <w:color w:val="000000"/>
          <w:spacing w:val="-1"/>
        </w:rPr>
        <w:t>/</w:t>
      </w:r>
      <w:r w:rsidR="00CC7EB6">
        <w:rPr>
          <w:color w:val="000000"/>
          <w:spacing w:val="-1"/>
        </w:rPr>
        <w:t>5</w:t>
      </w:r>
      <w:r w:rsidRPr="00C85ADE">
        <w:rPr>
          <w:color w:val="000000"/>
          <w:spacing w:val="-1"/>
        </w:rPr>
        <w:t xml:space="preserve"> v</w:t>
      </w:r>
      <w:r w:rsidR="00CC7EB6">
        <w:rPr>
          <w:color w:val="000000"/>
          <w:spacing w:val="-1"/>
        </w:rPr>
        <w:t> </w:t>
      </w:r>
      <w:r w:rsidRPr="00C85ADE">
        <w:rPr>
          <w:color w:val="000000"/>
          <w:spacing w:val="-1"/>
        </w:rPr>
        <w:t>k</w:t>
      </w:r>
      <w:r w:rsidR="00CC7EB6">
        <w:rPr>
          <w:color w:val="000000"/>
          <w:spacing w:val="-1"/>
        </w:rPr>
        <w:t xml:space="preserve">atastrálním </w:t>
      </w:r>
      <w:r w:rsidRPr="00C85ADE">
        <w:rPr>
          <w:color w:val="000000"/>
          <w:spacing w:val="-1"/>
        </w:rPr>
        <w:t>ú</w:t>
      </w:r>
      <w:r w:rsidR="00CC7EB6">
        <w:rPr>
          <w:color w:val="000000"/>
          <w:spacing w:val="-1"/>
        </w:rPr>
        <w:t>zemí</w:t>
      </w:r>
      <w:r w:rsidRPr="00C85ADE">
        <w:rPr>
          <w:color w:val="000000"/>
          <w:spacing w:val="-1"/>
        </w:rPr>
        <w:t xml:space="preserve"> </w:t>
      </w:r>
      <w:r w:rsidR="00CC7EB6">
        <w:rPr>
          <w:color w:val="000000"/>
          <w:spacing w:val="-1"/>
        </w:rPr>
        <w:t>Prasek</w:t>
      </w:r>
      <w:r w:rsidRPr="00C85ADE">
        <w:rPr>
          <w:color w:val="000000"/>
          <w:spacing w:val="-1"/>
        </w:rPr>
        <w:t xml:space="preserve"> [</w:t>
      </w:r>
      <w:r w:rsidR="00CC7EB6">
        <w:rPr>
          <w:color w:val="000000"/>
          <w:spacing w:val="-1"/>
        </w:rPr>
        <w:t>732</w:t>
      </w:r>
      <w:r w:rsidRPr="00C85ADE">
        <w:rPr>
          <w:color w:val="000000"/>
          <w:spacing w:val="-1"/>
        </w:rPr>
        <w:t xml:space="preserve"> </w:t>
      </w:r>
      <w:r w:rsidR="00CC7EB6">
        <w:rPr>
          <w:color w:val="000000"/>
          <w:spacing w:val="-2"/>
        </w:rPr>
        <w:t>885</w:t>
      </w:r>
      <w:r w:rsidRPr="00C85ADE">
        <w:rPr>
          <w:color w:val="000000"/>
          <w:spacing w:val="-2"/>
        </w:rPr>
        <w:t xml:space="preserve">], obci </w:t>
      </w:r>
      <w:r w:rsidR="00CC7EB6">
        <w:rPr>
          <w:color w:val="000000"/>
          <w:spacing w:val="-2"/>
        </w:rPr>
        <w:t>Prasek</w:t>
      </w:r>
      <w:r w:rsidRPr="00C85ADE">
        <w:rPr>
          <w:color w:val="000000"/>
          <w:spacing w:val="-2"/>
        </w:rPr>
        <w:t xml:space="preserve"> [5</w:t>
      </w:r>
      <w:r w:rsidR="00CC7EB6">
        <w:rPr>
          <w:color w:val="000000"/>
          <w:spacing w:val="-2"/>
        </w:rPr>
        <w:t>70</w:t>
      </w:r>
      <w:r w:rsidRPr="00C85ADE">
        <w:rPr>
          <w:color w:val="000000"/>
          <w:spacing w:val="-2"/>
        </w:rPr>
        <w:t xml:space="preserve"> </w:t>
      </w:r>
      <w:r w:rsidR="00CC7EB6">
        <w:rPr>
          <w:color w:val="000000"/>
          <w:spacing w:val="-2"/>
        </w:rPr>
        <w:t>648</w:t>
      </w:r>
      <w:r w:rsidRPr="00C85ADE">
        <w:rPr>
          <w:color w:val="000000"/>
          <w:spacing w:val="-2"/>
        </w:rPr>
        <w:t xml:space="preserve">]) je poskytovatel povinen nejpozději ke dni </w:t>
      </w:r>
      <w:r w:rsidRPr="00C85ADE">
        <w:rPr>
          <w:color w:val="000000"/>
          <w:spacing w:val="2"/>
        </w:rPr>
        <w:t xml:space="preserve">převodu vlastnického práva prokazatelně seznámit nového vlastníka s obsahem </w:t>
      </w:r>
      <w:r w:rsidRPr="00C85ADE">
        <w:rPr>
          <w:color w:val="000000"/>
        </w:rPr>
        <w:t xml:space="preserve">této smlouvy. Poskytovatel je povinen oznámit provozovateli, že uzavřel smlouvu o převodu vlastnického práva k výše uvedenému ocelovému příhradovému stožáru </w:t>
      </w:r>
      <w:r w:rsidRPr="00C85ADE">
        <w:rPr>
          <w:color w:val="000000"/>
          <w:spacing w:val="1"/>
        </w:rPr>
        <w:t xml:space="preserve">a k výše uvedenému pozemku a že dle předchozí věty seznámil nového vlastníka </w:t>
      </w:r>
      <w:r w:rsidRPr="00C85ADE">
        <w:rPr>
          <w:color w:val="000000"/>
          <w:spacing w:val="-1"/>
        </w:rPr>
        <w:t xml:space="preserve">s touto smlouvou. </w:t>
      </w:r>
      <w:r w:rsidR="00245B9B" w:rsidRPr="00A6271A">
        <w:t>V případě převodu příslušnosti hospodařit bude postup obdobný.</w:t>
      </w:r>
    </w:p>
    <w:p w14:paraId="4D05D8F8" w14:textId="7B4E1BCB" w:rsidR="009C3DCC" w:rsidRPr="00245B9B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A6271A">
        <w:t>Poskytovatel je povinen udržovat Předmět užití ve stavu způsobilém k smluvenému užívání a zabezpečovat řádné plnění činností, jejichž výkon je s užíváním Předmětu užití spojen a zajistit provozovateli nerušený výkon užívacího práva</w:t>
      </w:r>
      <w:r>
        <w:t>.</w:t>
      </w:r>
    </w:p>
    <w:p w14:paraId="7E8D40F0" w14:textId="7D411C26" w:rsidR="00245B9B" w:rsidRPr="00E27A3C" w:rsidRDefault="00245B9B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E27A3C">
        <w:t xml:space="preserve">Poskytovatel souhlasí, že jakékoli i další úpravy předmětu užití, provedené provozovatelem, které mají či budou mít charakter technického </w:t>
      </w:r>
      <w:proofErr w:type="gramStart"/>
      <w:r w:rsidRPr="00E27A3C">
        <w:t>zhodnocení</w:t>
      </w:r>
      <w:proofErr w:type="gramEnd"/>
      <w:r w:rsidRPr="00E27A3C">
        <w:t xml:space="preserve"> a to i úpravy provedené za doby trvání dosavadní smlouvy specifikované v čl. 6 odst. 7 této smlouvy, neboť pokračuje závazek poskytovatele poskytovat provozovateli předmět užití k užívání, ve smyslu § 33 ZDP, bude po dobu trvání této smlouvy odepisovat provozovatel</w:t>
      </w:r>
    </w:p>
    <w:p w14:paraId="45E1DE28" w14:textId="0FDB5B59" w:rsidR="00446D97" w:rsidRPr="00915BB1" w:rsidRDefault="00446D97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077B4E">
        <w:t xml:space="preserve">Při ukončení užívání předmětu užití je provozovatel povinen vrátit poskytovateli předmět užití ve stavu, v jakém jej převzal, s přihlédnutím k jeho běžnému opotřebení a poskytovatelem </w:t>
      </w:r>
      <w:r w:rsidRPr="00915BB1">
        <w:t xml:space="preserve">schváleným změnám nebo provedenému technickému zhodnocení, pokud </w:t>
      </w:r>
      <w:proofErr w:type="gramStart"/>
      <w:r w:rsidRPr="00915BB1">
        <w:t>nebude  ujednáno</w:t>
      </w:r>
      <w:proofErr w:type="gramEnd"/>
      <w:r w:rsidRPr="00915BB1">
        <w:t xml:space="preserve"> jinak. Finanční vypořádání vzájemných závazků (popřípadě vrácení alikvotní části předplacené úhrady za umístění zařízení) bude provedeno do 60 kalendářních dnů ode dne ukončení užívání Předmětu užití</w:t>
      </w:r>
    </w:p>
    <w:p w14:paraId="6D4C31E8" w14:textId="63884370" w:rsidR="00446D97" w:rsidRPr="00915BB1" w:rsidRDefault="00446D97" w:rsidP="00834DC9">
      <w:pPr>
        <w:numPr>
          <w:ilvl w:val="0"/>
          <w:numId w:val="5"/>
        </w:numPr>
        <w:tabs>
          <w:tab w:val="clear" w:pos="360"/>
          <w:tab w:val="decimal" w:pos="432"/>
        </w:tabs>
        <w:suppressAutoHyphens w:val="0"/>
        <w:ind w:left="0"/>
        <w:rPr>
          <w:color w:val="000000"/>
          <w:spacing w:val="-4"/>
        </w:rPr>
      </w:pPr>
      <w:r w:rsidRPr="00915BB1">
        <w:t xml:space="preserve">Poskytovatel tímto bere na vědomí, že zpracování osobních údajů Poskytovatele či jeho zástupce ze strany Provozovatele se řídí </w:t>
      </w:r>
      <w:bookmarkStart w:id="1" w:name="_Hlk133396670"/>
      <w:r w:rsidRPr="00915BB1">
        <w:t xml:space="preserve">oznámením o ochraně osobních údajů pro smluvní partnery a jejich zástupce, </w:t>
      </w:r>
      <w:bookmarkEnd w:id="1"/>
      <w:r w:rsidRPr="00915BB1">
        <w:t>jehož aktuální verze se nachází na webových stránkách Provozovatele www.t-mobile-infra.cz</w:t>
      </w:r>
    </w:p>
    <w:p w14:paraId="4E28363C" w14:textId="29F7491A" w:rsidR="009C3DCC" w:rsidRPr="00915BB1" w:rsidRDefault="009C3DCC" w:rsidP="00834DC9"/>
    <w:p w14:paraId="6586795C" w14:textId="77777777" w:rsidR="0074251E" w:rsidRPr="00915BB1" w:rsidRDefault="0074251E" w:rsidP="00834DC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915BB1">
        <w:rPr>
          <w:b/>
        </w:rPr>
        <w:t>Čl. 6</w:t>
      </w:r>
    </w:p>
    <w:p w14:paraId="72EA9958" w14:textId="77777777" w:rsidR="0074251E" w:rsidRPr="00915BB1" w:rsidRDefault="0074251E" w:rsidP="00834DC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915BB1">
        <w:rPr>
          <w:b/>
        </w:rPr>
        <w:t>Ostatní a závěrečná ustanovení</w:t>
      </w:r>
    </w:p>
    <w:p w14:paraId="2D09C21A" w14:textId="77777777" w:rsidR="0074251E" w:rsidRPr="00915BB1" w:rsidRDefault="0074251E" w:rsidP="00834DC9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69DA4FC" w14:textId="77777777" w:rsidR="00AD6E50" w:rsidRDefault="0074251E" w:rsidP="00BC5D44">
      <w:pPr>
        <w:numPr>
          <w:ilvl w:val="0"/>
          <w:numId w:val="6"/>
        </w:numPr>
        <w:tabs>
          <w:tab w:val="decimal" w:pos="360"/>
        </w:tabs>
        <w:suppressAutoHyphens w:val="0"/>
        <w:autoSpaceDE w:val="0"/>
        <w:autoSpaceDN w:val="0"/>
        <w:adjustRightInd w:val="0"/>
        <w:spacing w:line="276" w:lineRule="auto"/>
        <w:ind w:left="0" w:hanging="357"/>
        <w:jc w:val="left"/>
      </w:pPr>
      <w:r w:rsidRPr="00AD6E50">
        <w:rPr>
          <w:color w:val="000000"/>
          <w:spacing w:val="1"/>
        </w:rPr>
        <w:t xml:space="preserve">Kontaktní osobou poskytovatele pro operativní řešení veškerých záležitostí je </w:t>
      </w:r>
      <w:proofErr w:type="spellStart"/>
      <w:r w:rsidR="00AD6E50" w:rsidRPr="00AD6E50">
        <w:rPr>
          <w:color w:val="000000"/>
          <w:spacing w:val="1"/>
        </w:rPr>
        <w:t>xxxxxxxxxxx</w:t>
      </w:r>
      <w:proofErr w:type="spellEnd"/>
      <w:r w:rsidRPr="00AD6E50">
        <w:rPr>
          <w:color w:val="000000"/>
        </w:rPr>
        <w:t xml:space="preserve">, tel, </w:t>
      </w:r>
      <w:proofErr w:type="spellStart"/>
      <w:r w:rsidR="00AD6E50" w:rsidRPr="00AD6E50">
        <w:rPr>
          <w:color w:val="000000"/>
        </w:rPr>
        <w:t>xxxxxxxxx</w:t>
      </w:r>
      <w:proofErr w:type="spellEnd"/>
      <w:r w:rsidRPr="00AD6E50">
        <w:rPr>
          <w:color w:val="000000"/>
        </w:rPr>
        <w:t xml:space="preserve">, </w:t>
      </w:r>
      <w:r w:rsidRPr="00104CF7">
        <w:t xml:space="preserve">e-mail: </w:t>
      </w:r>
      <w:proofErr w:type="spellStart"/>
      <w:r w:rsidR="00AD6E50">
        <w:t>xxxxxxxxxxxx</w:t>
      </w:r>
      <w:proofErr w:type="spellEnd"/>
    </w:p>
    <w:p w14:paraId="7CE8D525" w14:textId="4E142A0A" w:rsidR="001F7BCA" w:rsidRPr="00104CF7" w:rsidRDefault="00BC5D44" w:rsidP="00BC5D44">
      <w:pPr>
        <w:numPr>
          <w:ilvl w:val="0"/>
          <w:numId w:val="6"/>
        </w:numPr>
        <w:tabs>
          <w:tab w:val="decimal" w:pos="360"/>
        </w:tabs>
        <w:suppressAutoHyphens w:val="0"/>
        <w:autoSpaceDE w:val="0"/>
        <w:autoSpaceDN w:val="0"/>
        <w:adjustRightInd w:val="0"/>
        <w:spacing w:line="276" w:lineRule="auto"/>
        <w:ind w:left="0" w:hanging="357"/>
        <w:jc w:val="left"/>
      </w:pPr>
      <w:bookmarkStart w:id="2" w:name="_GoBack"/>
      <w:bookmarkEnd w:id="2"/>
      <w:r w:rsidRPr="00104CF7">
        <w:t xml:space="preserve">Kontaktní osobou provozovatele pro operativní řešení veškerých záležitostí je </w:t>
      </w:r>
    </w:p>
    <w:p w14:paraId="43F1C66A" w14:textId="77777777" w:rsidR="001F7BCA" w:rsidRPr="00104CF7" w:rsidRDefault="00BC5D44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  <w:r w:rsidRPr="00104CF7">
        <w:t xml:space="preserve"> e-mail</w:t>
      </w:r>
      <w:r w:rsidR="001F7BCA" w:rsidRPr="00104CF7">
        <w:t xml:space="preserve">: </w:t>
      </w:r>
    </w:p>
    <w:p w14:paraId="607A9277" w14:textId="6910C8BC" w:rsidR="001F7BCA" w:rsidRPr="00104CF7" w:rsidRDefault="001F7BCA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  <w:r w:rsidRPr="00104CF7">
        <w:t>jednotný kontaktní e-mail týmu správy smluv: smlouvy@t-mobile-infra.cz</w:t>
      </w:r>
    </w:p>
    <w:p w14:paraId="486121EE" w14:textId="77777777" w:rsidR="001F7BCA" w:rsidRPr="00104CF7" w:rsidRDefault="001F7BCA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</w:p>
    <w:p w14:paraId="429166E0" w14:textId="2D559C7D" w:rsidR="001F7BCA" w:rsidRDefault="001F7BCA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  <w:r w:rsidRPr="00104CF7">
        <w:t>technické záležitosti: pm@t-mobile-infra.cz</w:t>
      </w:r>
    </w:p>
    <w:p w14:paraId="572421D3" w14:textId="77777777" w:rsidR="001F7BCA" w:rsidRDefault="001F7BCA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</w:p>
    <w:p w14:paraId="6CE605B3" w14:textId="515F7BFB" w:rsidR="00885659" w:rsidRDefault="00885659" w:rsidP="001F7BCA">
      <w:pPr>
        <w:pStyle w:val="Odstavecseseznamem"/>
        <w:autoSpaceDE w:val="0"/>
        <w:autoSpaceDN w:val="0"/>
        <w:adjustRightInd w:val="0"/>
        <w:spacing w:line="276" w:lineRule="auto"/>
        <w:ind w:left="0"/>
      </w:pPr>
      <w:r w:rsidRPr="00915BB1">
        <w:t>Vztahy mezi smluvními stranami</w:t>
      </w:r>
      <w:r w:rsidRPr="00D84095">
        <w:t xml:space="preserve"> v této smlouvě neupravené se řídí obecně závaznými právními předpisy, zejména zákonem č. 219/2000 Sb., o majetku České republiky</w:t>
      </w:r>
      <w:r w:rsidR="00B01AAF">
        <w:t xml:space="preserve"> </w:t>
      </w:r>
      <w:r w:rsidRPr="00D84095">
        <w:t>a jejím vystupování v právních vztazích, ve znění pozdějších předpisů a zákonem</w:t>
      </w:r>
      <w:r w:rsidR="00B01AAF">
        <w:t xml:space="preserve"> </w:t>
      </w:r>
      <w:r w:rsidRPr="00D84095">
        <w:t>č. 235/2004, o dani z přidané hodnoty, ve znění pozdějších předpisů</w:t>
      </w:r>
      <w:r w:rsidRPr="00884EBB">
        <w:t>,</w:t>
      </w:r>
      <w:r w:rsidRPr="00541A7F">
        <w:t xml:space="preserve"> </w:t>
      </w:r>
      <w:r w:rsidRPr="00D84095">
        <w:t>zákonem.</w:t>
      </w:r>
      <w:r w:rsidR="00B01AAF">
        <w:t xml:space="preserve"> </w:t>
      </w:r>
      <w:r w:rsidRPr="00D84095">
        <w:t>č.  89/2012 Sb., občanský zákoní</w:t>
      </w:r>
      <w:r>
        <w:t xml:space="preserve">k, ve znění pozdějších předpisů </w:t>
      </w:r>
      <w:r w:rsidRPr="00884EBB">
        <w:t>a zákonem 127/2005</w:t>
      </w:r>
      <w:r>
        <w:rPr>
          <w:color w:val="FF0000"/>
        </w:rPr>
        <w:t xml:space="preserve"> </w:t>
      </w:r>
      <w:r w:rsidRPr="00884EBB">
        <w:t>Sb., o elektronických komunikacích a o změně některých souvisejících zákonů, ve znění pozdějších předpisů</w:t>
      </w:r>
      <w:r>
        <w:t>.</w:t>
      </w:r>
    </w:p>
    <w:p w14:paraId="223CBC7B" w14:textId="6EEAF54F" w:rsidR="0074251E" w:rsidRPr="00C85ADE" w:rsidRDefault="00CE3DB5" w:rsidP="00834DC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/>
      </w:pPr>
      <w:r w:rsidRPr="00D84095">
        <w:lastRenderedPageBreak/>
        <w:t xml:space="preserve">Práva a </w:t>
      </w:r>
      <w:r w:rsidRPr="007A11EF">
        <w:t>povinnosti vyplývající z této</w:t>
      </w:r>
      <w:r w:rsidRPr="00D84095">
        <w:t xml:space="preserve"> smlouvy v plném rozsahu přecházejí na případné právní nástupce obou smluvních stran</w:t>
      </w:r>
      <w:r>
        <w:t xml:space="preserve"> a každého dalšího vlastníka předmětu užití.</w:t>
      </w:r>
    </w:p>
    <w:p w14:paraId="02852AEC" w14:textId="77777777" w:rsidR="00454B32" w:rsidRDefault="00CE3DB5" w:rsidP="00454B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</w:pPr>
      <w:r w:rsidRPr="00D84095">
        <w:t xml:space="preserve">Veškeré změny nebo doplňky této smlouvy je třeba činit formou písemných, </w:t>
      </w:r>
      <w:r>
        <w:t>vze</w:t>
      </w:r>
      <w:r w:rsidRPr="00D84095">
        <w:t>stupně číslovaných a oběma smluvními stranami podepsaných dodatků</w:t>
      </w:r>
      <w:r>
        <w:t>.</w:t>
      </w:r>
    </w:p>
    <w:p w14:paraId="115FC744" w14:textId="3CD1500B" w:rsidR="0074251E" w:rsidRPr="00454B32" w:rsidRDefault="00454B32" w:rsidP="00454B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0"/>
      </w:pPr>
      <w:r w:rsidRPr="00EB4595">
        <w:rPr>
          <w:rFonts w:cs="Arial"/>
        </w:rPr>
        <w:t xml:space="preserve">Smluvní strany se dohodly, že tato smlouva se uzavírá v písemné formě a bude podepsána elektronickým podpisem jednajících osob </w:t>
      </w:r>
      <w:r w:rsidRPr="00C4318F">
        <w:rPr>
          <w:rFonts w:cs="Arial"/>
        </w:rPr>
        <w:t xml:space="preserve">použitím </w:t>
      </w:r>
      <w:r w:rsidRPr="00D95680">
        <w:rPr>
          <w:rFonts w:cs="Arial"/>
        </w:rPr>
        <w:t>kvalifikovaného</w:t>
      </w:r>
      <w:r w:rsidRPr="00EB4595">
        <w:rPr>
          <w:rFonts w:cs="Arial"/>
        </w:rPr>
        <w:t xml:space="preserve"> elektronického podpisu v souladu s nařízením </w:t>
      </w:r>
      <w:proofErr w:type="spellStart"/>
      <w:r w:rsidRPr="00EB4595">
        <w:rPr>
          <w:rFonts w:cs="Arial"/>
        </w:rPr>
        <w:t>eIDAS</w:t>
      </w:r>
      <w:proofErr w:type="spellEnd"/>
      <w:r w:rsidRPr="00EB4595">
        <w:rPr>
          <w:rFonts w:cs="Arial"/>
        </w:rPr>
        <w:t xml:space="preserve"> (EU) č. 910/2014 a příslušnými právními předpisy v oblasti elektronického podpisu, a to v jednom nebo více stejnopisech, z nichž každý bude považován za originál</w:t>
      </w:r>
      <w:r w:rsidR="0074251E" w:rsidRPr="009F389D">
        <w:t xml:space="preserve">. </w:t>
      </w:r>
    </w:p>
    <w:p w14:paraId="2401605A" w14:textId="4792E0A0" w:rsidR="00E147CA" w:rsidRDefault="00E147CA" w:rsidP="00E147CA">
      <w:pPr>
        <w:numPr>
          <w:ilvl w:val="0"/>
          <w:numId w:val="6"/>
        </w:numPr>
        <w:suppressAutoHyphens w:val="0"/>
        <w:ind w:left="0"/>
      </w:pPr>
      <w:r>
        <w:t>S</w:t>
      </w:r>
      <w:r w:rsidRPr="00D84095">
        <w:t xml:space="preserve">mlouva nabývá platnosti </w:t>
      </w:r>
      <w:r>
        <w:t xml:space="preserve">dnem podpisu oběma smluvními stranami a účinnosti dnem </w:t>
      </w:r>
      <w:r w:rsidR="008E361F">
        <w:t>4</w:t>
      </w:r>
      <w:r>
        <w:t xml:space="preserve">. </w:t>
      </w:r>
      <w:r w:rsidR="008E361F">
        <w:t>4</w:t>
      </w:r>
      <w:r>
        <w:t xml:space="preserve">. 2025, </w:t>
      </w:r>
      <w:r w:rsidRPr="006844CA">
        <w:t xml:space="preserve">nejdříve však dnem jejího zveřejnění v registru smluv dle zákona č. 340/2015 Sb., o zvláštních podmínkách účinnosti některých smluv, uveřejňování těchto smluv a o registru smluv (zákon o registru smluv), ve znění pozdějších předpisů. </w:t>
      </w:r>
    </w:p>
    <w:p w14:paraId="0EBC3694" w14:textId="2ACA7F22" w:rsidR="0074251E" w:rsidRDefault="00454B32" w:rsidP="008255B9">
      <w:pPr>
        <w:numPr>
          <w:ilvl w:val="0"/>
          <w:numId w:val="6"/>
        </w:numPr>
        <w:tabs>
          <w:tab w:val="left" w:pos="426"/>
        </w:tabs>
        <w:suppressAutoHyphens w:val="0"/>
        <w:ind w:left="0"/>
      </w:pPr>
      <w:r w:rsidRPr="00D84095">
        <w:t xml:space="preserve">Smluvní strany prohlašují, že před podpisem smlouvu řádně projednaly a přečetly, </w:t>
      </w:r>
      <w:r w:rsidRPr="00D84095">
        <w:br/>
        <w:t xml:space="preserve">že je sepsána podle jejich pravé a svobodné vůle, vážně a srozumitelně, nikoli v tísni </w:t>
      </w:r>
      <w:r w:rsidRPr="00D84095">
        <w:br/>
        <w:t>a za nápadně nevýhodných podmínek, a na důkaz toho připojují své podpisy</w:t>
      </w:r>
      <w:r w:rsidR="0074251E" w:rsidRPr="008919DD">
        <w:t>.</w:t>
      </w:r>
    </w:p>
    <w:p w14:paraId="6D8B2835" w14:textId="0E925FC2" w:rsidR="00CB4422" w:rsidRDefault="00CB4422" w:rsidP="00834DC9"/>
    <w:p w14:paraId="20705B89" w14:textId="77777777" w:rsidR="00CB4422" w:rsidRDefault="00CB4422" w:rsidP="00834DC9"/>
    <w:p w14:paraId="5F5FFE23" w14:textId="00A575B6" w:rsidR="00044C7B" w:rsidRDefault="00044C7B" w:rsidP="00834DC9"/>
    <w:p w14:paraId="4BC287FD" w14:textId="10AC3C0D" w:rsidR="00077B4E" w:rsidRPr="00D84095" w:rsidRDefault="00077B4E" w:rsidP="00077B4E">
      <w:pPr>
        <w:tabs>
          <w:tab w:val="left" w:pos="426"/>
          <w:tab w:val="left" w:pos="4860"/>
        </w:tabs>
      </w:pPr>
      <w:r>
        <w:t>Poskytovatel</w:t>
      </w:r>
      <w:r w:rsidRPr="00D84095">
        <w:t>:</w:t>
      </w:r>
      <w:r>
        <w:tab/>
      </w:r>
      <w:r>
        <w:tab/>
        <w:t>Provozovatel:</w:t>
      </w:r>
    </w:p>
    <w:p w14:paraId="00E7D6C6" w14:textId="35301541" w:rsidR="00077B4E" w:rsidRPr="0033228B" w:rsidRDefault="00077B4E" w:rsidP="00077B4E">
      <w:pPr>
        <w:tabs>
          <w:tab w:val="left" w:pos="426"/>
        </w:tabs>
        <w:rPr>
          <w:b/>
          <w:bCs/>
          <w:color w:val="FF0000"/>
        </w:rPr>
      </w:pPr>
      <w:r>
        <w:rPr>
          <w:b/>
          <w:bCs/>
          <w:color w:val="000000"/>
        </w:rPr>
        <w:t>Zařízení služeb pro Ministerstvo vnitra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4444F">
        <w:rPr>
          <w:b/>
          <w:bCs/>
        </w:rPr>
        <w:t>T-Mobile Infra CZ s.r.o.</w:t>
      </w:r>
      <w:r w:rsidRPr="0033228B">
        <w:rPr>
          <w:b/>
          <w:bCs/>
          <w:color w:val="FF0000"/>
        </w:rPr>
        <w:t xml:space="preserve"> </w:t>
      </w:r>
    </w:p>
    <w:p w14:paraId="59271696" w14:textId="77777777" w:rsidR="00077B4E" w:rsidRDefault="00077B4E" w:rsidP="00077B4E">
      <w:pPr>
        <w:tabs>
          <w:tab w:val="left" w:pos="426"/>
        </w:tabs>
        <w:rPr>
          <w:b/>
          <w:bCs/>
          <w:color w:val="000000"/>
        </w:rPr>
      </w:pPr>
    </w:p>
    <w:p w14:paraId="4B9A5C39" w14:textId="77777777" w:rsidR="00077B4E" w:rsidRDefault="00077B4E" w:rsidP="00077B4E">
      <w:pPr>
        <w:tabs>
          <w:tab w:val="left" w:pos="426"/>
        </w:tabs>
        <w:rPr>
          <w:b/>
          <w:bCs/>
          <w:color w:val="000000"/>
        </w:rPr>
      </w:pPr>
    </w:p>
    <w:p w14:paraId="7BD0D2F1" w14:textId="77777777" w:rsidR="00077B4E" w:rsidRDefault="00077B4E" w:rsidP="00077B4E">
      <w:pPr>
        <w:tabs>
          <w:tab w:val="left" w:pos="426"/>
        </w:tabs>
        <w:rPr>
          <w:b/>
          <w:bCs/>
          <w:color w:val="000000"/>
        </w:rPr>
      </w:pPr>
    </w:p>
    <w:p w14:paraId="15395865" w14:textId="77777777" w:rsidR="00077B4E" w:rsidRPr="00D84095" w:rsidRDefault="00077B4E" w:rsidP="00077B4E">
      <w:pPr>
        <w:tabs>
          <w:tab w:val="left" w:pos="426"/>
        </w:tabs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5400E372" w14:textId="14E52102" w:rsidR="00077B4E" w:rsidRPr="00D84095" w:rsidRDefault="00077B4E" w:rsidP="00077B4E">
      <w:r w:rsidRPr="00D84095">
        <w:t xml:space="preserve"> ……………</w:t>
      </w:r>
      <w:r>
        <w:t>……………………….</w:t>
      </w:r>
      <w:r>
        <w:tab/>
        <w:t xml:space="preserve">    </w:t>
      </w:r>
      <w:r>
        <w:tab/>
        <w:t xml:space="preserve">            ………………………………………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4"/>
        <w:gridCol w:w="4578"/>
      </w:tblGrid>
      <w:tr w:rsidR="00077B4E" w:rsidRPr="00D84095" w14:paraId="355CD407" w14:textId="77777777" w:rsidTr="00E147CA">
        <w:trPr>
          <w:jc w:val="center"/>
        </w:trPr>
        <w:tc>
          <w:tcPr>
            <w:tcW w:w="4568" w:type="dxa"/>
            <w:shd w:val="clear" w:color="auto" w:fill="auto"/>
          </w:tcPr>
          <w:p w14:paraId="41227491" w14:textId="77777777" w:rsidR="00077B4E" w:rsidRPr="0074444F" w:rsidRDefault="00077B4E" w:rsidP="00E147CA">
            <w:pPr>
              <w:rPr>
                <w:rFonts w:eastAsia="Calibri"/>
              </w:rPr>
            </w:pPr>
            <w:r w:rsidRPr="0074444F">
              <w:rPr>
                <w:rFonts w:eastAsia="Calibri"/>
              </w:rPr>
              <w:t>Mgr. Simona Hrubá</w:t>
            </w:r>
          </w:p>
        </w:tc>
        <w:tc>
          <w:tcPr>
            <w:tcW w:w="4644" w:type="dxa"/>
            <w:shd w:val="clear" w:color="auto" w:fill="auto"/>
          </w:tcPr>
          <w:p w14:paraId="61DEA495" w14:textId="340D7EF9" w:rsidR="00077B4E" w:rsidRPr="00A75707" w:rsidRDefault="00077B4E" w:rsidP="00E147CA">
            <w:pPr>
              <w:rPr>
                <w:rFonts w:eastAsia="Calibri"/>
              </w:rPr>
            </w:pPr>
            <w:r w:rsidRPr="00A75707">
              <w:rPr>
                <w:rFonts w:eastAsia="Calibri"/>
              </w:rPr>
              <w:t xml:space="preserve">      </w:t>
            </w:r>
            <w:r w:rsidR="003D7D32">
              <w:rPr>
                <w:rFonts w:eastAsia="Calibri"/>
              </w:rPr>
              <w:t xml:space="preserve">Ing. Ivana Bodlák </w:t>
            </w:r>
          </w:p>
        </w:tc>
      </w:tr>
      <w:tr w:rsidR="00077B4E" w:rsidRPr="00D84095" w14:paraId="72C6464F" w14:textId="77777777" w:rsidTr="00E147CA">
        <w:trPr>
          <w:jc w:val="center"/>
        </w:trPr>
        <w:tc>
          <w:tcPr>
            <w:tcW w:w="4568" w:type="dxa"/>
            <w:shd w:val="clear" w:color="auto" w:fill="auto"/>
          </w:tcPr>
          <w:p w14:paraId="453ED999" w14:textId="77777777" w:rsidR="00077B4E" w:rsidRPr="0074444F" w:rsidRDefault="00077B4E" w:rsidP="00E147CA">
            <w:pPr>
              <w:rPr>
                <w:rFonts w:eastAsia="Calibri"/>
              </w:rPr>
            </w:pPr>
            <w:r w:rsidRPr="0074444F">
              <w:rPr>
                <w:rFonts w:eastAsia="Calibri"/>
              </w:rPr>
              <w:t>ředitelka ZSMV</w:t>
            </w:r>
          </w:p>
        </w:tc>
        <w:tc>
          <w:tcPr>
            <w:tcW w:w="4644" w:type="dxa"/>
            <w:shd w:val="clear" w:color="auto" w:fill="auto"/>
          </w:tcPr>
          <w:p w14:paraId="172EA03F" w14:textId="4F2B83C3" w:rsidR="00077B4E" w:rsidRPr="00A75707" w:rsidRDefault="00077B4E" w:rsidP="00E147CA">
            <w:pPr>
              <w:rPr>
                <w:rFonts w:eastAsia="Calibri"/>
              </w:rPr>
            </w:pPr>
            <w:r w:rsidRPr="00A75707">
              <w:rPr>
                <w:rFonts w:eastAsia="Calibri"/>
              </w:rPr>
              <w:t xml:space="preserve">      </w:t>
            </w:r>
            <w:r w:rsidR="003D7D32" w:rsidRPr="003D7D32">
              <w:rPr>
                <w:rFonts w:eastAsia="Calibri"/>
              </w:rPr>
              <w:t>Specialista řízení leasingových smluv</w:t>
            </w:r>
          </w:p>
        </w:tc>
      </w:tr>
      <w:tr w:rsidR="00077B4E" w:rsidRPr="00BD060A" w14:paraId="1927C959" w14:textId="77777777" w:rsidTr="00E147CA">
        <w:trPr>
          <w:jc w:val="center"/>
        </w:trPr>
        <w:tc>
          <w:tcPr>
            <w:tcW w:w="4568" w:type="dxa"/>
            <w:shd w:val="clear" w:color="auto" w:fill="auto"/>
          </w:tcPr>
          <w:p w14:paraId="3B843218" w14:textId="77777777" w:rsidR="00077B4E" w:rsidRDefault="00077B4E" w:rsidP="00E147CA">
            <w:pPr>
              <w:jc w:val="center"/>
              <w:rPr>
                <w:rFonts w:eastAsia="Calibri"/>
              </w:rPr>
            </w:pPr>
          </w:p>
          <w:p w14:paraId="5982A40D" w14:textId="77777777" w:rsidR="00077B4E" w:rsidRDefault="00077B4E" w:rsidP="00E147CA">
            <w:pPr>
              <w:jc w:val="center"/>
              <w:rPr>
                <w:rFonts w:eastAsia="Calibri"/>
              </w:rPr>
            </w:pPr>
          </w:p>
          <w:p w14:paraId="03DC5EB1" w14:textId="77777777" w:rsidR="00077B4E" w:rsidRDefault="00077B4E" w:rsidP="00E147CA">
            <w:pPr>
              <w:jc w:val="center"/>
              <w:rPr>
                <w:rFonts w:eastAsia="Calibri"/>
              </w:rPr>
            </w:pPr>
          </w:p>
          <w:p w14:paraId="38296938" w14:textId="77777777" w:rsidR="00077B4E" w:rsidRPr="00046094" w:rsidRDefault="00077B4E" w:rsidP="00E147CA">
            <w:pPr>
              <w:jc w:val="center"/>
              <w:rPr>
                <w:rFonts w:eastAsia="Calibri"/>
              </w:rPr>
            </w:pPr>
          </w:p>
        </w:tc>
        <w:tc>
          <w:tcPr>
            <w:tcW w:w="4644" w:type="dxa"/>
            <w:shd w:val="clear" w:color="auto" w:fill="auto"/>
          </w:tcPr>
          <w:p w14:paraId="27B656AC" w14:textId="77777777" w:rsidR="00077B4E" w:rsidRPr="00046094" w:rsidRDefault="00077B4E" w:rsidP="00E147C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</w:tc>
      </w:tr>
    </w:tbl>
    <w:p w14:paraId="7D69AE99" w14:textId="33915216" w:rsidR="00044C7B" w:rsidRPr="00C85ADE" w:rsidRDefault="00077B4E" w:rsidP="003D7D32">
      <w:r>
        <w:t xml:space="preserve">                                                                                  </w:t>
      </w:r>
    </w:p>
    <w:p w14:paraId="21F98B82" w14:textId="77777777" w:rsidR="00044C7B" w:rsidRPr="00C85ADE" w:rsidRDefault="00044C7B" w:rsidP="00834DC9">
      <w:pPr>
        <w:spacing w:line="276" w:lineRule="auto"/>
        <w:ind w:firstLine="708"/>
      </w:pPr>
    </w:p>
    <w:p w14:paraId="66A1774B" w14:textId="77777777" w:rsidR="00044C7B" w:rsidRDefault="00044C7B" w:rsidP="006F41FE"/>
    <w:sectPr w:rsidR="00044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6F1B5C" w16cex:dateUtc="2025-02-26T10:1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23D"/>
    <w:multiLevelType w:val="hybridMultilevel"/>
    <w:tmpl w:val="EE2EDF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D63"/>
    <w:multiLevelType w:val="hybridMultilevel"/>
    <w:tmpl w:val="9D704CA0"/>
    <w:lvl w:ilvl="0" w:tplc="14881D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2355"/>
    <w:multiLevelType w:val="hybridMultilevel"/>
    <w:tmpl w:val="67861F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E6ECA2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1B2067"/>
    <w:multiLevelType w:val="hybridMultilevel"/>
    <w:tmpl w:val="FCF85FEA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2A88"/>
    <w:multiLevelType w:val="hybridMultilevel"/>
    <w:tmpl w:val="2C2CFD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7392"/>
    <w:multiLevelType w:val="hybridMultilevel"/>
    <w:tmpl w:val="91D8B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90177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2022B8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011"/>
    <w:multiLevelType w:val="hybridMultilevel"/>
    <w:tmpl w:val="2D7C6178"/>
    <w:lvl w:ilvl="0" w:tplc="95706E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B532D"/>
    <w:multiLevelType w:val="hybridMultilevel"/>
    <w:tmpl w:val="CF80FDE4"/>
    <w:lvl w:ilvl="0" w:tplc="9BFCAD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001AC"/>
    <w:multiLevelType w:val="hybridMultilevel"/>
    <w:tmpl w:val="1F66DE36"/>
    <w:lvl w:ilvl="0" w:tplc="6102EE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C2C4E"/>
    <w:multiLevelType w:val="hybridMultilevel"/>
    <w:tmpl w:val="D080467E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682F"/>
    <w:multiLevelType w:val="hybridMultilevel"/>
    <w:tmpl w:val="CF80FDE4"/>
    <w:lvl w:ilvl="0" w:tplc="9BFCAD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5"/>
    <w:rsid w:val="00016A8D"/>
    <w:rsid w:val="00025C38"/>
    <w:rsid w:val="00044C7B"/>
    <w:rsid w:val="00077B4E"/>
    <w:rsid w:val="000E57EF"/>
    <w:rsid w:val="00104CF7"/>
    <w:rsid w:val="00120EFF"/>
    <w:rsid w:val="00183466"/>
    <w:rsid w:val="00196FCB"/>
    <w:rsid w:val="001F7BCA"/>
    <w:rsid w:val="002109F3"/>
    <w:rsid w:val="00214FE3"/>
    <w:rsid w:val="00245B9B"/>
    <w:rsid w:val="002F122E"/>
    <w:rsid w:val="00351268"/>
    <w:rsid w:val="00361DDD"/>
    <w:rsid w:val="0037552D"/>
    <w:rsid w:val="0038003D"/>
    <w:rsid w:val="003831AE"/>
    <w:rsid w:val="003C7418"/>
    <w:rsid w:val="003D4166"/>
    <w:rsid w:val="003D7D32"/>
    <w:rsid w:val="00410AE4"/>
    <w:rsid w:val="004254D7"/>
    <w:rsid w:val="00446D97"/>
    <w:rsid w:val="00454B32"/>
    <w:rsid w:val="004E4120"/>
    <w:rsid w:val="00515F15"/>
    <w:rsid w:val="00521DBC"/>
    <w:rsid w:val="00582555"/>
    <w:rsid w:val="005941EA"/>
    <w:rsid w:val="00597F30"/>
    <w:rsid w:val="005C40B2"/>
    <w:rsid w:val="00611216"/>
    <w:rsid w:val="006163B2"/>
    <w:rsid w:val="00634C24"/>
    <w:rsid w:val="00637D39"/>
    <w:rsid w:val="006A1574"/>
    <w:rsid w:val="006B019D"/>
    <w:rsid w:val="006D46C7"/>
    <w:rsid w:val="006E78E0"/>
    <w:rsid w:val="006F41FE"/>
    <w:rsid w:val="0074251E"/>
    <w:rsid w:val="00744FCC"/>
    <w:rsid w:val="00754B06"/>
    <w:rsid w:val="0075508C"/>
    <w:rsid w:val="00784E45"/>
    <w:rsid w:val="007A12A3"/>
    <w:rsid w:val="008255B9"/>
    <w:rsid w:val="00834DC9"/>
    <w:rsid w:val="008426BF"/>
    <w:rsid w:val="00844CBC"/>
    <w:rsid w:val="008536CB"/>
    <w:rsid w:val="00885659"/>
    <w:rsid w:val="008A3B9B"/>
    <w:rsid w:val="008E361F"/>
    <w:rsid w:val="008E3DBE"/>
    <w:rsid w:val="00915BB1"/>
    <w:rsid w:val="009278A0"/>
    <w:rsid w:val="009354AB"/>
    <w:rsid w:val="00935955"/>
    <w:rsid w:val="009C3DCC"/>
    <w:rsid w:val="009D19FF"/>
    <w:rsid w:val="009F389D"/>
    <w:rsid w:val="00A625AC"/>
    <w:rsid w:val="00A65A1F"/>
    <w:rsid w:val="00A9242E"/>
    <w:rsid w:val="00AC6B90"/>
    <w:rsid w:val="00AD6E50"/>
    <w:rsid w:val="00AE0672"/>
    <w:rsid w:val="00AE157C"/>
    <w:rsid w:val="00B01AAF"/>
    <w:rsid w:val="00B22C7C"/>
    <w:rsid w:val="00BC5D44"/>
    <w:rsid w:val="00BE6E74"/>
    <w:rsid w:val="00C76C0B"/>
    <w:rsid w:val="00C80F0D"/>
    <w:rsid w:val="00C95953"/>
    <w:rsid w:val="00CB4422"/>
    <w:rsid w:val="00CC7EB6"/>
    <w:rsid w:val="00CE3DB5"/>
    <w:rsid w:val="00D4685A"/>
    <w:rsid w:val="00D5698A"/>
    <w:rsid w:val="00D60F31"/>
    <w:rsid w:val="00D663CC"/>
    <w:rsid w:val="00DC11E0"/>
    <w:rsid w:val="00E147CA"/>
    <w:rsid w:val="00E23959"/>
    <w:rsid w:val="00E27A3C"/>
    <w:rsid w:val="00F32F56"/>
    <w:rsid w:val="00F44A22"/>
    <w:rsid w:val="00F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4ED2"/>
  <w15:chartTrackingRefBased/>
  <w15:docId w15:val="{A2D8D07F-3D6E-4CDE-9E7A-F2593480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F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C80F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80F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0E57EF"/>
    <w:pPr>
      <w:ind w:left="708"/>
      <w:jc w:val="left"/>
    </w:pPr>
  </w:style>
  <w:style w:type="paragraph" w:styleId="Bezmezer">
    <w:name w:val="No Spacing"/>
    <w:uiPriority w:val="1"/>
    <w:qFormat/>
    <w:rsid w:val="006F41F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671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712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D7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D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D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D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D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2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C3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-Invoice.0133@invoicedtse.teleko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Viet Dang</dc:creator>
  <cp:keywords/>
  <dc:description/>
  <cp:lastModifiedBy>Eliska Haklova</cp:lastModifiedBy>
  <cp:revision>4</cp:revision>
  <cp:lastPrinted>2025-02-14T09:49:00Z</cp:lastPrinted>
  <dcterms:created xsi:type="dcterms:W3CDTF">2025-02-26T11:43:00Z</dcterms:created>
  <dcterms:modified xsi:type="dcterms:W3CDTF">2025-03-10T07:25:00Z</dcterms:modified>
</cp:coreProperties>
</file>