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190500" distB="0" distL="114300" distR="114300" simplePos="0" relativeHeight="125829378" behindDoc="0" locked="0" layoutInCell="1" allowOverlap="1">
            <wp:simplePos x="0" y="0"/>
            <wp:positionH relativeFrom="page">
              <wp:posOffset>400050</wp:posOffset>
            </wp:positionH>
            <wp:positionV relativeFrom="paragraph">
              <wp:posOffset>222250</wp:posOffset>
            </wp:positionV>
            <wp:extent cx="676910" cy="731520"/>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76910" cy="731520"/>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6236970</wp:posOffset>
                </wp:positionH>
                <wp:positionV relativeFrom="paragraph">
                  <wp:posOffset>445135</wp:posOffset>
                </wp:positionV>
                <wp:extent cx="847090" cy="152400"/>
                <wp:wrapSquare wrapText="bothSides"/>
                <wp:docPr id="3" name="Shape 3"/>
                <a:graphic xmlns:a="http://schemas.openxmlformats.org/drawingml/2006/main">
                  <a:graphicData uri="http://schemas.microsoft.com/office/word/2010/wordprocessingShape">
                    <wps:wsp>
                      <wps:cNvSpPr txBox="1"/>
                      <wps:spPr>
                        <a:xfrm>
                          <a:ext cx="847090" cy="1524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fldChar w:fldCharType="begin"/>
                            </w:r>
                            <w:r>
                              <w:rPr/>
                              <w:instrText> HYPERLINK "http://www.zzsjmk.cz" </w:instrText>
                            </w:r>
                            <w:r>
                              <w:fldChar w:fldCharType="separate"/>
                            </w:r>
                            <w:r>
                              <w:rPr>
                                <w:rStyle w:val="CharStyle3"/>
                                <w:sz w:val="19"/>
                                <w:szCs w:val="19"/>
                                <w:lang w:val="en-US" w:eastAsia="en-US" w:bidi="en-US"/>
                              </w:rPr>
                              <w:t>www.zzsjmk.cz</w:t>
                            </w:r>
                            <w:r>
                              <w:fldChar w:fldCharType="end"/>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91.10000000000002pt;margin-top:35.050000000000004pt;width:66.700000000000003pt;height:12.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fldChar w:fldCharType="begin"/>
                      </w:r>
                      <w:r>
                        <w:rPr/>
                        <w:instrText> HYPERLINK "http://www.zzsjmk.cz" </w:instrText>
                      </w:r>
                      <w:r>
                        <w:fldChar w:fldCharType="separate"/>
                      </w:r>
                      <w:r>
                        <w:rPr>
                          <w:rStyle w:val="CharStyle3"/>
                          <w:sz w:val="19"/>
                          <w:szCs w:val="19"/>
                          <w:lang w:val="en-US" w:eastAsia="en-US" w:bidi="en-US"/>
                        </w:rPr>
                        <w:t>www.zzsjmk.cz</w:t>
                      </w:r>
                      <w:r>
                        <w:fldChar w:fldCharType="end"/>
                      </w:r>
                    </w:p>
                  </w:txbxContent>
                </v:textbox>
                <w10:wrap type="square" anchorx="page"/>
              </v:shape>
            </w:pict>
          </mc:Fallback>
        </mc:AlternateContent>
      </w:r>
      <w:r>
        <w:drawing>
          <wp:anchor distT="165100" distB="0" distL="114300" distR="114300" simplePos="0" relativeHeight="125829381" behindDoc="0" locked="0" layoutInCell="1" allowOverlap="1">
            <wp:simplePos x="0" y="0"/>
            <wp:positionH relativeFrom="page">
              <wp:posOffset>3892550</wp:posOffset>
            </wp:positionH>
            <wp:positionV relativeFrom="paragraph">
              <wp:posOffset>862330</wp:posOffset>
            </wp:positionV>
            <wp:extent cx="615950" cy="33528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615950" cy="335280"/>
                    </a:xfrm>
                    <a:prstGeom prst="rect"/>
                  </pic:spPr>
                </pic:pic>
              </a:graphicData>
            </a:graphic>
          </wp:anchor>
        </w:drawing>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rStyle w:val="CharStyle3"/>
          <w:sz w:val="19"/>
          <w:szCs w:val="19"/>
        </w:rPr>
        <w:t>... o lidech a pro lidi ...</w:t>
      </w:r>
    </w:p>
    <w:p>
      <w:pPr>
        <w:pStyle w:val="Style8"/>
        <w:keepNext/>
        <w:keepLines/>
        <w:widowControl w:val="0"/>
        <w:shd w:val="clear" w:color="auto" w:fill="auto"/>
        <w:bidi w:val="0"/>
        <w:spacing w:before="0" w:line="240" w:lineRule="auto"/>
        <w:ind w:left="0" w:right="0" w:firstLine="0"/>
        <w:jc w:val="center"/>
      </w:pPr>
      <w:bookmarkStart w:id="0" w:name="bookmark0"/>
      <w:r>
        <w:rPr>
          <w:rStyle w:val="CharStyle9"/>
        </w:rPr>
        <w:t>Illlllllllllllllll lili III</w:t>
      </w:r>
      <w:bookmarkEnd w:id="0"/>
    </w:p>
    <w:p>
      <w:pPr>
        <w:pStyle w:val="Style10"/>
        <w:keepNext w:val="0"/>
        <w:keepLines w:val="0"/>
        <w:widowControl w:val="0"/>
        <w:shd w:val="clear" w:color="auto" w:fill="auto"/>
        <w:bidi w:val="0"/>
        <w:spacing w:before="0" w:after="0" w:line="240" w:lineRule="auto"/>
        <w:ind w:left="0" w:right="0" w:firstLine="300"/>
        <w:jc w:val="left"/>
        <w:sectPr>
          <w:footerReference w:type="default" r:id="rId9"/>
          <w:footerReference w:type="even" r:id="rId10"/>
          <w:footnotePr>
            <w:pos w:val="pageBottom"/>
            <w:numFmt w:val="decimal"/>
            <w:numRestart w:val="continuous"/>
          </w:footnotePr>
          <w:pgSz w:w="11900" w:h="16840"/>
          <w:pgMar w:top="547" w:right="2631" w:bottom="1784" w:left="966" w:header="0" w:footer="3" w:gutter="0"/>
          <w:pgNumType w:start="1"/>
          <w:cols w:num="2" w:space="3218"/>
          <w:noEndnote/>
          <w:rtlGutter w:val="0"/>
          <w:docGrid w:linePitch="360"/>
        </w:sectPr>
      </w:pPr>
      <w:r>
        <w:rPr>
          <w:rStyle w:val="CharStyle11"/>
        </w:rPr>
        <w:t>2025001706</w:t>
      </w:r>
    </w:p>
    <w:p>
      <w:pPr>
        <w:widowControl w:val="0"/>
        <w:spacing w:before="15" w:after="1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03" w:right="0" w:bottom="1827" w:left="0"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0" w:right="0" w:firstLine="0"/>
        <w:jc w:val="center"/>
      </w:pPr>
      <w:r>
        <w:rPr>
          <w:rStyle w:val="CharStyle13"/>
          <w:b/>
          <w:bCs/>
        </w:rPr>
        <w:t>Dodatek č. 1</w:t>
      </w:r>
    </w:p>
    <w:p>
      <w:pPr>
        <w:pStyle w:val="Style2"/>
        <w:keepNext w:val="0"/>
        <w:keepLines w:val="0"/>
        <w:widowControl w:val="0"/>
        <w:shd w:val="clear" w:color="auto" w:fill="auto"/>
        <w:bidi w:val="0"/>
        <w:spacing w:before="0" w:after="280" w:line="298" w:lineRule="auto"/>
        <w:ind w:left="0" w:right="0" w:firstLine="0"/>
        <w:jc w:val="center"/>
      </w:pPr>
      <w:r>
        <w:rPr>
          <w:rStyle w:val="CharStyle3"/>
        </w:rPr>
        <w:t xml:space="preserve">k rámcové smlouvě o dílo ze dne 14. 11.2024 (dále jen </w:t>
      </w:r>
      <w:r>
        <w:rPr>
          <w:rStyle w:val="CharStyle3"/>
          <w:b/>
          <w:bCs/>
        </w:rPr>
        <w:t>„smlouva“)</w:t>
      </w:r>
    </w:p>
    <w:p>
      <w:pPr>
        <w:pStyle w:val="Style2"/>
        <w:keepNext w:val="0"/>
        <w:keepLines w:val="0"/>
        <w:widowControl w:val="0"/>
        <w:numPr>
          <w:ilvl w:val="0"/>
          <w:numId w:val="1"/>
        </w:numPr>
        <w:shd w:val="clear" w:color="auto" w:fill="auto"/>
        <w:bidi w:val="0"/>
        <w:spacing w:before="0" w:after="0" w:line="298" w:lineRule="auto"/>
        <w:ind w:left="0" w:right="0" w:firstLine="0"/>
        <w:jc w:val="center"/>
      </w:pPr>
    </w:p>
    <w:p>
      <w:pPr>
        <w:pStyle w:val="Style2"/>
        <w:keepNext w:val="0"/>
        <w:keepLines w:val="0"/>
        <w:widowControl w:val="0"/>
        <w:shd w:val="clear" w:color="auto" w:fill="auto"/>
        <w:bidi w:val="0"/>
        <w:spacing w:before="0" w:after="0" w:line="298" w:lineRule="auto"/>
        <w:ind w:left="0" w:right="0" w:firstLine="0"/>
        <w:jc w:val="center"/>
      </w:pPr>
      <w:r>
        <w:rPr>
          <w:rStyle w:val="CharStyle3"/>
          <w:b/>
          <w:bCs/>
        </w:rPr>
        <w:t>Smluvní strany</w:t>
      </w:r>
    </w:p>
    <w:p>
      <w:pPr>
        <w:pStyle w:val="Style2"/>
        <w:keepNext w:val="0"/>
        <w:keepLines w:val="0"/>
        <w:widowControl w:val="0"/>
        <w:shd w:val="clear" w:color="auto" w:fill="auto"/>
        <w:bidi w:val="0"/>
        <w:spacing w:before="0" w:after="0" w:line="298" w:lineRule="auto"/>
        <w:ind w:left="0" w:right="0" w:firstLine="400"/>
        <w:jc w:val="both"/>
      </w:pPr>
      <w:r>
        <w:rPr>
          <w:rStyle w:val="CharStyle3"/>
          <w:b/>
          <w:bCs/>
        </w:rPr>
        <w:t>Zdravotnická záchranná služba Jihomoravského kraje, příspěvková organizace</w:t>
      </w:r>
    </w:p>
    <w:p>
      <w:pPr>
        <w:pStyle w:val="Style2"/>
        <w:keepNext w:val="0"/>
        <w:keepLines w:val="0"/>
        <w:widowControl w:val="0"/>
        <w:shd w:val="clear" w:color="auto" w:fill="auto"/>
        <w:bidi w:val="0"/>
        <w:spacing w:before="0" w:after="0" w:line="298" w:lineRule="auto"/>
        <w:ind w:left="0" w:right="0" w:firstLine="400"/>
        <w:jc w:val="both"/>
      </w:pPr>
      <w:r>
        <w:rPr>
          <w:rStyle w:val="CharStyle3"/>
        </w:rPr>
        <w:t>Sídlo: Kamenice 798/1 d, 625 00 Brno</w:t>
      </w:r>
    </w:p>
    <w:p>
      <w:pPr>
        <w:pStyle w:val="Style2"/>
        <w:keepNext w:val="0"/>
        <w:keepLines w:val="0"/>
        <w:widowControl w:val="0"/>
        <w:shd w:val="clear" w:color="auto" w:fill="auto"/>
        <w:bidi w:val="0"/>
        <w:spacing w:before="0" w:after="0" w:line="298" w:lineRule="auto"/>
        <w:ind w:left="0" w:right="0" w:firstLine="400"/>
        <w:jc w:val="both"/>
      </w:pPr>
      <w:r>
        <w:rPr>
          <w:rStyle w:val="CharStyle3"/>
        </w:rPr>
        <w:t>Jednající: MUDr. Hana Albrechtová, ředitelka</w:t>
      </w:r>
    </w:p>
    <w:p>
      <w:pPr>
        <w:pStyle w:val="Style2"/>
        <w:keepNext w:val="0"/>
        <w:keepLines w:val="0"/>
        <w:widowControl w:val="0"/>
        <w:shd w:val="clear" w:color="auto" w:fill="auto"/>
        <w:bidi w:val="0"/>
        <w:spacing w:before="0" w:after="0" w:line="298" w:lineRule="auto"/>
        <w:ind w:left="400" w:right="0"/>
        <w:jc w:val="left"/>
      </w:pPr>
      <w:r>
        <w:rPr>
          <w:rStyle w:val="CharStyle3"/>
        </w:rPr>
        <w:t xml:space="preserve">Kontaktní osoba: </w:t>
      </w:r>
      <w:r>
        <w:rPr>
          <w:rStyle w:val="CharStyle3"/>
          <w:spacing w:val="9"/>
          <w:shd w:val="clear" w:color="auto" w:fill="000000"/>
        </w:rPr>
        <w:t>......</w:t>
      </w:r>
      <w:r>
        <w:rPr>
          <w:rStyle w:val="CharStyle3"/>
          <w:shd w:val="clear" w:color="auto" w:fill="000000"/>
        </w:rPr>
        <w:t>​</w:t>
      </w:r>
      <w:r>
        <w:rPr>
          <w:rStyle w:val="CharStyle3"/>
          <w:spacing w:val="2"/>
          <w:shd w:val="clear" w:color="auto" w:fill="000000"/>
        </w:rPr>
        <w:t>.....</w:t>
      </w:r>
      <w:r>
        <w:rPr>
          <w:rStyle w:val="CharStyle3"/>
          <w:spacing w:val="3"/>
          <w:shd w:val="clear" w:color="auto" w:fill="000000"/>
        </w:rPr>
        <w:t>......</w:t>
      </w: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u w:val="single"/>
          <w:shd w:val="clear" w:color="auto" w:fill="000000"/>
        </w:rPr>
        <w:t>​....</w:t>
      </w:r>
      <w:r>
        <w:rPr>
          <w:rStyle w:val="CharStyle3"/>
          <w:spacing w:val="1"/>
          <w:u w:val="single"/>
          <w:shd w:val="clear" w:color="auto" w:fill="000000"/>
        </w:rPr>
        <w:t>..............</w:t>
      </w:r>
      <w:r>
        <w:rPr>
          <w:rStyle w:val="CharStyle3"/>
          <w:u w:val="single"/>
          <w:shd w:val="clear" w:color="auto" w:fill="000000"/>
        </w:rPr>
        <w:t>​</w:t>
      </w:r>
      <w:r>
        <w:rPr>
          <w:rStyle w:val="CharStyle3"/>
          <w:spacing w:val="5"/>
          <w:u w:val="single"/>
          <w:shd w:val="clear" w:color="auto" w:fill="000000"/>
        </w:rPr>
        <w:t>...</w:t>
      </w:r>
      <w:r>
        <w:rPr>
          <w:rStyle w:val="CharStyle3"/>
          <w:spacing w:val="6"/>
          <w:u w:val="single"/>
          <w:shd w:val="clear" w:color="auto" w:fill="000000"/>
        </w:rPr>
        <w:t>.</w:t>
      </w:r>
      <w:r>
        <w:rPr>
          <w:rStyle w:val="CharStyle3"/>
          <w:spacing w:val="1"/>
          <w:u w:val="single"/>
          <w:shd w:val="clear" w:color="auto" w:fill="000000"/>
        </w:rPr>
        <w:t>...</w:t>
      </w:r>
      <w:r>
        <w:rPr>
          <w:rStyle w:val="CharStyle3"/>
          <w:spacing w:val="2"/>
          <w:u w:val="single"/>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r>
        <w:rPr>
          <w:rStyle w:val="CharStyle3"/>
          <w:spacing w:val="6"/>
          <w:shd w:val="clear" w:color="auto" w:fill="000000"/>
        </w:rPr>
        <w:t>....</w:t>
      </w:r>
      <w:r>
        <w:rPr>
          <w:rStyle w:val="CharStyle3"/>
          <w:spacing w:val="7"/>
          <w:shd w:val="clear" w:color="auto" w:fill="000000"/>
        </w:rPr>
        <w:t>..</w:t>
      </w:r>
      <w:r>
        <w:rPr>
          <w:rStyle w:val="CharStyle3"/>
          <w:shd w:val="clear" w:color="auto" w:fill="000000"/>
        </w:rPr>
        <w:t>​</w:t>
      </w:r>
      <w:r>
        <w:rPr>
          <w:rStyle w:val="CharStyle3"/>
          <w:spacing w:val="10"/>
          <w:shd w:val="clear" w:color="auto" w:fill="000000"/>
        </w:rPr>
        <w:t>..</w:t>
      </w:r>
      <w:r>
        <w:rPr>
          <w:rStyle w:val="CharStyle3"/>
          <w:spacing w:val="11"/>
          <w:shd w:val="clear" w:color="auto" w:fill="000000"/>
        </w:rPr>
        <w:t>...</w:t>
      </w:r>
      <w:r>
        <w:rPr>
          <w:rStyle w:val="CharStyle3"/>
        </w:rPr>
        <w:t xml:space="preserve"> IČ: 00346292, DIČ: CZ00346292</w:t>
      </w:r>
    </w:p>
    <w:p>
      <w:pPr>
        <w:pStyle w:val="Style2"/>
        <w:keepNext w:val="0"/>
        <w:keepLines w:val="0"/>
        <w:widowControl w:val="0"/>
        <w:shd w:val="clear" w:color="auto" w:fill="auto"/>
        <w:bidi w:val="0"/>
        <w:spacing w:before="0" w:after="0" w:line="298" w:lineRule="auto"/>
        <w:ind w:left="0" w:right="0" w:firstLine="400"/>
        <w:jc w:val="both"/>
      </w:pPr>
      <w:r>
        <w:rPr>
          <w:rStyle w:val="CharStyle3"/>
        </w:rPr>
        <w:t>Zápis v OR: Krajský soud v Brně sp. zn. Pr 1245</w:t>
      </w:r>
    </w:p>
    <w:p>
      <w:pPr>
        <w:pStyle w:val="Style2"/>
        <w:keepNext w:val="0"/>
        <w:keepLines w:val="0"/>
        <w:widowControl w:val="0"/>
        <w:shd w:val="clear" w:color="auto" w:fill="auto"/>
        <w:bidi w:val="0"/>
        <w:spacing w:before="0" w:after="0" w:line="298" w:lineRule="auto"/>
        <w:ind w:left="0" w:right="0" w:firstLine="400"/>
        <w:jc w:val="both"/>
      </w:pPr>
      <w:r>
        <w:rPr>
          <w:rStyle w:val="CharStyle3"/>
        </w:rPr>
        <w:t>Bankovní spojení: MONETA Money Bank, a. s., č. ú.: 117203514 / 0600</w:t>
      </w:r>
    </w:p>
    <w:p>
      <w:pPr>
        <w:pStyle w:val="Style2"/>
        <w:keepNext w:val="0"/>
        <w:keepLines w:val="0"/>
        <w:widowControl w:val="0"/>
        <w:shd w:val="clear" w:color="auto" w:fill="auto"/>
        <w:bidi w:val="0"/>
        <w:spacing w:before="0" w:after="0" w:line="298" w:lineRule="auto"/>
        <w:ind w:left="400" w:right="0"/>
        <w:jc w:val="left"/>
      </w:pPr>
      <w:r>
        <w:rPr>
          <w:rStyle w:val="CharStyle3"/>
        </w:rPr>
        <w:t xml:space="preserve">(dále jen </w:t>
      </w:r>
      <w:r>
        <w:rPr>
          <w:rStyle w:val="CharStyle3"/>
          <w:b/>
          <w:bCs/>
        </w:rPr>
        <w:t>„objednatel“) a</w:t>
      </w:r>
    </w:p>
    <w:p>
      <w:pPr>
        <w:pStyle w:val="Style2"/>
        <w:keepNext w:val="0"/>
        <w:keepLines w:val="0"/>
        <w:widowControl w:val="0"/>
        <w:shd w:val="clear" w:color="auto" w:fill="auto"/>
        <w:bidi w:val="0"/>
        <w:spacing w:before="0" w:after="0" w:line="298" w:lineRule="auto"/>
        <w:ind w:left="0" w:right="0" w:firstLine="400"/>
        <w:jc w:val="both"/>
      </w:pPr>
      <w:r>
        <w:rPr>
          <w:rStyle w:val="CharStyle3"/>
          <w:b/>
          <w:bCs/>
        </w:rPr>
        <w:t>MEDIROL, s. r. o.</w:t>
      </w:r>
    </w:p>
    <w:p>
      <w:pPr>
        <w:pStyle w:val="Style2"/>
        <w:keepNext w:val="0"/>
        <w:keepLines w:val="0"/>
        <w:widowControl w:val="0"/>
        <w:shd w:val="clear" w:color="auto" w:fill="auto"/>
        <w:bidi w:val="0"/>
        <w:spacing w:before="0" w:after="0" w:line="298" w:lineRule="auto"/>
        <w:ind w:left="0" w:right="0" w:firstLine="400"/>
        <w:jc w:val="both"/>
      </w:pPr>
      <w:r>
        <w:rPr>
          <w:rStyle w:val="CharStyle3"/>
        </w:rPr>
        <w:t>Sídlo: Na Strži 126/4, 140 00 Praha 4</w:t>
      </w:r>
    </w:p>
    <w:p>
      <w:pPr>
        <w:pStyle w:val="Style2"/>
        <w:keepNext w:val="0"/>
        <w:keepLines w:val="0"/>
        <w:widowControl w:val="0"/>
        <w:shd w:val="clear" w:color="auto" w:fill="auto"/>
        <w:bidi w:val="0"/>
        <w:spacing w:before="0" w:after="0" w:line="298" w:lineRule="auto"/>
        <w:ind w:left="0" w:right="0" w:firstLine="400"/>
        <w:jc w:val="both"/>
      </w:pPr>
      <w:r>
        <w:rPr>
          <w:rStyle w:val="CharStyle3"/>
        </w:rPr>
        <w:t>Jednající: Ing. David Ryska, ředitel</w:t>
      </w:r>
    </w:p>
    <w:p>
      <w:pPr>
        <w:pStyle w:val="Style2"/>
        <w:keepNext w:val="0"/>
        <w:keepLines w:val="0"/>
        <w:widowControl w:val="0"/>
        <w:shd w:val="clear" w:color="auto" w:fill="auto"/>
        <w:bidi w:val="0"/>
        <w:spacing w:before="0" w:after="0" w:line="298" w:lineRule="auto"/>
        <w:ind w:left="0" w:right="0" w:firstLine="400"/>
        <w:jc w:val="both"/>
      </w:pPr>
      <w:r>
        <w:rPr>
          <w:rStyle w:val="CharStyle3"/>
        </w:rPr>
        <w:t xml:space="preserve">Kontaktní osoba: </w:t>
      </w:r>
      <w:r>
        <w:rPr>
          <w:rStyle w:val="CharStyle3"/>
          <w:spacing w:val="6"/>
          <w:shd w:val="clear" w:color="auto" w:fill="000000"/>
        </w:rPr>
        <w:t>....</w:t>
      </w:r>
      <w:r>
        <w:rPr>
          <w:rStyle w:val="CharStyle3"/>
          <w:spacing w:val="7"/>
          <w:shd w:val="clear" w:color="auto" w:fill="000000"/>
        </w:rPr>
        <w:t>....</w:t>
      </w:r>
      <w:r>
        <w:rPr>
          <w:rStyle w:val="CharStyle3"/>
          <w:shd w:val="clear" w:color="auto" w:fill="000000"/>
        </w:rPr>
        <w:t>​</w:t>
      </w:r>
      <w:r>
        <w:rPr>
          <w:rStyle w:val="CharStyle3"/>
          <w:spacing w:val="2"/>
          <w:shd w:val="clear" w:color="auto" w:fill="000000"/>
        </w:rPr>
        <w:t>....</w:t>
      </w:r>
      <w:r>
        <w:rPr>
          <w:rStyle w:val="CharStyle3"/>
          <w:spacing w:val="3"/>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u w:val="single"/>
          <w:shd w:val="clear" w:color="auto" w:fill="000000"/>
        </w:rPr>
        <w:t>​</w:t>
      </w:r>
      <w:r>
        <w:rPr>
          <w:rStyle w:val="CharStyle3"/>
          <w:spacing w:val="1"/>
          <w:u w:val="single"/>
          <w:shd w:val="clear" w:color="auto" w:fill="000000"/>
        </w:rPr>
        <w:t>...</w:t>
      </w:r>
      <w:r>
        <w:rPr>
          <w:rStyle w:val="CharStyle3"/>
          <w:spacing w:val="2"/>
          <w:u w:val="single"/>
          <w:shd w:val="clear" w:color="auto" w:fill="000000"/>
        </w:rPr>
        <w:t>................</w:t>
      </w:r>
      <w:r>
        <w:rPr>
          <w:rStyle w:val="CharStyle3"/>
          <w:u w:val="single"/>
          <w:shd w:val="clear" w:color="auto" w:fill="000000"/>
        </w:rPr>
        <w:t>​</w:t>
      </w:r>
      <w:r>
        <w:rPr>
          <w:rStyle w:val="CharStyle3"/>
          <w:spacing w:val="10"/>
          <w:u w:val="single"/>
          <w:shd w:val="clear" w:color="auto" w:fill="000000"/>
        </w:rPr>
        <w:t>.</w:t>
      </w:r>
      <w:r>
        <w:rPr>
          <w:rStyle w:val="CharStyle3"/>
          <w:spacing w:val="11"/>
          <w:u w:val="single"/>
          <w:shd w:val="clear" w:color="auto" w:fill="000000"/>
        </w:rPr>
        <w:t>...</w:t>
      </w:r>
      <w:r>
        <w:rPr>
          <w:rStyle w:val="CharStyle3"/>
          <w:u w:val="single"/>
          <w:shd w:val="clear" w:color="auto" w:fill="000000"/>
        </w:rPr>
        <w:t>.</w:t>
      </w:r>
      <w:r>
        <w:rPr>
          <w:rStyle w:val="CharStyle3"/>
          <w:spacing w:val="1"/>
          <w:u w:val="single"/>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r>
        <w:rPr>
          <w:rStyle w:val="CharStyle3"/>
          <w:spacing w:val="10"/>
          <w:shd w:val="clear" w:color="auto" w:fill="000000"/>
        </w:rPr>
        <w:t>..</w:t>
      </w:r>
      <w:r>
        <w:rPr>
          <w:rStyle w:val="CharStyle3"/>
          <w:spacing w:val="11"/>
          <w:shd w:val="clear" w:color="auto" w:fill="000000"/>
        </w:rPr>
        <w:t>...</w:t>
      </w:r>
    </w:p>
    <w:p>
      <w:pPr>
        <w:pStyle w:val="Style2"/>
        <w:keepNext w:val="0"/>
        <w:keepLines w:val="0"/>
        <w:widowControl w:val="0"/>
        <w:shd w:val="clear" w:color="auto" w:fill="auto"/>
        <w:bidi w:val="0"/>
        <w:spacing w:before="0" w:after="0" w:line="298" w:lineRule="auto"/>
        <w:ind w:left="0" w:right="0" w:firstLine="400"/>
        <w:jc w:val="both"/>
      </w:pPr>
      <w:r>
        <w:rPr>
          <w:rStyle w:val="CharStyle3"/>
        </w:rPr>
        <w:t>IČ: 64506592, DIČ: CZ64506592</w:t>
      </w:r>
    </w:p>
    <w:p>
      <w:pPr>
        <w:pStyle w:val="Style2"/>
        <w:keepNext w:val="0"/>
        <w:keepLines w:val="0"/>
        <w:widowControl w:val="0"/>
        <w:shd w:val="clear" w:color="auto" w:fill="auto"/>
        <w:bidi w:val="0"/>
        <w:spacing w:before="0" w:after="0" w:line="298" w:lineRule="auto"/>
        <w:ind w:left="0" w:right="0" w:firstLine="400"/>
        <w:jc w:val="both"/>
      </w:pPr>
      <w:r>
        <w:rPr>
          <w:rStyle w:val="CharStyle3"/>
        </w:rPr>
        <w:t>Zápis v OR: Městský soud v Praze, oddíl C, vl. 133671</w:t>
      </w:r>
    </w:p>
    <w:p>
      <w:pPr>
        <w:pStyle w:val="Style2"/>
        <w:keepNext w:val="0"/>
        <w:keepLines w:val="0"/>
        <w:widowControl w:val="0"/>
        <w:shd w:val="clear" w:color="auto" w:fill="auto"/>
        <w:bidi w:val="0"/>
        <w:spacing w:before="0" w:after="280" w:line="298" w:lineRule="auto"/>
        <w:ind w:left="400" w:right="0"/>
        <w:jc w:val="left"/>
      </w:pPr>
      <w:r>
        <w:rPr>
          <w:rStyle w:val="CharStyle3"/>
        </w:rPr>
        <w:t xml:space="preserve">Bankovní spojení: UniCredit Bank a. s., č. ú.: 2109348034 / 2700 (dále jen </w:t>
      </w:r>
      <w:r>
        <w:rPr>
          <w:rStyle w:val="CharStyle3"/>
          <w:b/>
          <w:bCs/>
        </w:rPr>
        <w:t>„zhotovitel“)</w:t>
      </w:r>
    </w:p>
    <w:p>
      <w:pPr>
        <w:pStyle w:val="Style33"/>
        <w:keepNext/>
        <w:keepLines/>
        <w:widowControl w:val="0"/>
        <w:numPr>
          <w:ilvl w:val="0"/>
          <w:numId w:val="1"/>
        </w:numPr>
        <w:shd w:val="clear" w:color="auto" w:fill="auto"/>
        <w:bidi w:val="0"/>
        <w:spacing w:before="0" w:after="0" w:line="240" w:lineRule="auto"/>
        <w:ind w:left="0" w:right="0" w:firstLine="0"/>
        <w:jc w:val="center"/>
      </w:pPr>
      <w:bookmarkStart w:id="2" w:name="bookmark2"/>
      <w:bookmarkEnd w:id="2"/>
    </w:p>
    <w:p>
      <w:pPr>
        <w:pStyle w:val="Style2"/>
        <w:keepNext w:val="0"/>
        <w:keepLines w:val="0"/>
        <w:widowControl w:val="0"/>
        <w:shd w:val="clear" w:color="auto" w:fill="auto"/>
        <w:bidi w:val="0"/>
        <w:spacing w:before="0" w:after="160" w:line="240" w:lineRule="auto"/>
        <w:ind w:left="0" w:right="0" w:firstLine="400"/>
        <w:jc w:val="both"/>
      </w:pPr>
      <w:r>
        <w:rPr>
          <w:rStyle w:val="CharStyle3"/>
        </w:rPr>
        <w:t>ČI. 4.1. smlouvy se mění a nadále zní takto:</w:t>
      </w:r>
    </w:p>
    <w:p>
      <w:pPr>
        <w:pStyle w:val="Style2"/>
        <w:keepNext w:val="0"/>
        <w:keepLines w:val="0"/>
        <w:widowControl w:val="0"/>
        <w:shd w:val="clear" w:color="auto" w:fill="auto"/>
        <w:bidi w:val="0"/>
        <w:spacing w:before="0" w:after="720"/>
        <w:ind w:left="400" w:right="0"/>
        <w:jc w:val="both"/>
      </w:pPr>
      <w:r>
        <w:rPr>
          <w:rStyle w:val="CharStyle3"/>
        </w:rPr>
        <w:t>Zhotovitel se zavazuje objednateli k provádění díla dle čl. 2 této smlouvy, a to po dobu podle čl. 21 této smlouvy v rozsahu dle jednotlivých dílčích smluv o dílo. Není-li dále ujednáno jinak, jednotlivá dílčí smlouva o dílo se přitom považuje za uzavřenou doručením jednotlivé výzvy (objednávky) objednatele do rukou zhotovitele, a to ve znění, daném touto výzvou (objednávkou) a touto rámcovou smlouvou o dílo. Výzva objednatele musí vždy obsahovat údaj o specifikaci díla, místo nebo místa plnění, datum a podpis objednatele. Výzvu (objednávku) lze podat písemnou nebo elektronickou formou. V případě plnění podle čl. 2 písm. b) této smlouvy se jednotlivá dílčí smlouva o dílo považuje za uzavřenou doručením výzvy objednatele postupem podle čl. 5 odst. 2 této smlouvy.</w:t>
      </w:r>
    </w:p>
    <w:p>
      <w:pPr>
        <w:pStyle w:val="Style33"/>
        <w:keepNext/>
        <w:keepLines/>
        <w:widowControl w:val="0"/>
        <w:numPr>
          <w:ilvl w:val="0"/>
          <w:numId w:val="1"/>
        </w:numPr>
        <w:shd w:val="clear" w:color="auto" w:fill="auto"/>
        <w:bidi w:val="0"/>
        <w:spacing w:before="0" w:after="0"/>
        <w:ind w:left="0" w:right="0" w:firstLine="0"/>
        <w:jc w:val="center"/>
      </w:pPr>
      <w:bookmarkStart w:id="4" w:name="bookmark4"/>
      <w:bookmarkEnd w:id="4"/>
    </w:p>
    <w:p>
      <w:pPr>
        <w:pStyle w:val="Style2"/>
        <w:keepNext w:val="0"/>
        <w:keepLines w:val="0"/>
        <w:widowControl w:val="0"/>
        <w:shd w:val="clear" w:color="auto" w:fill="auto"/>
        <w:bidi w:val="0"/>
        <w:spacing w:before="0" w:after="160"/>
        <w:ind w:left="0" w:right="0" w:firstLine="400"/>
        <w:jc w:val="both"/>
      </w:pPr>
      <w:r>
        <w:rPr>
          <w:rStyle w:val="CharStyle3"/>
        </w:rPr>
        <w:t>Čl. 5.1. smlouvy se mění a nadále zní takto:</w:t>
      </w:r>
    </w:p>
    <w:p>
      <w:pPr>
        <w:pStyle w:val="Style2"/>
        <w:keepNext w:val="0"/>
        <w:keepLines w:val="0"/>
        <w:widowControl w:val="0"/>
        <w:shd w:val="clear" w:color="auto" w:fill="auto"/>
        <w:bidi w:val="0"/>
        <w:spacing w:before="0" w:after="0"/>
        <w:ind w:left="400" w:right="0"/>
        <w:jc w:val="both"/>
      </w:pPr>
      <w:r>
        <w:rPr>
          <w:rStyle w:val="CharStyle3"/>
        </w:rPr>
        <w:t>BTK bude zhotovitel provádět ve lhůtě do 14 dní ode dne doručení příslušné dílčí výzvy (objednávky). V případě, že zhotovitel při provedení BTK zjistí, že transportní technika nesplňuje požadavky BTK, a jedná-li se o opravitelnou vadu a bude-li to možné, zajistí opravu na místě. Pokud bude nutné techniku k provedení opravy odvést, postupuje se dále podle čl. 5.4. této smlouvy.</w:t>
      </w:r>
    </w:p>
    <w:p>
      <w:pPr>
        <w:pStyle w:val="Style35"/>
        <w:keepNext w:val="0"/>
        <w:keepLines w:val="0"/>
        <w:widowControl w:val="0"/>
        <w:shd w:val="clear" w:color="auto" w:fill="auto"/>
        <w:bidi w:val="0"/>
        <w:spacing w:before="0" w:after="0" w:line="240" w:lineRule="auto"/>
        <w:ind w:right="0" w:firstLine="0"/>
        <w:jc w:val="both"/>
      </w:pPr>
      <w:r>
        <w:rPr>
          <w:rStyle w:val="CharStyle36"/>
        </w:rPr>
        <w:t>iv.</w:t>
      </w:r>
    </w:p>
    <w:p>
      <w:pPr>
        <w:pStyle w:val="Style2"/>
        <w:keepNext w:val="0"/>
        <w:keepLines w:val="0"/>
        <w:widowControl w:val="0"/>
        <w:shd w:val="clear" w:color="auto" w:fill="auto"/>
        <w:bidi w:val="0"/>
        <w:spacing w:before="0"/>
        <w:ind w:left="0" w:right="0" w:firstLine="380"/>
        <w:jc w:val="both"/>
      </w:pPr>
      <w:r>
        <w:rPr>
          <w:rStyle w:val="CharStyle3"/>
        </w:rPr>
        <w:t>ČI. 5.2. smlouvy se mění a nadále zní takto:</w:t>
      </w:r>
    </w:p>
    <w:p>
      <w:pPr>
        <w:pStyle w:val="Style2"/>
        <w:keepNext w:val="0"/>
        <w:keepLines w:val="0"/>
        <w:widowControl w:val="0"/>
        <w:shd w:val="clear" w:color="auto" w:fill="auto"/>
        <w:bidi w:val="0"/>
        <w:spacing w:before="0"/>
        <w:ind w:left="380" w:right="0"/>
        <w:jc w:val="both"/>
      </w:pPr>
      <w:r>
        <w:rPr>
          <w:rStyle w:val="CharStyle3"/>
        </w:rPr>
        <w:t>V případě poruchy transportní techniky musí objednatel poslat výzvu zhotoviteli písemně nebo elektronicky dle čl. 4.1. V příloze č. 2 této smlouvy jsou uvedené příslušné kontaktní osoby, které jsou oprávněné podávat tyto výzvy za jednotlivá stanoviště. Od doručení výzvy objednatele je zhotovitel povinen nastoupit na odstranění závady do dvou pracovních dnů. Závada musí být odstraněna do 24 hodin v pracovních dnech od nastoupení zhotovitele k odstranění závady. V případě odstraňování závady závislé na dodávce náhradních dílů počíná lhůta k provedení opravy běžet dnem dodání těchto náhradních dílů zhotoviteli. Předpokládá se, že odstranění závady není závislé na dodávce náhradních dílů, pokud zhotovitel neprokáže opak. Zhotovitel je přitom povinen objednateli předložit zejména příslušnou objednávku náhradního dílu a jeho dodací list. Není-li možné tuto závadu odstranit do 24 hodin v pracovních dnech nebo bude-li nutné odvézt techniku k provedení opravy mimo místo plnění, je zhotovitel povinen zajistit na dobu opravy objednateli transportní techniku náhradní, plně kompatibilní viz čl. 5.4. této smlouvy. V případě zjevné nerentability opravy je zhotovitel povinen na to objednatele předem upozornit.</w:t>
      </w:r>
    </w:p>
    <w:p>
      <w:pPr>
        <w:pStyle w:val="Style33"/>
        <w:keepNext/>
        <w:keepLines/>
        <w:widowControl w:val="0"/>
        <w:numPr>
          <w:ilvl w:val="0"/>
          <w:numId w:val="3"/>
        </w:numPr>
        <w:shd w:val="clear" w:color="auto" w:fill="auto"/>
        <w:bidi w:val="0"/>
        <w:spacing w:before="0" w:after="0"/>
        <w:ind w:left="4660" w:right="0" w:firstLine="0"/>
        <w:jc w:val="left"/>
      </w:pPr>
      <w:bookmarkStart w:id="6" w:name="bookmark6"/>
      <w:bookmarkEnd w:id="6"/>
    </w:p>
    <w:p>
      <w:pPr>
        <w:pStyle w:val="Style2"/>
        <w:keepNext w:val="0"/>
        <w:keepLines w:val="0"/>
        <w:widowControl w:val="0"/>
        <w:shd w:val="clear" w:color="auto" w:fill="auto"/>
        <w:bidi w:val="0"/>
        <w:spacing w:before="0"/>
        <w:ind w:left="0" w:right="0" w:firstLine="380"/>
        <w:jc w:val="both"/>
      </w:pPr>
      <w:r>
        <w:rPr>
          <w:rStyle w:val="CharStyle3"/>
        </w:rPr>
        <w:t>Čl. 5.3. smlouvy se doplňuje a zní takto:</w:t>
      </w:r>
    </w:p>
    <w:p>
      <w:pPr>
        <w:pStyle w:val="Style2"/>
        <w:keepNext w:val="0"/>
        <w:keepLines w:val="0"/>
        <w:widowControl w:val="0"/>
        <w:shd w:val="clear" w:color="auto" w:fill="auto"/>
        <w:bidi w:val="0"/>
        <w:spacing w:before="0" w:after="220"/>
        <w:ind w:left="380" w:right="0"/>
        <w:jc w:val="both"/>
      </w:pPr>
      <w:r>
        <w:rPr>
          <w:rStyle w:val="CharStyle3"/>
        </w:rPr>
        <w:t>Případná oprava na stole s bočním posuvem pro elektrohydraulická nosítka se musí řešit individuálně. Jelikož je toto zařízení pevně spojeno s konstrukcí vozidla, musí být závada řešena ve spolupráci se zhotovitelem vestavby vozidla. Na opravy stolů s bočním posuvem pro elektrohydraulická nosítka se lhůty dle této smlouvy nevztahují.</w:t>
      </w:r>
    </w:p>
    <w:p>
      <w:pPr>
        <w:pStyle w:val="Style33"/>
        <w:keepNext/>
        <w:keepLines/>
        <w:widowControl w:val="0"/>
        <w:numPr>
          <w:ilvl w:val="0"/>
          <w:numId w:val="3"/>
        </w:numPr>
        <w:shd w:val="clear" w:color="auto" w:fill="auto"/>
        <w:bidi w:val="0"/>
        <w:spacing w:before="0" w:after="0"/>
        <w:ind w:left="4660" w:right="0" w:firstLine="0"/>
        <w:jc w:val="left"/>
      </w:pPr>
      <w:bookmarkStart w:id="8" w:name="bookmark8"/>
      <w:bookmarkEnd w:id="8"/>
    </w:p>
    <w:p>
      <w:pPr>
        <w:pStyle w:val="Style2"/>
        <w:keepNext w:val="0"/>
        <w:keepLines w:val="0"/>
        <w:widowControl w:val="0"/>
        <w:shd w:val="clear" w:color="auto" w:fill="auto"/>
        <w:bidi w:val="0"/>
        <w:spacing w:before="0"/>
        <w:ind w:left="0" w:right="0" w:firstLine="380"/>
        <w:jc w:val="both"/>
      </w:pPr>
      <w:r>
        <w:rPr>
          <w:rStyle w:val="CharStyle3"/>
        </w:rPr>
        <w:t>Či. 5.4. smlouvy se mění a nadále zní takto:</w:t>
      </w:r>
    </w:p>
    <w:p>
      <w:pPr>
        <w:pStyle w:val="Style2"/>
        <w:keepNext w:val="0"/>
        <w:keepLines w:val="0"/>
        <w:widowControl w:val="0"/>
        <w:shd w:val="clear" w:color="auto" w:fill="auto"/>
        <w:bidi w:val="0"/>
        <w:spacing w:before="0" w:after="220"/>
        <w:ind w:left="380" w:right="0"/>
        <w:jc w:val="both"/>
      </w:pPr>
      <w:r>
        <w:rPr>
          <w:rStyle w:val="CharStyle3"/>
        </w:rPr>
        <w:t xml:space="preserve">V případě, že bude nutné odvézt techniku k provedení opravy mimo místo plnění, nebo nelze závadu odstranit do 24 hodin v pracovních dnech a na dobu opravy budou objednateli poskytnuta náhradní a plně kompatibilní nosítka, lhůta podle odst 2 tohoto článku této smlouvy neběží. Poskytnutí a doprava náhradních nosítek je již započítána v rámci ceny za opravu </w:t>
      </w:r>
      <w:r>
        <w:rPr>
          <w:rStyle w:val="CharStyle3"/>
          <w:i/>
          <w:iCs/>
        </w:rPr>
        <w:t xml:space="preserve">a </w:t>
      </w:r>
      <w:r>
        <w:rPr>
          <w:rStyle w:val="CharStyle3"/>
        </w:rPr>
        <w:t>dopravu techniky k provedení opravy a nebude již objednateli fakturována.</w:t>
      </w:r>
    </w:p>
    <w:p>
      <w:pPr>
        <w:pStyle w:val="Style33"/>
        <w:keepNext/>
        <w:keepLines/>
        <w:widowControl w:val="0"/>
        <w:numPr>
          <w:ilvl w:val="0"/>
          <w:numId w:val="3"/>
        </w:numPr>
        <w:shd w:val="clear" w:color="auto" w:fill="auto"/>
        <w:bidi w:val="0"/>
        <w:spacing w:before="0" w:after="0"/>
        <w:ind w:left="0" w:right="0" w:firstLine="0"/>
        <w:jc w:val="center"/>
      </w:pPr>
      <w:bookmarkStart w:id="10" w:name="bookmark10"/>
      <w:bookmarkEnd w:id="10"/>
    </w:p>
    <w:p>
      <w:pPr>
        <w:pStyle w:val="Style2"/>
        <w:keepNext w:val="0"/>
        <w:keepLines w:val="0"/>
        <w:widowControl w:val="0"/>
        <w:shd w:val="clear" w:color="auto" w:fill="auto"/>
        <w:bidi w:val="0"/>
        <w:spacing w:before="0"/>
        <w:ind w:left="0" w:right="0" w:firstLine="380"/>
        <w:jc w:val="both"/>
      </w:pPr>
      <w:r>
        <w:rPr>
          <w:rStyle w:val="CharStyle3"/>
        </w:rPr>
        <w:t>Čl. 9.3. smlouvy se mění a nadále zní takto:</w:t>
      </w:r>
    </w:p>
    <w:p>
      <w:pPr>
        <w:pStyle w:val="Style2"/>
        <w:keepNext w:val="0"/>
        <w:keepLines w:val="0"/>
        <w:widowControl w:val="0"/>
        <w:shd w:val="clear" w:color="auto" w:fill="auto"/>
        <w:bidi w:val="0"/>
        <w:spacing w:before="0"/>
        <w:ind w:left="380" w:right="0"/>
        <w:jc w:val="both"/>
      </w:pPr>
      <w:r>
        <w:rPr>
          <w:rStyle w:val="CharStyle3"/>
        </w:rPr>
        <w:t>Cena za dílo podle čl. 2 písm. b) této smlouvy - za provádění opravy - bude vypočtena součtem ceny práce, pořizovací ceny zapracovaných náhradních dílů a ceny za dopravu. Cena práce bude stanovena jako součin hodinové sazby dle ceníku v příloze č. 1 k této smlouvě a počtu hodin odpracovaných na příslušném díle. Cena za dopravu bude stanovena jako součin počtu najetých km tam i zpět a jednotkové ceny dle ceníku v příloze č. 1 této smlouvy. V případě, kdy bude nutné zajistit odvoz techniky mimo místo plnění, bude součástí ceny díla rovněž cena za dopravu příslušného zboží, a to v sazbě dle ceníku v příloze č. 1.</w:t>
      </w:r>
      <w:r>
        <w:br w:type="page"/>
      </w:r>
    </w:p>
    <w:p>
      <w:pPr>
        <w:pStyle w:val="Style33"/>
        <w:keepNext/>
        <w:keepLines/>
        <w:widowControl w:val="0"/>
        <w:numPr>
          <w:ilvl w:val="0"/>
          <w:numId w:val="3"/>
        </w:numPr>
        <w:shd w:val="clear" w:color="auto" w:fill="auto"/>
        <w:bidi w:val="0"/>
        <w:spacing w:before="0" w:after="0" w:line="240" w:lineRule="auto"/>
        <w:ind w:left="0" w:right="0" w:firstLine="0"/>
        <w:jc w:val="center"/>
      </w:pPr>
      <w:bookmarkStart w:id="12" w:name="bookmark12"/>
      <w:bookmarkEnd w:id="12"/>
    </w:p>
    <w:p>
      <w:pPr>
        <w:pStyle w:val="Style2"/>
        <w:keepNext w:val="0"/>
        <w:keepLines w:val="0"/>
        <w:widowControl w:val="0"/>
        <w:shd w:val="clear" w:color="auto" w:fill="auto"/>
        <w:bidi w:val="0"/>
        <w:spacing w:before="0" w:after="340" w:line="240" w:lineRule="auto"/>
        <w:ind w:left="0" w:right="0" w:firstLine="0"/>
        <w:jc w:val="left"/>
      </w:pPr>
      <w:r>
        <w:rPr>
          <w:rStyle w:val="CharStyle3"/>
        </w:rPr>
        <w:t>Příloha č. 1 smlouvy se mění a nadále zní takto:</w:t>
      </w:r>
    </w:p>
    <w:tbl>
      <w:tblPr>
        <w:tblOverlap w:val="never"/>
        <w:jc w:val="center"/>
        <w:tblLayout w:type="fixed"/>
      </w:tblPr>
      <w:tblGrid>
        <w:gridCol w:w="494"/>
        <w:gridCol w:w="4810"/>
        <w:gridCol w:w="1027"/>
        <w:gridCol w:w="1406"/>
        <w:gridCol w:w="1387"/>
      </w:tblGrid>
      <w:tr>
        <w:trPr>
          <w:trHeight w:val="706" w:hRule="exact"/>
        </w:trPr>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b/>
                <w:bCs/>
                <w:sz w:val="19"/>
                <w:szCs w:val="19"/>
              </w:rPr>
              <w:t>P.č.</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b/>
                <w:bCs/>
                <w:sz w:val="19"/>
                <w:szCs w:val="19"/>
              </w:rPr>
              <w:t>Název/úkon</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b/>
                <w:bCs/>
                <w:sz w:val="19"/>
                <w:szCs w:val="19"/>
              </w:rPr>
              <w:t>Jednotka</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b/>
                <w:bCs/>
                <w:sz w:val="19"/>
                <w:szCs w:val="19"/>
              </w:rPr>
              <w:t>Cena za jednotku v Kč bez DPH</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b/>
                <w:bCs/>
                <w:sz w:val="19"/>
                <w:szCs w:val="19"/>
              </w:rPr>
              <w:t>Cena za jednotku v Kč vč. DPH</w:t>
            </w:r>
          </w:p>
        </w:tc>
      </w:tr>
      <w:tr>
        <w:trPr>
          <w:trHeight w:val="470" w:hRule="exact"/>
        </w:trPr>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1</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52" w:lineRule="auto"/>
              <w:ind w:left="0" w:right="0" w:firstLine="0"/>
              <w:jc w:val="left"/>
              <w:rPr>
                <w:sz w:val="19"/>
                <w:szCs w:val="19"/>
              </w:rPr>
            </w:pPr>
            <w:r>
              <w:rPr>
                <w:rStyle w:val="CharStyle39"/>
                <w:sz w:val="19"/>
                <w:szCs w:val="19"/>
              </w:rPr>
              <w:t>BTK podvozku mechanická nosítka (včetně BTK fixace)</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úkon</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850,00 Kč</w:t>
            </w:r>
          </w:p>
        </w:tc>
        <w:tc>
          <w:tcPr>
            <w:tcBorders>
              <w:top w:val="single" w:sz="4"/>
              <w:left w:val="single" w:sz="4"/>
              <w:righ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1 028,50 Kč</w:t>
            </w:r>
          </w:p>
        </w:tc>
      </w:tr>
      <w:tr>
        <w:trPr>
          <w:trHeight w:val="245"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2</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BTK mechanická nosítka</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úkon</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400,00 Kč</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484,00 Kč</w:t>
            </w:r>
          </w:p>
        </w:tc>
      </w:tr>
      <w:tr>
        <w:trPr>
          <w:trHeight w:val="240"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3</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BTK podvozku elektrohydraulických nosítek</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úkon</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3 800,00 Kč</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4 598,00 Kč</w:t>
            </w:r>
          </w:p>
        </w:tc>
      </w:tr>
      <w:tr>
        <w:trPr>
          <w:trHeight w:val="470" w:hRule="exact"/>
        </w:trPr>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4</w:t>
            </w:r>
          </w:p>
        </w:tc>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BTK nakládacího systému pro podvozek elektrohyd. nosítek v sanitním vozidle</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úkon</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3 500,00 Kč</w:t>
            </w:r>
          </w:p>
        </w:tc>
        <w:tc>
          <w:tcPr>
            <w:tcBorders>
              <w:top w:val="single" w:sz="4"/>
              <w:left w:val="single" w:sz="4"/>
              <w:righ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4 235,00 Kč</w:t>
            </w:r>
          </w:p>
        </w:tc>
      </w:tr>
      <w:tr>
        <w:trPr>
          <w:trHeight w:val="461" w:hRule="exact"/>
        </w:trPr>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5</w:t>
            </w:r>
          </w:p>
        </w:tc>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BTK stolu s bočním posuvem pro elektrohydraulická nosítka</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úkon</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850,00 Kč</w:t>
            </w:r>
          </w:p>
        </w:tc>
        <w:tc>
          <w:tcPr>
            <w:tcBorders>
              <w:top w:val="single" w:sz="4"/>
              <w:left w:val="single" w:sz="4"/>
              <w:righ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1 028,50 Kč</w:t>
            </w:r>
          </w:p>
        </w:tc>
      </w:tr>
      <w:tr>
        <w:trPr>
          <w:trHeight w:val="245"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6</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BTK elektrohydraulických nosítek</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úkon</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400,00 Kč</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484,00 Kč</w:t>
            </w:r>
          </w:p>
        </w:tc>
      </w:tr>
      <w:tr>
        <w:trPr>
          <w:trHeight w:val="245"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7</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Hodinová sazba oprav</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hodina</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900,00 Kč</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1 089,00 Kč</w:t>
            </w:r>
          </w:p>
        </w:tc>
      </w:tr>
      <w:tr>
        <w:trPr>
          <w:trHeight w:val="245"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8</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BTK schodolez</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úkon</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400,00 Kč</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484,00 Kč</w:t>
            </w:r>
          </w:p>
        </w:tc>
      </w:tr>
      <w:tr>
        <w:trPr>
          <w:trHeight w:val="245"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180"/>
              <w:jc w:val="left"/>
              <w:rPr>
                <w:sz w:val="19"/>
                <w:szCs w:val="19"/>
              </w:rPr>
            </w:pPr>
            <w:r>
              <w:rPr>
                <w:rStyle w:val="CharStyle39"/>
                <w:sz w:val="19"/>
                <w:szCs w:val="19"/>
              </w:rPr>
              <w:t>9</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Hodinová oprava schodolez</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220"/>
              <w:jc w:val="left"/>
              <w:rPr>
                <w:sz w:val="19"/>
                <w:szCs w:val="19"/>
              </w:rPr>
            </w:pPr>
            <w:r>
              <w:rPr>
                <w:rStyle w:val="CharStyle39"/>
                <w:sz w:val="19"/>
                <w:szCs w:val="19"/>
              </w:rPr>
              <w:t>hodina</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900,00 Kč</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1 089,00 Kč</w:t>
            </w:r>
          </w:p>
        </w:tc>
      </w:tr>
      <w:tr>
        <w:trPr>
          <w:trHeight w:val="480" w:hRule="exact"/>
        </w:trPr>
        <w:tc>
          <w:tcPr>
            <w:tcBorders>
              <w:top w:val="single" w:sz="4"/>
              <w:left w:val="single" w:sz="4"/>
              <w:bottom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9"/>
                <w:szCs w:val="19"/>
              </w:rPr>
            </w:pPr>
            <w:r>
              <w:rPr>
                <w:rStyle w:val="CharStyle39"/>
                <w:sz w:val="19"/>
                <w:szCs w:val="19"/>
              </w:rPr>
              <w:t>10</w:t>
            </w:r>
          </w:p>
        </w:tc>
        <w:tc>
          <w:tcPr>
            <w:tcBorders>
              <w:top w:val="single" w:sz="4"/>
              <w:left w:val="single" w:sz="4"/>
              <w:bottom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9"/>
                <w:szCs w:val="19"/>
              </w:rPr>
            </w:pPr>
            <w:r>
              <w:rPr>
                <w:rStyle w:val="CharStyle39"/>
                <w:sz w:val="19"/>
                <w:szCs w:val="19"/>
              </w:rPr>
              <w:t>Doprava z místa sídla/provozovny zhotovitele: Dolní Dubňany 58, 671 73 Tulešice</w:t>
            </w:r>
          </w:p>
        </w:tc>
        <w:tc>
          <w:tcPr>
            <w:tcBorders>
              <w:top w:val="single" w:sz="4"/>
              <w:left w:val="single" w:sz="4"/>
              <w:bottom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220"/>
              <w:jc w:val="left"/>
              <w:rPr>
                <w:sz w:val="19"/>
                <w:szCs w:val="19"/>
              </w:rPr>
            </w:pPr>
            <w:r>
              <w:rPr>
                <w:rStyle w:val="CharStyle39"/>
                <w:sz w:val="19"/>
                <w:szCs w:val="19"/>
              </w:rPr>
              <w:t>Kč/km</w:t>
            </w:r>
          </w:p>
        </w:tc>
        <w:tc>
          <w:tcPr>
            <w:tcBorders>
              <w:top w:val="single" w:sz="4"/>
              <w:left w:val="single" w:sz="4"/>
              <w:bottom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21,00 Kč</w:t>
            </w:r>
          </w:p>
        </w:tc>
        <w:tc>
          <w:tcPr>
            <w:tcBorders>
              <w:top w:val="single" w:sz="4"/>
              <w:left w:val="single" w:sz="4"/>
              <w:bottom w:val="single" w:sz="4"/>
              <w:righ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right"/>
              <w:rPr>
                <w:sz w:val="19"/>
                <w:szCs w:val="19"/>
              </w:rPr>
            </w:pPr>
            <w:r>
              <w:rPr>
                <w:rStyle w:val="CharStyle39"/>
                <w:sz w:val="19"/>
                <w:szCs w:val="19"/>
              </w:rPr>
              <w:t>25,41 Kč</w:t>
            </w:r>
          </w:p>
        </w:tc>
      </w:tr>
    </w:tbl>
    <w:p>
      <w:pPr>
        <w:widowControl w:val="0"/>
        <w:spacing w:after="559" w:line="1" w:lineRule="exact"/>
      </w:pPr>
    </w:p>
    <w:p>
      <w:pPr>
        <w:pStyle w:val="Style33"/>
        <w:keepNext/>
        <w:keepLines/>
        <w:widowControl w:val="0"/>
        <w:numPr>
          <w:ilvl w:val="0"/>
          <w:numId w:val="5"/>
        </w:numPr>
        <w:shd w:val="clear" w:color="auto" w:fill="auto"/>
        <w:bidi w:val="0"/>
        <w:spacing w:before="0" w:after="0" w:line="259" w:lineRule="auto"/>
        <w:ind w:left="4280" w:right="0" w:firstLine="0"/>
        <w:jc w:val="left"/>
      </w:pPr>
      <w:bookmarkStart w:id="14" w:name="bookmark14"/>
      <w:bookmarkEnd w:id="14"/>
    </w:p>
    <w:p>
      <w:pPr>
        <w:pStyle w:val="Style2"/>
        <w:keepNext w:val="0"/>
        <w:keepLines w:val="0"/>
        <w:widowControl w:val="0"/>
        <w:shd w:val="clear" w:color="auto" w:fill="auto"/>
        <w:bidi w:val="0"/>
        <w:spacing w:before="0" w:after="140" w:line="259" w:lineRule="auto"/>
        <w:ind w:left="0" w:right="0" w:firstLine="0"/>
        <w:jc w:val="left"/>
      </w:pPr>
      <w:r>
        <w:rPr>
          <w:rStyle w:val="CharStyle3"/>
        </w:rPr>
        <w:t>Ostatní ustanovení smlouvy zůstávají beze změny.</w:t>
      </w:r>
    </w:p>
    <w:p>
      <w:pPr>
        <w:pStyle w:val="Style33"/>
        <w:keepNext/>
        <w:keepLines/>
        <w:widowControl w:val="0"/>
        <w:numPr>
          <w:ilvl w:val="0"/>
          <w:numId w:val="5"/>
        </w:numPr>
        <w:shd w:val="clear" w:color="auto" w:fill="auto"/>
        <w:bidi w:val="0"/>
        <w:spacing w:before="0" w:after="0" w:line="259" w:lineRule="auto"/>
        <w:ind w:left="4280" w:right="0" w:firstLine="0"/>
        <w:jc w:val="left"/>
      </w:pPr>
      <w:bookmarkStart w:id="16" w:name="bookmark16"/>
      <w:bookmarkEnd w:id="16"/>
    </w:p>
    <w:p>
      <w:pPr>
        <w:pStyle w:val="Style2"/>
        <w:keepNext w:val="0"/>
        <w:keepLines w:val="0"/>
        <w:widowControl w:val="0"/>
        <w:shd w:val="clear" w:color="auto" w:fill="auto"/>
        <w:bidi w:val="0"/>
        <w:spacing w:before="0" w:after="220" w:line="259" w:lineRule="auto"/>
        <w:ind w:left="0" w:right="0" w:firstLine="0"/>
        <w:jc w:val="left"/>
      </w:pPr>
      <w:r>
        <w:rPr>
          <w:rStyle w:val="CharStyle3"/>
        </w:rPr>
        <w:t>Tento dodatek nabývá platnosti a účinnosti dnem jeho podpisu oběma smluvními stranami.</w:t>
      </w:r>
    </w:p>
    <w:p>
      <w:pPr>
        <w:pStyle w:val="Style33"/>
        <w:keepNext/>
        <w:keepLines/>
        <w:widowControl w:val="0"/>
        <w:numPr>
          <w:ilvl w:val="0"/>
          <w:numId w:val="5"/>
        </w:numPr>
        <w:shd w:val="clear" w:color="auto" w:fill="auto"/>
        <w:bidi w:val="0"/>
        <w:spacing w:before="0" w:after="0" w:line="259" w:lineRule="auto"/>
        <w:ind w:left="0" w:right="0" w:firstLine="0"/>
        <w:jc w:val="center"/>
      </w:pPr>
      <w:bookmarkStart w:id="18" w:name="bookmark18"/>
      <w:bookmarkEnd w:id="18"/>
    </w:p>
    <w:p>
      <w:pPr>
        <w:pStyle w:val="Style2"/>
        <w:keepNext w:val="0"/>
        <w:keepLines w:val="0"/>
        <w:widowControl w:val="0"/>
        <w:shd w:val="clear" w:color="auto" w:fill="auto"/>
        <w:bidi w:val="0"/>
        <w:spacing w:before="0" w:after="0" w:line="259" w:lineRule="auto"/>
        <w:ind w:left="0" w:right="0" w:firstLine="0"/>
        <w:jc w:val="left"/>
        <w:sectPr>
          <w:footnotePr>
            <w:pos w:val="pageBottom"/>
            <w:numFmt w:val="decimal"/>
            <w:numRestart w:val="continuous"/>
          </w:footnotePr>
          <w:type w:val="continuous"/>
          <w:pgSz w:w="11900" w:h="16840"/>
          <w:pgMar w:top="503" w:right="1469" w:bottom="1827" w:left="1119" w:header="0" w:footer="3" w:gutter="0"/>
          <w:cols w:space="720"/>
          <w:noEndnote/>
          <w:rtlGutter w:val="0"/>
          <w:docGrid w:linePitch="360"/>
        </w:sectPr>
      </w:pPr>
      <w:r>
        <w:rPr>
          <w:rStyle w:val="CharStyle3"/>
        </w:rPr>
        <w:t>Tento dodatek se vyhotovuje ve dvou stejnopisech s platností originálu, z nichž každá ze smluvních stran obdrží jedno vyhotovení. V případě, že je tento dodatek uzavřen elektronickými prostředky, obdrží každá smluvní strana jeden identický elektronický soubor.</w:t>
      </w: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262" w:right="0" w:bottom="1000" w:left="0" w:header="0" w:footer="3" w:gutter="0"/>
          <w:cols w:space="720"/>
          <w:noEndnote/>
          <w:rtlGutter w:val="0"/>
          <w:docGrid w:linePitch="360"/>
        </w:sectPr>
      </w:pPr>
    </w:p>
    <w:p>
      <w:pPr>
        <w:pStyle w:val="Style2"/>
        <w:keepNext w:val="0"/>
        <w:keepLines w:val="0"/>
        <w:framePr w:w="2880" w:h="259" w:wrap="none" w:vAnchor="text" w:hAnchor="page" w:x="1204" w:y="21"/>
        <w:widowControl w:val="0"/>
        <w:shd w:val="clear" w:color="auto" w:fill="auto"/>
        <w:bidi w:val="0"/>
        <w:spacing w:before="0" w:after="0" w:line="240" w:lineRule="auto"/>
        <w:ind w:left="0" w:right="0" w:firstLine="0"/>
        <w:jc w:val="left"/>
      </w:pPr>
      <w:r>
        <w:rPr>
          <w:rStyle w:val="CharStyle3"/>
        </w:rPr>
        <w:t>V dne</w:t>
      </w:r>
    </w:p>
    <w:p>
      <w:pPr>
        <w:pStyle w:val="Style2"/>
        <w:keepNext w:val="0"/>
        <w:keepLines w:val="0"/>
        <w:framePr w:w="2122" w:h="250" w:wrap="none" w:vAnchor="text" w:hAnchor="page" w:x="6762" w:y="21"/>
        <w:widowControl w:val="0"/>
        <w:shd w:val="clear" w:color="auto" w:fill="auto"/>
        <w:bidi w:val="0"/>
        <w:spacing w:before="0" w:after="0" w:line="240" w:lineRule="auto"/>
        <w:ind w:left="0" w:right="0" w:firstLine="0"/>
        <w:jc w:val="left"/>
      </w:pPr>
      <w:r>
        <w:rPr>
          <w:rStyle w:val="CharStyle3"/>
        </w:rPr>
        <w:t>V Praze dne 5.3.2025</w:t>
      </w:r>
    </w:p>
    <w:p>
      <w:pPr>
        <w:pStyle w:val="Style10"/>
        <w:keepNext w:val="0"/>
        <w:keepLines w:val="0"/>
        <w:framePr w:w="3907" w:h="1315" w:wrap="none" w:vAnchor="text" w:hAnchor="page" w:x="1204" w:y="759"/>
        <w:widowControl w:val="0"/>
        <w:shd w:val="clear" w:color="auto" w:fill="auto"/>
        <w:bidi w:val="0"/>
        <w:spacing w:before="0" w:after="80" w:line="156" w:lineRule="auto"/>
        <w:ind w:left="0" w:right="0" w:firstLine="0"/>
        <w:jc w:val="left"/>
      </w:pPr>
      <w:r>
        <w:rPr>
          <w:rStyle w:val="CharStyle11"/>
          <w:b/>
          <w:bCs/>
          <w:sz w:val="22"/>
          <w:szCs w:val="22"/>
        </w:rPr>
        <w:t xml:space="preserve">K/ll IDr Mana </w:t>
      </w:r>
      <w:r>
        <w:rPr>
          <w:rStyle w:val="CharStyle11"/>
        </w:rPr>
        <w:t xml:space="preserve">Digitálně podepsal </w:t>
      </w:r>
      <w:r>
        <w:rPr>
          <w:rStyle w:val="CharStyle11"/>
          <w:b/>
          <w:bCs/>
          <w:sz w:val="22"/>
          <w:szCs w:val="22"/>
        </w:rPr>
        <w:t xml:space="preserve">IVIUUI. nana </w:t>
      </w:r>
      <w:r>
        <w:rPr>
          <w:rStyle w:val="CharStyle11"/>
        </w:rPr>
        <w:t>MUDr. Hana Albrechtová</w:t>
      </w:r>
    </w:p>
    <w:p>
      <w:pPr>
        <w:pStyle w:val="Style43"/>
        <w:keepNext/>
        <w:keepLines/>
        <w:framePr w:w="3907" w:h="1315" w:wrap="none" w:vAnchor="text" w:hAnchor="page" w:x="1204" w:y="759"/>
        <w:widowControl w:val="0"/>
        <w:shd w:val="clear" w:color="auto" w:fill="auto"/>
        <w:bidi w:val="0"/>
        <w:spacing w:before="0" w:after="160" w:line="240" w:lineRule="auto"/>
        <w:ind w:left="0" w:right="0" w:firstLine="0"/>
        <w:jc w:val="left"/>
      </w:pPr>
      <w:bookmarkStart w:id="20" w:name="bookmark20"/>
      <w:r>
        <w:rPr>
          <w:rStyle w:val="CharStyle44"/>
          <w:rFonts w:ascii="Arial" w:eastAsia="Arial" w:hAnsi="Arial" w:cs="Arial"/>
          <w:sz w:val="34"/>
          <w:szCs w:val="34"/>
          <w:u w:val="single"/>
        </w:rPr>
        <w:t>Albrechtová^”</w:t>
      </w:r>
      <w:bookmarkEnd w:id="20"/>
    </w:p>
    <w:p>
      <w:pPr>
        <w:pStyle w:val="Style2"/>
        <w:keepNext w:val="0"/>
        <w:keepLines w:val="0"/>
        <w:framePr w:w="3907" w:h="1315" w:wrap="none" w:vAnchor="text" w:hAnchor="page" w:x="1204" w:y="759"/>
        <w:widowControl w:val="0"/>
        <w:pBdr>
          <w:top w:val="single" w:sz="4" w:space="0" w:color="auto"/>
        </w:pBdr>
        <w:shd w:val="clear" w:color="auto" w:fill="auto"/>
        <w:bidi w:val="0"/>
        <w:spacing w:before="0" w:line="240" w:lineRule="auto"/>
        <w:ind w:left="0" w:right="0" w:firstLine="820"/>
        <w:jc w:val="left"/>
      </w:pPr>
      <w:r>
        <w:rPr>
          <w:rStyle w:val="CharStyle3"/>
        </w:rPr>
        <w:t>objednatel</w:t>
      </w:r>
    </w:p>
    <w:p>
      <w:pPr>
        <w:pStyle w:val="Style43"/>
        <w:keepNext/>
        <w:keepLines/>
        <w:framePr w:w="1411" w:h="442" w:wrap="none" w:vAnchor="text" w:hAnchor="page" w:x="6834" w:y="687"/>
        <w:widowControl w:val="0"/>
        <w:shd w:val="clear" w:color="auto" w:fill="auto"/>
        <w:bidi w:val="0"/>
        <w:spacing w:before="0" w:after="0" w:line="240" w:lineRule="auto"/>
        <w:ind w:left="0" w:right="0" w:firstLine="0"/>
        <w:jc w:val="left"/>
      </w:pPr>
      <w:bookmarkStart w:id="22" w:name="bookmark22"/>
      <w:r>
        <w:rPr>
          <w:rStyle w:val="CharStyle44"/>
        </w:rPr>
        <w:t>Ing. David</w:t>
      </w:r>
      <w:bookmarkEnd w:id="22"/>
    </w:p>
    <w:p>
      <w:pPr>
        <w:pStyle w:val="Style43"/>
        <w:keepNext/>
        <w:keepLines/>
        <w:framePr w:w="821" w:h="442" w:wrap="none" w:vAnchor="text" w:hAnchor="page" w:x="6834" w:y="1153"/>
        <w:widowControl w:val="0"/>
        <w:shd w:val="clear" w:color="auto" w:fill="auto"/>
        <w:bidi w:val="0"/>
        <w:spacing w:before="0" w:after="0" w:line="240" w:lineRule="auto"/>
        <w:ind w:left="0" w:right="0" w:firstLine="0"/>
        <w:jc w:val="left"/>
      </w:pPr>
      <w:bookmarkStart w:id="24" w:name="bookmark24"/>
      <w:r>
        <w:rPr>
          <w:rStyle w:val="CharStyle44"/>
        </w:rPr>
        <w:t>Ryska</w:t>
      </w:r>
      <w:bookmarkEnd w:id="24"/>
    </w:p>
    <w:p>
      <w:pPr>
        <w:pStyle w:val="Style10"/>
        <w:keepNext w:val="0"/>
        <w:keepLines w:val="0"/>
        <w:framePr w:w="1382" w:h="437" w:wrap="none" w:vAnchor="text" w:hAnchor="page" w:x="8250" w:y="711"/>
        <w:widowControl w:val="0"/>
        <w:shd w:val="clear" w:color="auto" w:fill="auto"/>
        <w:bidi w:val="0"/>
        <w:spacing w:before="0" w:after="0" w:line="295" w:lineRule="auto"/>
        <w:ind w:left="0" w:right="0" w:firstLine="0"/>
        <w:jc w:val="left"/>
      </w:pPr>
      <w:r>
        <w:rPr>
          <w:rStyle w:val="CharStyle11"/>
        </w:rPr>
        <w:t>Digitálně podepsal Ing. David Ryska</w:t>
      </w:r>
    </w:p>
    <w:p>
      <w:pPr>
        <w:pStyle w:val="Style10"/>
        <w:keepNext w:val="0"/>
        <w:keepLines w:val="0"/>
        <w:framePr w:w="1358" w:h="427" w:wrap="none" w:vAnchor="text" w:hAnchor="page" w:x="8255" w:y="1134"/>
        <w:widowControl w:val="0"/>
        <w:shd w:val="clear" w:color="auto" w:fill="auto"/>
        <w:bidi w:val="0"/>
        <w:spacing w:before="0" w:after="0"/>
        <w:ind w:left="0" w:right="0" w:firstLine="0"/>
        <w:jc w:val="left"/>
      </w:pPr>
      <w:r>
        <w:rPr>
          <w:rStyle w:val="CharStyle11"/>
        </w:rPr>
        <w:t>Datum: 2025.03.05 13:13:00 +01’00'</w:t>
      </w:r>
    </w:p>
    <w:p>
      <w:pPr>
        <w:pStyle w:val="Style2"/>
        <w:keepNext w:val="0"/>
        <w:keepLines w:val="0"/>
        <w:framePr w:w="950" w:h="254" w:wrap="none" w:vAnchor="text" w:hAnchor="page" w:x="7804" w:y="1811"/>
        <w:widowControl w:val="0"/>
        <w:pBdr>
          <w:top w:val="single" w:sz="4" w:space="0" w:color="auto"/>
        </w:pBdr>
        <w:shd w:val="clear" w:color="auto" w:fill="auto"/>
        <w:bidi w:val="0"/>
        <w:spacing w:before="0" w:after="0" w:line="240" w:lineRule="auto"/>
        <w:ind w:left="0" w:right="0" w:firstLine="0"/>
        <w:jc w:val="left"/>
      </w:pPr>
      <w:r>
        <w:rPr>
          <w:rStyle w:val="CharStyle3"/>
        </w:rPr>
        <w:t>zhotovitel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pPr>
    </w:p>
    <w:sectPr>
      <w:footnotePr>
        <w:pos w:val="pageBottom"/>
        <w:numFmt w:val="decimal"/>
        <w:numRestart w:val="continuous"/>
      </w:footnotePr>
      <w:type w:val="continuous"/>
      <w:pgSz w:w="11900" w:h="16840"/>
      <w:pgMar w:top="2262" w:right="1368" w:bottom="1000" w:left="138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905510</wp:posOffset>
              </wp:positionH>
              <wp:positionV relativeFrom="page">
                <wp:posOffset>10085705</wp:posOffset>
              </wp:positionV>
              <wp:extent cx="4138930" cy="125095"/>
              <wp:wrapNone/>
              <wp:docPr id="7" name="Shape 7"/>
              <a:graphic xmlns:a="http://schemas.openxmlformats.org/drawingml/2006/main">
                <a:graphicData uri="http://schemas.microsoft.com/office/word/2010/wordprocessingShape">
                  <wps:wsp>
                    <wps:cNvSpPr txBox="1"/>
                    <wps:spPr>
                      <a:xfrm>
                        <a:ext cx="4138930" cy="1250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i/>
                              <w:iCs/>
                              <w:sz w:val="17"/>
                              <w:szCs w:val="17"/>
                            </w:rPr>
                            <w:t>Veřejná zakázka 54-24: Pozáruční servis zdravotnické techniky 2024 - 2026</w:t>
                          </w:r>
                        </w:p>
                      </w:txbxContent>
                    </wps:txbx>
                    <wps:bodyPr wrap="none" lIns="0" tIns="0" rIns="0" bIns="0">
                      <a:spAutoFit/>
                    </wps:bodyPr>
                  </wps:wsp>
                </a:graphicData>
              </a:graphic>
            </wp:anchor>
          </w:drawing>
        </mc:Choice>
        <mc:Fallback>
          <w:pict>
            <v:shape id="_x0000_s1033" type="#_x0000_t202" style="position:absolute;margin-left:71.299999999999997pt;margin-top:794.14999999999998pt;width:325.90000000000003pt;height:9.8499999999999996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i/>
                        <w:iCs/>
                        <w:sz w:val="17"/>
                        <w:szCs w:val="17"/>
                      </w:rPr>
                      <w:t>Veřejná zakázka 54-24: Pozáruční servis zdravotnické techniky 2024 - 2026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993775</wp:posOffset>
              </wp:positionH>
              <wp:positionV relativeFrom="page">
                <wp:posOffset>10198100</wp:posOffset>
              </wp:positionV>
              <wp:extent cx="3761105" cy="130810"/>
              <wp:wrapNone/>
              <wp:docPr id="9" name="Shape 9"/>
              <a:graphic xmlns:a="http://schemas.openxmlformats.org/drawingml/2006/main">
                <a:graphicData uri="http://schemas.microsoft.com/office/word/2010/wordprocessingShape">
                  <wps:wsp>
                    <wps:cNvSpPr txBox="1"/>
                    <wps:spPr>
                      <a:xfrm>
                        <a:ext cx="3761105" cy="1308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i/>
                              <w:iCs/>
                              <w:sz w:val="17"/>
                              <w:szCs w:val="17"/>
                            </w:rPr>
                            <w:t>Veřejná zakázka 54-24: Pozáruční servis zdravotnické techniky 2024 - 2026</w:t>
                          </w:r>
                        </w:p>
                      </w:txbxContent>
                    </wps:txbx>
                    <wps:bodyPr wrap="none" lIns="0" tIns="0" rIns="0" bIns="0">
                      <a:spAutoFit/>
                    </wps:bodyPr>
                  </wps:wsp>
                </a:graphicData>
              </a:graphic>
            </wp:anchor>
          </w:drawing>
        </mc:Choice>
        <mc:Fallback>
          <w:pict>
            <v:shape id="_x0000_s1035" type="#_x0000_t202" style="position:absolute;margin-left:78.25pt;margin-top:803.pt;width:296.15000000000003pt;height:10.30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i/>
                        <w:iCs/>
                        <w:sz w:val="17"/>
                        <w:szCs w:val="17"/>
                      </w:rPr>
                      <w:t>Veřejná zakázka 54-24: Pozáruční servis zdravotnické techniky 2024 - 2026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1_"/>
    <w:basedOn w:val="DefaultParagraphFont"/>
    <w:link w:val="Style8"/>
    <w:rPr>
      <w:rFonts w:ascii="Arial" w:eastAsia="Arial" w:hAnsi="Arial" w:cs="Arial"/>
      <w:b w:val="0"/>
      <w:bCs w:val="0"/>
      <w:i w:val="0"/>
      <w:iCs w:val="0"/>
      <w:smallCaps w:val="0"/>
      <w:strike w:val="0"/>
      <w:sz w:val="62"/>
      <w:szCs w:val="62"/>
      <w:u w:val="none"/>
    </w:rPr>
  </w:style>
  <w:style w:type="character" w:customStyle="1" w:styleId="CharStyle11">
    <w:name w:val="Základní text (2)_"/>
    <w:basedOn w:val="DefaultParagraphFont"/>
    <w:link w:val="Style10"/>
    <w:rPr>
      <w:rFonts w:ascii="Arial" w:eastAsia="Arial" w:hAnsi="Arial" w:cs="Arial"/>
      <w:b w:val="0"/>
      <w:bCs w:val="0"/>
      <w:i w:val="0"/>
      <w:iCs w:val="0"/>
      <w:smallCaps w:val="0"/>
      <w:strike w:val="0"/>
      <w:sz w:val="15"/>
      <w:szCs w:val="15"/>
      <w:u w:val="none"/>
    </w:rPr>
  </w:style>
  <w:style w:type="character" w:customStyle="1" w:styleId="CharStyle13">
    <w:name w:val="Základní text (3)_"/>
    <w:basedOn w:val="DefaultParagraphFont"/>
    <w:link w:val="Style12"/>
    <w:rPr>
      <w:rFonts w:ascii="Arial" w:eastAsia="Arial" w:hAnsi="Arial" w:cs="Arial"/>
      <w:b/>
      <w:bCs/>
      <w:i w:val="0"/>
      <w:iCs w:val="0"/>
      <w:smallCaps w:val="0"/>
      <w:strike w:val="0"/>
      <w:u w:val="none"/>
    </w:rPr>
  </w:style>
  <w:style w:type="character" w:customStyle="1" w:styleId="CharStyle34">
    <w:name w:val="Nadpis #3_"/>
    <w:basedOn w:val="DefaultParagraphFont"/>
    <w:link w:val="Style33"/>
    <w:rPr>
      <w:rFonts w:ascii="Arial" w:eastAsia="Arial" w:hAnsi="Arial" w:cs="Arial"/>
      <w:b/>
      <w:bCs/>
      <w:i w:val="0"/>
      <w:iCs w:val="0"/>
      <w:smallCaps w:val="0"/>
      <w:strike w:val="0"/>
      <w:sz w:val="20"/>
      <w:szCs w:val="20"/>
      <w:u w:val="none"/>
    </w:rPr>
  </w:style>
  <w:style w:type="character" w:customStyle="1" w:styleId="CharStyle36">
    <w:name w:val="Základní text (4)_"/>
    <w:basedOn w:val="DefaultParagraphFont"/>
    <w:link w:val="Style35"/>
    <w:rPr>
      <w:rFonts w:ascii="Arial" w:eastAsia="Arial" w:hAnsi="Arial" w:cs="Arial"/>
      <w:b w:val="0"/>
      <w:bCs w:val="0"/>
      <w:i w:val="0"/>
      <w:iCs w:val="0"/>
      <w:smallCaps w:val="0"/>
      <w:strike w:val="0"/>
      <w:sz w:val="28"/>
      <w:szCs w:val="28"/>
      <w:u w:val="none"/>
    </w:rPr>
  </w:style>
  <w:style w:type="character" w:customStyle="1" w:styleId="CharStyle39">
    <w:name w:val="Jiné_"/>
    <w:basedOn w:val="DefaultParagraphFont"/>
    <w:link w:val="Style38"/>
    <w:rPr>
      <w:rFonts w:ascii="Arial" w:eastAsia="Arial" w:hAnsi="Arial" w:cs="Arial"/>
      <w:b w:val="0"/>
      <w:bCs w:val="0"/>
      <w:i w:val="0"/>
      <w:iCs w:val="0"/>
      <w:smallCaps w:val="0"/>
      <w:strike w:val="0"/>
      <w:sz w:val="20"/>
      <w:szCs w:val="20"/>
      <w:u w:val="none"/>
    </w:rPr>
  </w:style>
  <w:style w:type="character" w:customStyle="1" w:styleId="CharStyle44">
    <w:name w:val="Nadpis #2_"/>
    <w:basedOn w:val="DefaultParagraphFont"/>
    <w:link w:val="Style43"/>
    <w:rPr>
      <w:rFonts w:ascii="Calibri" w:eastAsia="Calibri" w:hAnsi="Calibri" w:cs="Calibri"/>
      <w:b w:val="0"/>
      <w:bCs w:val="0"/>
      <w:i w:val="0"/>
      <w:iCs w:val="0"/>
      <w:smallCaps w:val="0"/>
      <w:strike w:val="0"/>
      <w:sz w:val="34"/>
      <w:szCs w:val="34"/>
      <w:u w:val="none"/>
    </w:rPr>
  </w:style>
  <w:style w:type="paragraph" w:customStyle="1" w:styleId="Style2">
    <w:name w:val="Základní text"/>
    <w:basedOn w:val="Normal"/>
    <w:link w:val="CharStyle3"/>
    <w:pPr>
      <w:widowControl w:val="0"/>
      <w:shd w:val="clear" w:color="auto" w:fill="auto"/>
      <w:spacing w:after="120" w:line="257" w:lineRule="auto"/>
      <w:ind w:firstLine="20"/>
    </w:pPr>
    <w:rPr>
      <w:rFonts w:ascii="Arial" w:eastAsia="Arial" w:hAnsi="Arial" w:cs="Arial"/>
      <w:b w:val="0"/>
      <w:bCs w:val="0"/>
      <w:i w:val="0"/>
      <w:iCs w:val="0"/>
      <w:smallCaps w:val="0"/>
      <w:strike w:val="0"/>
      <w:sz w:val="20"/>
      <w:szCs w:val="20"/>
      <w:u w:val="none"/>
    </w:rPr>
  </w:style>
  <w:style w:type="paragraph" w:customStyle="1" w:styleId="Style5">
    <w:name w:val="Záhlaví nebo zápatí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auto"/>
      <w:spacing w:after="80"/>
      <w:jc w:val="center"/>
      <w:outlineLvl w:val="0"/>
    </w:pPr>
    <w:rPr>
      <w:rFonts w:ascii="Arial" w:eastAsia="Arial" w:hAnsi="Arial" w:cs="Arial"/>
      <w:b w:val="0"/>
      <w:bCs w:val="0"/>
      <w:i w:val="0"/>
      <w:iCs w:val="0"/>
      <w:smallCaps w:val="0"/>
      <w:strike w:val="0"/>
      <w:sz w:val="62"/>
      <w:szCs w:val="62"/>
      <w:u w:val="none"/>
    </w:rPr>
  </w:style>
  <w:style w:type="paragraph" w:customStyle="1" w:styleId="Style10">
    <w:name w:val="Základní text (2)"/>
    <w:basedOn w:val="Normal"/>
    <w:link w:val="CharStyle11"/>
    <w:pPr>
      <w:widowControl w:val="0"/>
      <w:shd w:val="clear" w:color="auto" w:fill="auto"/>
      <w:spacing w:line="276" w:lineRule="auto"/>
    </w:pPr>
    <w:rPr>
      <w:rFonts w:ascii="Arial" w:eastAsia="Arial" w:hAnsi="Arial" w:cs="Arial"/>
      <w:b w:val="0"/>
      <w:bCs w:val="0"/>
      <w:i w:val="0"/>
      <w:iCs w:val="0"/>
      <w:smallCaps w:val="0"/>
      <w:strike w:val="0"/>
      <w:sz w:val="15"/>
      <w:szCs w:val="15"/>
      <w:u w:val="none"/>
    </w:rPr>
  </w:style>
  <w:style w:type="paragraph" w:customStyle="1" w:styleId="Style12">
    <w:name w:val="Základní text (3)"/>
    <w:basedOn w:val="Normal"/>
    <w:link w:val="CharStyle13"/>
    <w:pPr>
      <w:widowControl w:val="0"/>
      <w:shd w:val="clear" w:color="auto" w:fill="auto"/>
      <w:jc w:val="center"/>
    </w:pPr>
    <w:rPr>
      <w:rFonts w:ascii="Arial" w:eastAsia="Arial" w:hAnsi="Arial" w:cs="Arial"/>
      <w:b/>
      <w:bCs/>
      <w:i w:val="0"/>
      <w:iCs w:val="0"/>
      <w:smallCaps w:val="0"/>
      <w:strike w:val="0"/>
      <w:u w:val="none"/>
    </w:rPr>
  </w:style>
  <w:style w:type="paragraph" w:customStyle="1" w:styleId="Style33">
    <w:name w:val="Nadpis #3"/>
    <w:basedOn w:val="Normal"/>
    <w:link w:val="CharStyle34"/>
    <w:pPr>
      <w:widowControl w:val="0"/>
      <w:shd w:val="clear" w:color="auto" w:fill="auto"/>
      <w:spacing w:line="257" w:lineRule="auto"/>
      <w:ind w:left="2140"/>
      <w:jc w:val="center"/>
      <w:outlineLvl w:val="2"/>
    </w:pPr>
    <w:rPr>
      <w:rFonts w:ascii="Arial" w:eastAsia="Arial" w:hAnsi="Arial" w:cs="Arial"/>
      <w:b/>
      <w:bCs/>
      <w:i w:val="0"/>
      <w:iCs w:val="0"/>
      <w:smallCaps w:val="0"/>
      <w:strike w:val="0"/>
      <w:sz w:val="20"/>
      <w:szCs w:val="20"/>
      <w:u w:val="none"/>
    </w:rPr>
  </w:style>
  <w:style w:type="paragraph" w:customStyle="1" w:styleId="Style35">
    <w:name w:val="Základní text (4)"/>
    <w:basedOn w:val="Normal"/>
    <w:link w:val="CharStyle36"/>
    <w:pPr>
      <w:widowControl w:val="0"/>
      <w:shd w:val="clear" w:color="auto" w:fill="auto"/>
      <w:ind w:left="4660"/>
    </w:pPr>
    <w:rPr>
      <w:rFonts w:ascii="Arial" w:eastAsia="Arial" w:hAnsi="Arial" w:cs="Arial"/>
      <w:b w:val="0"/>
      <w:bCs w:val="0"/>
      <w:i w:val="0"/>
      <w:iCs w:val="0"/>
      <w:smallCaps w:val="0"/>
      <w:strike w:val="0"/>
      <w:sz w:val="28"/>
      <w:szCs w:val="28"/>
      <w:u w:val="none"/>
    </w:rPr>
  </w:style>
  <w:style w:type="paragraph" w:customStyle="1" w:styleId="Style38">
    <w:name w:val="Jiné"/>
    <w:basedOn w:val="Normal"/>
    <w:link w:val="CharStyle39"/>
    <w:pPr>
      <w:widowControl w:val="0"/>
      <w:shd w:val="clear" w:color="auto" w:fill="auto"/>
      <w:spacing w:after="120" w:line="257" w:lineRule="auto"/>
      <w:ind w:firstLine="20"/>
    </w:pPr>
    <w:rPr>
      <w:rFonts w:ascii="Arial" w:eastAsia="Arial" w:hAnsi="Arial" w:cs="Arial"/>
      <w:b w:val="0"/>
      <w:bCs w:val="0"/>
      <w:i w:val="0"/>
      <w:iCs w:val="0"/>
      <w:smallCaps w:val="0"/>
      <w:strike w:val="0"/>
      <w:sz w:val="20"/>
      <w:szCs w:val="20"/>
      <w:u w:val="none"/>
    </w:rPr>
  </w:style>
  <w:style w:type="paragraph" w:customStyle="1" w:styleId="Style43">
    <w:name w:val="Nadpis #2"/>
    <w:basedOn w:val="Normal"/>
    <w:link w:val="CharStyle44"/>
    <w:pPr>
      <w:widowControl w:val="0"/>
      <w:shd w:val="clear" w:color="auto" w:fill="auto"/>
      <w:spacing w:after="80"/>
      <w:outlineLvl w:val="1"/>
    </w:pPr>
    <w:rPr>
      <w:rFonts w:ascii="Calibri" w:eastAsia="Calibri" w:hAnsi="Calibri" w:cs="Calibri"/>
      <w:b w:val="0"/>
      <w:bCs w:val="0"/>
      <w:i w:val="0"/>
      <w:iCs w:val="0"/>
      <w:smallCaps w:val="0"/>
      <w:strike w:val="0"/>
      <w:sz w:val="34"/>
      <w:szCs w:val="3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s>
</file>