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3773"/>
        <w:gridCol w:w="2381"/>
        <w:gridCol w:w="2976"/>
        <w:gridCol w:w="1997"/>
      </w:tblGrid>
      <w:tr>
        <w:trPr>
          <w:trHeight w:val="72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3"/>
                <w:b/>
                <w:bCs/>
                <w:sz w:val="26"/>
                <w:szCs w:val="26"/>
              </w:rPr>
              <w:t>Položkový rozpočet stavby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5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13" w:val="left"/>
                <w:tab w:pos="3724" w:val="left"/>
              </w:tabs>
              <w:bidi w:val="0"/>
              <w:spacing w:before="0" w:after="38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Stavba:</w:t>
              <w:tab/>
              <w:t>0712</w:t>
              <w:tab/>
              <w:t>Brno-Ponava+Čemovice ZZS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03" w:val="left"/>
                <w:tab w:pos="3714" w:val="left"/>
              </w:tabs>
              <w:bidi w:val="0"/>
              <w:spacing w:before="0" w:after="28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Objekt.</w:t>
              <w:tab/>
              <w:t>S0102</w:t>
              <w:tab/>
              <w:t>servis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03" w:val="left"/>
                <w:tab w:pos="3714" w:val="left"/>
              </w:tabs>
              <w:bidi w:val="0"/>
              <w:spacing w:before="0" w:after="32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Rozpočet:</w:t>
              <w:tab/>
              <w:t>R24071210201</w:t>
              <w:tab/>
              <w:t>Vytápěni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543" w:val="left"/>
              </w:tabs>
              <w:bidi w:val="0"/>
              <w:spacing w:before="100" w:after="18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Objednatel:</w:t>
              <w:tab/>
              <w:t>ICO: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DIČ: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553" w:val="left"/>
              </w:tabs>
              <w:bidi w:val="0"/>
              <w:spacing w:before="0" w:after="160" w:line="240" w:lineRule="auto"/>
              <w:ind w:left="0" w:right="0" w:firstLine="22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Zhotovitel:</w:t>
              <w:tab/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DIČ: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0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Vypracoval: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Rozpis ceny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Celkem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0.00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22 146.54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0.00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Vedlejší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0.00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Ostatní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22 146,54</w:t>
            </w:r>
          </w:p>
        </w:tc>
      </w:tr>
      <w:tr>
        <w:trPr>
          <w:trHeight w:val="64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Rekapitulace dani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Základ pro sníženou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 CZK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Snížená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12 %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 CZK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Základ pro základní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21 %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22 146,54 CZK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Základní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4 650,77 CZK</w:t>
            </w:r>
          </w:p>
        </w:tc>
      </w:tr>
      <w:tr>
        <w:trPr>
          <w:trHeight w:val="45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Zaokrouhlení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 CZK</w:t>
            </w:r>
          </w:p>
        </w:tc>
      </w:tr>
      <w:tr>
        <w:trPr>
          <w:trHeight w:val="51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Cena celkem s DPH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 xml:space="preserve">26 797,31 </w:t>
            </w:r>
            <w:r>
              <w:rPr>
                <w:rStyle w:val="CharStyle3"/>
                <w:smallCaps/>
                <w:sz w:val="24"/>
                <w:szCs w:val="24"/>
              </w:rPr>
              <w:t>czk</w:t>
            </w:r>
          </w:p>
        </w:tc>
      </w:tr>
      <w:tr>
        <w:trPr>
          <w:trHeight w:val="11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478" w:val="left"/>
                <w:tab w:pos="3456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v</w:t>
              <w:tab/>
              <w:t>/</w:t>
              <w:tab/>
              <w:t>dne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8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rStyle w:val="CharStyle3"/>
                <w:i/>
                <w:iCs/>
              </w:rPr>
              <w:t>!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 xml:space="preserve">• </w:t>
            </w:r>
            <w:r>
              <w:rPr>
                <w:rStyle w:val="CharStyle3"/>
                <w:sz w:val="24"/>
                <w:szCs w:val="24"/>
                <w:vertAlign w:val="superscript"/>
              </w:rPr>
              <w:t>PAG STAV SJ0</w:t>
            </w:r>
            <w:r>
              <w:rPr>
                <w:rStyle w:val="CharStyle3"/>
                <w:sz w:val="24"/>
                <w:szCs w:val="24"/>
              </w:rPr>
              <w:t>-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474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Za Habrem 44?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3"/>
                <w:sz w:val="24"/>
                <w:szCs w:val="24"/>
              </w:rPr>
              <w:t>..... iSTAV 664 84 Zbrasav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546" w:val="left"/>
              </w:tabs>
              <w:bidi w:val="0"/>
              <w:spacing w:before="0" w:after="0" w:line="240" w:lineRule="auto"/>
              <w:ind w:left="290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Za zhotovte -</w:t>
            </w:r>
            <w:r>
              <w:rPr>
                <w:rStyle w:val="CharStyle3"/>
                <w:sz w:val="19"/>
                <w:szCs w:val="19"/>
                <w:vertAlign w:val="superscript"/>
              </w:rPr>
              <w:t>1</w:t>
            </w:r>
            <w:r>
              <w:rPr>
                <w:rStyle w:val="CharStyle3"/>
                <w:sz w:val="19"/>
                <w:szCs w:val="19"/>
              </w:rPr>
              <w:t>-</w:t>
            </w:r>
            <w:r>
              <w:rPr>
                <w:rStyle w:val="CharStyle3"/>
                <w:sz w:val="19"/>
                <w:szCs w:val="19"/>
                <w:vertAlign w:val="superscript"/>
              </w:rPr>
              <w:t>2</w:t>
            </w:r>
            <w:r>
              <w:rPr>
                <w:rStyle w:val="CharStyle3"/>
                <w:sz w:val="19"/>
                <w:szCs w:val="19"/>
              </w:rPr>
              <w:t xml:space="preserve"> * 01Č:CZ06353542</w:t>
              <w:tab/>
            </w:r>
            <w:r>
              <w:rPr>
                <w:rStyle w:val="CharStyle3"/>
                <w:sz w:val="19"/>
                <w:szCs w:val="19"/>
                <w:vertAlign w:val="subscript"/>
              </w:rPr>
              <w:t>Za</w:t>
            </w:r>
            <w:r>
              <w:rPr>
                <w:rStyle w:val="CharStyle3"/>
                <w:sz w:val="19"/>
                <w:szCs w:val="19"/>
              </w:rPr>
              <w:t xml:space="preserve"> o^natel©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0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Zpracováno programem BUlLDpower S, © RTS, a.s.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Stránka 1 z 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428" w:right="311" w:bottom="401" w:left="46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Popis stavby: 0712 - Brno- Ponava+Čemovice ZZS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Popis stavby: 0712 - Brno- Ponava+Čemovice ZZS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Popis objektu: SO 102 - servis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Popis rozpočtu: R24071210201 - vytápěni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711" w:right="327" w:bottom="836" w:left="495" w:header="283" w:footer="3" w:gutter="0"/>
          <w:cols w:space="720"/>
          <w:noEndnote/>
          <w:rtlGutter w:val="0"/>
          <w:docGrid w:linePitch="360"/>
        </w:sectPr>
      </w:pPr>
      <w:r>
        <w:rPr>
          <w:rStyle w:val="CharStyle11"/>
        </w:rPr>
        <w:t>Popis rozpočtu: R24071210201 - Vytápění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rStyle w:val="CharStyle16"/>
        </w:rPr>
        <w:t>Rekapitulace dílů</w:t>
      </w:r>
      <w:bookmarkEnd w:id="0"/>
    </w:p>
    <w:tbl>
      <w:tblPr>
        <w:tblOverlap w:val="never"/>
        <w:jc w:val="center"/>
        <w:tblLayout w:type="fixed"/>
      </w:tblPr>
      <w:tblGrid>
        <w:gridCol w:w="1498"/>
        <w:gridCol w:w="3322"/>
        <w:gridCol w:w="1306"/>
        <w:gridCol w:w="1440"/>
        <w:gridCol w:w="1517"/>
        <w:gridCol w:w="1354"/>
        <w:gridCol w:w="643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Style w:val="CharStyle3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3"/>
                <w:b/>
                <w:bCs/>
                <w:sz w:val="17"/>
                <w:szCs w:val="17"/>
              </w:rPr>
              <w:t>Typ dílu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%</w:t>
            </w: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izolace tepelné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509.58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3.7</w:t>
            </w: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ústřední vytápěni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5 046,00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22.8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Rozvod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3114,30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14,1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Armatury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3177,46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14.3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Otopná télesa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7 779,20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35.1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Konstrukce zámečnické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0,0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783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Nátěry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2 220.00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10.0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Cena cekem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22 146.54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3"/>
                <w:sz w:val="18"/>
                <w:szCs w:val="18"/>
              </w:rPr>
              <w:t>100.0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999" w:right="327" w:bottom="999" w:left="495" w:header="571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46" w:right="0" w:firstLine="0"/>
        <w:jc w:val="left"/>
        <w:rPr>
          <w:sz w:val="24"/>
          <w:szCs w:val="24"/>
        </w:rPr>
      </w:pPr>
      <w:r>
        <w:rPr>
          <w:rStyle w:val="CharStyle19"/>
          <w:color w:val="000000"/>
          <w:sz w:val="24"/>
          <w:szCs w:val="24"/>
        </w:rPr>
        <w:t>Položkový rozpočet</w:t>
      </w:r>
    </w:p>
    <w:tbl>
      <w:tblPr>
        <w:tblOverlap w:val="never"/>
        <w:jc w:val="center"/>
        <w:tblLayout w:type="fixed"/>
      </w:tblPr>
      <w:tblGrid>
        <w:gridCol w:w="403"/>
        <w:gridCol w:w="1075"/>
        <w:gridCol w:w="8774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0712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Brno- Ponava+černovice ZZS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SO 102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servis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R: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R24071210201 Vytápěni</w:t>
            </w:r>
          </w:p>
        </w:tc>
      </w:tr>
    </w:tbl>
    <w:p>
      <w:pPr>
        <w:widowControl w:val="0"/>
        <w:spacing w:after="179" w:line="1" w:lineRule="exact"/>
      </w:pPr>
    </w:p>
    <w:tbl>
      <w:tblPr>
        <w:tblOverlap w:val="never"/>
        <w:jc w:val="center"/>
        <w:tblLayout w:type="fixed"/>
      </w:tblPr>
      <w:tblGrid>
        <w:gridCol w:w="394"/>
        <w:gridCol w:w="1402"/>
        <w:gridCol w:w="4234"/>
        <w:gridCol w:w="538"/>
        <w:gridCol w:w="1152"/>
        <w:gridCol w:w="1142"/>
        <w:gridCol w:w="1382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?č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Číslo ooložky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Cena/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70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Dii: 713</w:t>
            </w:r>
          </w:p>
        </w:tc>
        <w:tc>
          <w:tcPr>
            <w:tcBorders>
              <w:top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Izolace tepelné</w:t>
            </w: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809.58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2837710328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rStyle w:val="CharStyle3"/>
              </w:rPr>
              <w:t>Izolace potrubí - úprava a doplněni stávajících - dodávka ♦ montáž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SCUtXX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785.00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786.00</w:t>
            </w:r>
          </w:p>
        </w:tc>
      </w:tr>
      <w:tr>
        <w:trPr>
          <w:trHeight w:val="45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2 i 998713201R00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přesun hmot pro izolace tečeme v ostektech výáky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7.86CO0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3.00!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23,58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730</w:t>
            </w:r>
          </w:p>
        </w:tc>
        <w:tc>
          <w:tcPr>
            <w:tcBorders>
              <w:top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Ústřední vytápění</w:t>
            </w: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5 046.00</w:t>
            </w:r>
          </w:p>
        </w:tc>
      </w:tr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2 38S2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vypuštění a napuštění otočné soustavy upravenou vodou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12.00000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185.CO;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2 232.00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4|916_B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D&amp;r^ulováni tlaků, vyváženi topného systému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3.00000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1W.C0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3"/>
              </w:rPr>
              <w:t>400.00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31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5|904</w:t>
              <w:tab/>
              <w:t>R02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Hzs-zkcusky v rámci momaz.prací. Topná zkouška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24.00000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85.00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2 040.00</w:t>
            </w:r>
          </w:p>
        </w:tc>
      </w:tr>
      <w:tr>
        <w:trPr>
          <w:trHeight w:val="2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6|950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Hzs - Koordinace s ostatními profesem.: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rod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108.00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324.00</w:t>
            </w:r>
          </w:p>
        </w:tc>
      </w:tr>
      <w:tr>
        <w:trPr>
          <w:trHeight w:val="23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FDAE2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733</w:t>
            </w: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Rozvod potrubí</w:t>
            </w: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3 114,30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733111102R00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rStyle w:val="CharStyle3"/>
              </w:rPr>
              <w:t>Potrubí z trubek závitových ocelových bezešvých, běžných, nízkotlaké. ON 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10,00000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281 .CO i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2 810.00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733113112R00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rStyle w:val="CharStyle3"/>
              </w:rPr>
              <w:t>Potrubí z trubek závitových příplatek k ceně za zhotoveni přípojky z ocelových trubek závitových, . . DN 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2,00000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78.001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156.00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3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998733201R00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3"/>
              </w:rPr>
              <w:t>Ptesun hmot pro rozvody potrubí v cbetóech výfiky co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"/>
              </w:rPr>
              <w:t>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29.65000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5.CO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1*8.30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734</w:t>
            </w:r>
          </w:p>
        </w:tc>
        <w:tc>
          <w:tcPr>
            <w:tcBorders>
              <w:top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Armatury</w:t>
            </w: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FDAE2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3 177,46</w:t>
            </w:r>
          </w:p>
        </w:tc>
      </w:tr>
      <w:tr>
        <w:trPr>
          <w:trHeight w:val="49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1C ,734209112R00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Style w:val="CharStyle3"/>
              </w:rPr>
              <w:t>Montáž závitové armatury se dvěma závity, G 3/8’. tez dodávky materiálu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3"/>
              </w:rPr>
              <w:t>1.00000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384.CO;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384.00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tabs>
          <w:tab w:pos="7046" w:val="left"/>
        </w:tabs>
        <w:bidi w:val="0"/>
        <w:spacing w:before="0" w:after="0" w:line="240" w:lineRule="auto"/>
        <w:ind w:left="1795" w:right="0" w:firstLine="0"/>
        <w:jc w:val="left"/>
      </w:pPr>
      <w:r>
        <w:rPr>
          <w:rStyle w:val="CharStyle19"/>
        </w:rPr>
        <w:t>Odkaz na mn položky pořadí 12:1,00000</w:t>
        <w:tab/>
        <w:t>1.00300</w:t>
      </w:r>
    </w:p>
    <w:tbl>
      <w:tblPr>
        <w:tblOverlap w:val="never"/>
        <w:jc w:val="center"/>
        <w:tblLayout w:type="fixed"/>
      </w:tblPr>
      <w:tblGrid>
        <w:gridCol w:w="394"/>
        <w:gridCol w:w="1382"/>
        <w:gridCol w:w="4253"/>
        <w:gridCol w:w="538"/>
        <w:gridCol w:w="1152"/>
        <w:gridCol w:w="1142"/>
        <w:gridCol w:w="1382"/>
      </w:tblGrid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734268221 ROD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rStyle w:val="CharStyle3"/>
              </w:rPr>
              <w:t xml:space="preserve">Sroubení uzaviratetné radiátorové regulační </w:t>
            </w:r>
            <w:r>
              <w:rPr>
                <w:rStyle w:val="CharStyle3"/>
                <w:i/>
                <w:iCs/>
              </w:rPr>
              <w:t xml:space="preserve">i </w:t>
            </w:r>
            <w:r>
              <w:rPr>
                <w:rStyle w:val="CharStyle3"/>
              </w:rPr>
              <w:t>vypou&amp;énlm. pfífné. bronzové. DN 10. PN 10. včecné dodávky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1.0:00: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894.C0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394.00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12|551210/0.B</w:t>
              <w:tab/>
              <w:t>[Ventil termostatický Heimeer V exekt 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1.OMO0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946 00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948 00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55137306AR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3"/>
              </w:rPr>
              <w:t>i--svíce termostatická: regulační rozsah 6 až 28 X; ovládáni ruční, provedení kapalinová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922 00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3"/>
              </w:rPr>
              <w:t>922.00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3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998734201R00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Přesun hmot pro armatury v objektech výšky do 6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31.46003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31.46</w:t>
            </w:r>
          </w:p>
        </w:tc>
      </w:tr>
      <w:tr>
        <w:trPr>
          <w:trHeight w:val="25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735</w:t>
              <w:tab/>
              <w:t>Otopná tělesa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7 779,20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735159111RO0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3"/>
              </w:rPr>
              <w:t>Otopná těesa panelová montáž bez oniedu na počet desek délky do 1600 mm. bez dodávky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540.00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3"/>
              </w:rPr>
              <w:t>540.00</w:t>
            </w:r>
          </w:p>
        </w:tc>
      </w:tr>
      <w:tr>
        <w:trPr>
          <w:trHeight w:val="25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7089" w:val="left"/>
              </w:tabs>
              <w:bidi w:val="0"/>
              <w:spacing w:before="0" w:after="0" w:line="240" w:lineRule="auto"/>
              <w:ind w:left="1780" w:right="0" w:firstLine="0"/>
              <w:jc w:val="left"/>
            </w:pPr>
            <w:r>
              <w:rPr>
                <w:rStyle w:val="CharStyle3"/>
                <w:color w:val="66768A"/>
              </w:rPr>
              <w:t>Odkaz na mn položky pořad: 17 : 1.00000</w:t>
              <w:tab/>
              <w:t>1.00000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*8441523R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</w:pPr>
            <w:r>
              <w:rPr>
                <w:rStyle w:val="CharStyle3"/>
              </w:rPr>
              <w:t>příslušenství k radiátorům konzola stojánková pro typy 22. 23: H 200 900, T 165-320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sada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410.C0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3"/>
              </w:rPr>
              <w:t>820.00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48457225R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3"/>
              </w:rPr>
              <w:t>Těleso otopné s přirozeným proodénfm - deskově;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3"/>
              </w:rPr>
              <w:t>materiál: uhlíková ocel, typ: 22: H - 6CO mm: B = 100 mm; L = 1 400 mm: I = 5*6 mm; tepelný výkon &lt;50) = 2 351 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1.00003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6 120.00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6 120.00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993735201ROO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Přesun hmot pro otopná télecm v otifOktcch výšky do 6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74.80000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3"/>
              </w:rPr>
              <w:t>299.20</w:t>
            </w:r>
          </w:p>
        </w:tc>
      </w:tr>
      <w:tr>
        <w:trPr>
          <w:trHeight w:val="23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767</w:t>
              <w:tab/>
              <w:t>Konstrukce zámečnické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0,00</w:t>
            </w:r>
          </w:p>
        </w:tc>
      </w:tr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19 01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konstrukce pomocné zámečnické ( závěsy podpěry)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</w:pPr>
            <w:r>
              <w:rPr>
                <w:rStyle w:val="CharStyle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922.00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0.00</w:t>
            </w:r>
          </w:p>
        </w:tc>
      </w:tr>
      <w:tr>
        <w:trPr>
          <w:trHeight w:val="202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Díl: 783</w:t>
              <w:tab/>
              <w:t>Nátěrv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2 220.00</w:t>
            </w:r>
          </w:p>
        </w:tc>
      </w:tr>
      <w:tr>
        <w:trPr>
          <w:trHeight w:val="3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"/>
              </w:rPr>
              <w:t>20 783225ICORW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3"/>
              </w:rPr>
              <w:t>Nátěry kcv.stavebních dopíňk.konstrukci syntetické dvojnásobné - 1x email, . Hmota nátěrová typ: emaS, funkce: dekorační; barva: šeď střední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1.00000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3"/>
              </w:rPr>
              <w:t>420.001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3"/>
              </w:rPr>
              <w:t>*20.00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19"/>
          <w:color w:val="000000"/>
          <w:sz w:val="24"/>
          <w:szCs w:val="24"/>
        </w:rPr>
        <w:t>Položkový rozpočet</w:t>
      </w:r>
    </w:p>
    <w:tbl>
      <w:tblPr>
        <w:tblOverlap w:val="never"/>
        <w:jc w:val="center"/>
        <w:tblLayout w:type="fixed"/>
      </w:tblPr>
      <w:tblGrid>
        <w:gridCol w:w="403"/>
        <w:gridCol w:w="1066"/>
        <w:gridCol w:w="8794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0712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Brno- Ponava+černovřce ZZS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3"/>
                <w:sz w:val="22"/>
                <w:szCs w:val="22"/>
              </w:rPr>
              <w:t>0: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SO 102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servis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R: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FDAE2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R24071210201 Vytápěni</w:t>
            </w:r>
          </w:p>
        </w:tc>
      </w:tr>
    </w:tbl>
    <w:p>
      <w:pPr>
        <w:widowControl w:val="0"/>
        <w:spacing w:after="219" w:line="1" w:lineRule="exact"/>
      </w:pPr>
    </w:p>
    <w:tbl>
      <w:tblPr>
        <w:tblOverlap w:val="never"/>
        <w:jc w:val="center"/>
        <w:tblLayout w:type="fixed"/>
      </w:tblPr>
      <w:tblGrid>
        <w:gridCol w:w="394"/>
        <w:gridCol w:w="1382"/>
        <w:gridCol w:w="4243"/>
        <w:gridCol w:w="547"/>
        <w:gridCol w:w="1162"/>
        <w:gridCol w:w="1085"/>
        <w:gridCol w:w="1421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P.č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Cisto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Cena/MJ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FDAE2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"/>
                <w:sz w:val="19"/>
                <w:szCs w:val="19"/>
              </w:rPr>
              <w:t>Celkem</w:t>
            </w:r>
          </w:p>
        </w:tc>
      </w:tr>
      <w:tr>
        <w:trPr>
          <w:trHeight w:val="90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"/>
              </w:rPr>
              <w:t>21 783Z24240RO2'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</w:pPr>
            <w:r>
              <w:rPr>
                <w:rStyle w:val="CharStyle3"/>
              </w:rPr>
              <w:t>Nátěry potrubí a armatur syntetické potrubí, do DN 50 mm. Jednonásobné S 1x emažovánán a základním r-átórem. Hmota nátérova funkce: protikorozni: barva: Sedá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10,02002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180,00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1 80000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tabs>
          <w:tab w:pos="6998" w:val="left"/>
        </w:tabs>
        <w:bidi w:val="0"/>
        <w:spacing w:before="0" w:after="0" w:line="240" w:lineRule="auto"/>
        <w:ind w:left="1776" w:right="0" w:firstLine="0"/>
        <w:jc w:val="left"/>
      </w:pPr>
      <w:r>
        <w:rPr>
          <w:rStyle w:val="CharStyle19"/>
        </w:rPr>
        <w:t>Odkaz na mn potožky pořadí 7 : 10.00000</w:t>
        <w:tab/>
        <w:t>10.00003</w:t>
      </w:r>
    </w:p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pgSz w:w="11900" w:h="16840"/>
      <w:pgMar w:top="793" w:right="405" w:bottom="1567" w:left="41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624840</wp:posOffset>
              </wp:positionH>
              <wp:positionV relativeFrom="page">
                <wp:posOffset>10162540</wp:posOffset>
              </wp:positionV>
              <wp:extent cx="618744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744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Zpracováno programem BUlLDpower S. © RTS, a.s.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3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.200000000000003pt;margin-top:800.20000000000005pt;width:487.19999999999999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18"/>
                        <w:szCs w:val="18"/>
                      </w:rPr>
                      <w:t>Zpracováno programem BUlLDpower S. © RTS,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3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13"/>
                        <w:rFonts w:ascii="Arial" w:eastAsia="Arial" w:hAnsi="Arial" w:cs="Arial"/>
                        <w:sz w:val="18"/>
                        <w:szCs w:val="18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624840</wp:posOffset>
              </wp:positionH>
              <wp:positionV relativeFrom="page">
                <wp:posOffset>10162540</wp:posOffset>
              </wp:positionV>
              <wp:extent cx="6187440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744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Zpracováno programem BUlLDpower S. © RTS, a.s.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Style w:val="CharStyle13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9.200000000000003pt;margin-top:800.20000000000005pt;width:487.19999999999999pt;height:9.59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18"/>
                        <w:szCs w:val="18"/>
                      </w:rPr>
                      <w:t>Zpracováno programem BUlLDpower S. © RTS,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Style w:val="CharStyle13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13"/>
                        <w:rFonts w:ascii="Arial" w:eastAsia="Arial" w:hAnsi="Arial" w:cs="Arial"/>
                        <w:sz w:val="18"/>
                        <w:szCs w:val="18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529590</wp:posOffset>
              </wp:positionH>
              <wp:positionV relativeFrom="page">
                <wp:posOffset>10055860</wp:posOffset>
              </wp:positionV>
              <wp:extent cx="6821170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2117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Zpracováno programem BUlLDpowcr S. © RTS. a.s.</w:t>
                            <w:tab/>
                            <w:t>Stránka 2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1.700000000000003pt;margin-top:791.80000000000007pt;width:537.10000000000002pt;height:9.5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19"/>
                        <w:szCs w:val="19"/>
                      </w:rPr>
                      <w:t>Zpracováno programem BUlLDpowcr S. © RTS. a.s.</w:t>
                      <w:tab/>
                      <w:t>Stránka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434975</wp:posOffset>
              </wp:positionH>
              <wp:positionV relativeFrom="page">
                <wp:posOffset>10062210</wp:posOffset>
              </wp:positionV>
              <wp:extent cx="6821170" cy="1282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2117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Zpracováno programem BUlLDpower S. © RTS, as</w:t>
                            <w:tab/>
                            <w:t>Stránka 1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4.25pt;margin-top:792.30000000000007pt;width:537.10000000000002pt;height:10.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19"/>
                        <w:szCs w:val="19"/>
                      </w:rPr>
                      <w:t>Zpracováno programem BUlLDpower S. © RTS, as</w:t>
                      <w:tab/>
                      <w:t>Stránka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1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66768A"/>
      <w:sz w:val="13"/>
      <w:szCs w:val="13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auto"/>
      <w:spacing w:after="2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6768A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