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136" w:h="326" w:wrap="none" w:hAnchor="page" w:x="4873" w:y="11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  <w:w w:val="100"/>
        </w:rPr>
        <w:t>SMLOUVA O DÍLO</w:t>
      </w:r>
      <w:bookmarkEnd w:id="0"/>
    </w:p>
    <w:p>
      <w:pPr>
        <w:pStyle w:val="Style5"/>
        <w:keepNext w:val="0"/>
        <w:keepLines w:val="0"/>
        <w:framePr w:w="1037" w:h="298" w:wrap="none" w:hAnchor="page" w:x="8636" w:y="1"/>
        <w:widowControl w:val="0"/>
        <w:shd w:val="clear" w:color="auto" w:fill="auto"/>
        <w:bidi w:val="0"/>
        <w:spacing w:after="0" w:line="240" w:lineRule="auto"/>
        <w:ind w:left="0" w:right="0" w:firstLine="0"/>
        <w:jc w:val="left"/>
      </w:pPr>
      <w:r>
        <w:rPr>
          <w:rStyle w:val="CharStyle6"/>
        </w:rPr>
        <w:t>2025001694</w:t>
      </w:r>
    </w:p>
    <w:p>
      <w:pPr>
        <w:widowControl w:val="0"/>
        <w:spacing w:after="441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44" w:right="1431" w:bottom="938" w:left="1335" w:header="91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11"/>
        </w:rPr>
        <w:t>podle ustanovení § 2586 a násl. zákona č. 89/2012 Sb. občanského zákoníku,</w:t>
        <w:br/>
        <w:t>uzavřená mezi</w:t>
        <w:br/>
        <w:t>(dále jen „smlouva“)</w:t>
      </w:r>
    </w:p>
    <w:tbl>
      <w:tblPr>
        <w:tblOverlap w:val="never"/>
        <w:jc w:val="left"/>
        <w:tblLayout w:type="fixed"/>
      </w:tblPr>
      <w:tblGrid>
        <w:gridCol w:w="2746"/>
        <w:gridCol w:w="5573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b/>
                <w:bCs/>
                <w:sz w:val="18"/>
                <w:szCs w:val="18"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MUDr. Hana Albrechtová, ředitelka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  <w:spacing w:val="9"/>
                <w:shd w:val="clear" w:color="auto" w:fill="000000"/>
              </w:rPr>
              <w:t>......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4"/>
                <w:shd w:val="clear" w:color="auto" w:fill="000000"/>
              </w:rPr>
              <w:t>....</w:t>
            </w:r>
            <w:r>
              <w:rPr>
                <w:rStyle w:val="CharStyle21"/>
                <w:spacing w:val="5"/>
                <w:shd w:val="clear" w:color="auto" w:fill="000000"/>
              </w:rPr>
              <w:t>...</w:t>
            </w:r>
            <w:r>
              <w:rPr>
                <w:rStyle w:val="CharStyle21"/>
                <w:shd w:val="clear" w:color="auto" w:fill="000000"/>
              </w:rPr>
              <w:t>​......</w:t>
            </w:r>
            <w:r>
              <w:rPr>
                <w:rStyle w:val="CharStyle21"/>
                <w:spacing w:val="1"/>
                <w:shd w:val="clear" w:color="auto" w:fill="000000"/>
              </w:rPr>
              <w:t>......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shd w:val="clear" w:color="auto" w:fill="000000"/>
              </w:rPr>
              <w:t>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3"/>
                <w:shd w:val="clear" w:color="auto" w:fill="000000"/>
              </w:rPr>
              <w:t>..</w:t>
            </w:r>
            <w:r>
              <w:rPr>
                <w:rStyle w:val="CharStyle21"/>
                <w:spacing w:val="4"/>
                <w:shd w:val="clear" w:color="auto" w:fill="000000"/>
              </w:rPr>
              <w:t>......</w:t>
            </w:r>
            <w:r>
              <w:rPr>
                <w:rStyle w:val="CharStyle21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1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CharStyle21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CharStyle2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8"/>
                <w:shd w:val="clear" w:color="auto" w:fill="000000"/>
              </w:rPr>
              <w:t>..</w:t>
            </w:r>
            <w:r>
              <w:rPr>
                <w:rStyle w:val="CharStyle21"/>
                <w:spacing w:val="9"/>
                <w:shd w:val="clear" w:color="auto" w:fill="000000"/>
              </w:rPr>
              <w:t>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8"/>
                <w:shd w:val="clear" w:color="auto" w:fill="000000"/>
              </w:rPr>
              <w:t>.</w:t>
            </w:r>
            <w:r>
              <w:rPr>
                <w:rStyle w:val="CharStyle21"/>
                <w:spacing w:val="9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8"/>
                <w:shd w:val="clear" w:color="auto" w:fill="000000"/>
              </w:rPr>
              <w:t>.</w:t>
            </w:r>
            <w:r>
              <w:rPr>
                <w:rStyle w:val="CharStyle21"/>
                <w:spacing w:val="9"/>
                <w:shd w:val="clear" w:color="auto" w:fill="000000"/>
              </w:rPr>
              <w:t>.....</w:t>
            </w:r>
            <w:r>
              <w:rPr>
                <w:rStyle w:val="CharStyle21"/>
                <w:shd w:val="clear" w:color="auto" w:fill="000000"/>
              </w:rPr>
              <w:t>​</w:t>
            </w:r>
            <w:r>
              <w:rPr>
                <w:rStyle w:val="CharStyle21"/>
                <w:spacing w:val="10"/>
                <w:shd w:val="clear" w:color="auto" w:fill="000000"/>
              </w:rPr>
              <w:t>..</w:t>
            </w:r>
            <w:r>
              <w:rPr>
                <w:rStyle w:val="CharStyle21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CZ00346292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Krajský soud v Brně sp. zn. Pr 1245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MONETA Money Bank, a.s., č. ú. 117203514/0600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Style w:val="CharStyle18"/>
        </w:rPr>
        <w:t xml:space="preserve">(dále jen </w:t>
      </w:r>
      <w:r>
        <w:rPr>
          <w:rStyle w:val="CharStyle18"/>
          <w:b/>
          <w:bCs/>
          <w:i/>
          <w:iCs/>
        </w:rPr>
        <w:t>„objednáte?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46"/>
        <w:gridCol w:w="5568"/>
      </w:tblGrid>
      <w:tr>
        <w:trPr>
          <w:trHeight w:val="6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d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1"/>
                <w:b/>
                <w:bCs/>
                <w:sz w:val="18"/>
                <w:szCs w:val="18"/>
              </w:rPr>
              <w:t>PAG STAV s.r.o.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Za Habrem 447, 664 84 Zbraslav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Ing. Miloš Holešovský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Ing. Miloš Holešovský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IČO: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DIČ: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1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09353542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CZ09353542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OR vedený u KS v Brně, oddíl C, vložka 118463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KB a.s. č.ú.:123-2267170227/0100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8"/>
        </w:rPr>
        <w:t xml:space="preserve">(dále jen </w:t>
      </w:r>
      <w:r>
        <w:rPr>
          <w:rStyle w:val="CharStyle18"/>
          <w:b/>
          <w:bCs/>
          <w:i/>
          <w:iCs/>
        </w:rPr>
        <w:t>„zhotovíte?)</w:t>
      </w:r>
    </w:p>
    <w:p>
      <w:pPr>
        <w:widowControl w:val="0"/>
        <w:spacing w:after="299" w:line="1" w:lineRule="exact"/>
      </w:pP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Zhotovitel se zavazuje, že pro objednatele provede dílo, spočívající ve vnitřních stavebních úpravách autoservisu objednatele na adrese Těžební 1a, 627 00 Brno - Černovice, a to vše způsobem a v souladu s touto smlouvou, přílohou č. 1 obsahující dokumentaci pro provedení stavby a přílohou č. 2 obsahující soupis prací a dodávek vč. výkazu výměr (dále jen „rozpočet“), které jsou nedílnou součástí této smlouvy. Součásti díla je přitom vše, čeho je třeba provést, zapracovat či jinak vynaložit k dosažení výsledné podoby díla, jak vyplývá z této smlouvy a příloh ktéto smlouvě. Součástí díla je rovněž ekologická likvidace demontovaných stavebních konstrukcí a suti, a průběžný a závěrečný úklid staveniště.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Místem splnění závazku zhotovitele k provedení díla podle čl. 1 této smlouvy se rozumí autoservis objednatele na adrese Těžební 1a, 627 00 Brno - Černovice. Při provádění díla se pak zhotovitel zavazuje postupovat tak, aby nebyl narušen provoz v místě plnění.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0" w:right="0" w:firstLine="0"/>
        <w:jc w:val="left"/>
        <w:rPr>
          <w:sz w:val="18"/>
          <w:szCs w:val="18"/>
        </w:rPr>
      </w:pPr>
      <w:r>
        <w:rPr>
          <w:rStyle w:val="CharStyle11"/>
        </w:rPr>
        <w:t xml:space="preserve">Zhotovitel se zavazuje provést dílo podle čl. 1 této smlouvy ve lhůté nejpozdéji do </w:t>
      </w:r>
      <w:r>
        <w:rPr>
          <w:rStyle w:val="CharStyle11"/>
          <w:b/>
          <w:bCs/>
          <w:sz w:val="18"/>
          <w:szCs w:val="18"/>
        </w:rPr>
        <w:t>15. 6. 2025.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 xml:space="preserve">Závazek zhotovitele k provedení díla v dohodnutém rozsahu se považuje za splněný dokončením všech prací spojených se zhotovením díla, předáním a převzetím díla formou písemného předávacího protokolu, podepsaného oběma smluvními stranami. Současně s dílem je zhotovitel povinen objednateli předat dokumentaci potřebnou k řádnému užívání díla, čímž se zejména rozumí dokumentace skutečného provedení. Objednatel přitom není povinen potvrdit zhotoviteli </w:t>
      </w:r>
      <w:r>
        <w:rPr>
          <w:rStyle w:val="CharStyle11"/>
        </w:rPr>
        <w:t>předávací protokol, zjistí-li se na předávaném díle vada, která brání řádnému užívání díla nebo více než 3 jiné vady a nedodělky.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Pro případ prodlení se splněním svého závazku podle čl. 1 této smlouvy ve lhůtě podle čl. 3 této smlouvy se zhotovitel zavazuje zaplatit objednateli smluvní pokutu ve výši 0,1 % z celkové ceny díla podle čl. 6 této smlouvy za každý započatý den prodlení. Zaplacením této smluvní pokuty není dotčen nárok objednatele na případnou náhradu škody v plné výši.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11"/>
        </w:rPr>
        <w:t xml:space="preserve">Objednatel se zavazuje zaplatit zhotoviteli za dílo podle čl. 1 této smlouvy cenu díla ve výši: </w:t>
      </w:r>
      <w:r>
        <w:rPr>
          <w:rStyle w:val="CharStyle11"/>
          <w:b/>
          <w:bCs/>
          <w:sz w:val="18"/>
          <w:szCs w:val="18"/>
        </w:rPr>
        <w:t xml:space="preserve">601.805,- </w:t>
      </w:r>
      <w:r>
        <w:rPr>
          <w:rStyle w:val="CharStyle11"/>
        </w:rPr>
        <w:t xml:space="preserve">Kč bez DPH, tj. </w:t>
      </w:r>
      <w:r>
        <w:rPr>
          <w:rStyle w:val="CharStyle11"/>
          <w:b/>
          <w:bCs/>
          <w:sz w:val="18"/>
          <w:szCs w:val="18"/>
        </w:rPr>
        <w:t xml:space="preserve">728.184,- </w:t>
      </w:r>
      <w:r>
        <w:rPr>
          <w:rStyle w:val="CharStyle11"/>
        </w:rPr>
        <w:t>Kč včetně DPH. Součástí této ceny jsou veškeré náklady zhotovitele, spojené se splněním závazku zhotovitele podle čl. 1 této smlouvy. Tato cena je stanovena podle rozpočtu, u něhož se zaručuje úplnost, který je jako příloha č. 2 nedílnou součástí této smlouvy. Změna ceny je možná pouze v případě zákonné změny sazby DPH.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V případě stavebních prací nad rámec díla podle čl. 1 této smlouvy, které by byly mezi oběma stranami dohodnuty formou písemného dodatku k této smlouvě, se objednatel zavazuje zaplatit zhotoviteli za tyto práce cenu ve výši ceny obvyklé.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Cena díla podle čl. 6 této smlouvy je splatná po splnění závazku k provedení díla způsobem podle čl. 4 této smlouvy ve lhůtě do 30-ti dnů od předložení jejich písemného vyúčtování (daňového dokladu/faktury). Faktura bude doručena elektronicky na email:</w:t>
      </w:r>
      <w:r>
        <w:rPr>
          <w:rStyle w:val="CharStyle11"/>
          <w:shd w:val="clear" w:color="auto" w:fill="000000"/>
        </w:rPr>
        <w:t>.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CharStyle11"/>
          <w:spacing w:val="2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CharStyle11"/>
          <w:color w:val="5B80B9"/>
          <w:u w:val="single"/>
          <w:lang w:val="en-US" w:eastAsia="en-US" w:bidi="en-US"/>
        </w:rPr>
        <w:t xml:space="preserve"> 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27"/>
          <w:shd w:val="clear" w:color="auto" w:fill="000000"/>
        </w:rPr>
        <w:t>.</w:t>
      </w:r>
      <w:r>
        <w:rPr>
          <w:rStyle w:val="CharStyle11"/>
          <w:spacing w:val="28"/>
          <w:shd w:val="clear" w:color="auto" w:fill="000000"/>
        </w:rPr>
        <w:t>.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11"/>
          <w:spacing w:val="2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11"/>
          <w:color w:val="5B80B9"/>
          <w:lang w:val="en-US" w:eastAsia="en-US" w:bidi="en-US"/>
        </w:rPr>
        <w:t xml:space="preserve">. </w:t>
      </w:r>
      <w:r>
        <w:rPr>
          <w:rStyle w:val="CharStyle11"/>
        </w:rPr>
        <w:t xml:space="preserve">Na faktuře musí být mimo jiné vždy uvedeno toto číslo veřejné zakázky, ke které se faktura vztahuje: </w:t>
      </w:r>
      <w:r>
        <w:rPr>
          <w:rStyle w:val="CharStyle11"/>
          <w:b/>
          <w:bCs/>
          <w:sz w:val="18"/>
          <w:szCs w:val="18"/>
        </w:rPr>
        <w:t xml:space="preserve">P25V00000500. </w:t>
      </w:r>
      <w:r>
        <w:rPr>
          <w:rStyle w:val="CharStyle11"/>
        </w:rPr>
        <w:t>Přílohou faktury bude kopie oboustranně podepsaného předávacího protokolu. Nebude-li faktura splňovat veškeré náležitosti daňové dokladu podle zákona a další náležitosti podle této smlouvy, je objednatel oprávněn vrátit takovou fakturu zhotoviteli k opravě, přičemž doba její splatnosti začne znova celá běžet ode dne doručení opravené faktury objednateli.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11"/>
        </w:rPr>
        <w:t>Pro případ prodlení s úhradou ceny díla ve lhůtě podle čl. 8 této smlouvy se objednatel zavazuje zaplatit zhotoviteli úrok z prodlení ve výši dle zákona.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11"/>
        </w:rPr>
        <w:t>Zhotovitel se zavazuje zajistit na svůj náklad provedení všech předepsaných a obvyklých měření a zkoušek.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době do 24 měsíců ode dne splnění závazku zhotovitele k provedení díla způsobem podle čl. 4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Zhotovitel se zavazuje rozhodovat o písemných reklamacích objednatele v období po dokončení díla písemně ve lhůtě do 15-ti dnů od jejich doručení, a ve stejné lhůtě provést odstranění vad z oprávněných reklamací, nebude-li mezi oběma stranami v jednotlivém případě dohodnuto jinak.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1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r>
        <w:rPr>
          <w:rStyle w:val="CharStyle11"/>
        </w:rPr>
        <w:t>Nepřikročí-li zhotovitel k odstranění vady ve lhůtě podle čl. 12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r>
        <w:rPr>
          <w:rStyle w:val="CharStyle11"/>
        </w:rPr>
        <w:t>Pro případ prodlení zhotovitele se splněním jeho povinností podle čl. 11 této smlouvy ve lhůtě podle čl. 12 této smlouvy se zhotovitel zavazuje zaplatit objednateli smluvní pokutu ve výši 500,- Kč za každý započatý den tohoto prodlení.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r>
        <w:rPr>
          <w:rStyle w:val="CharStyle11"/>
        </w:rPr>
        <w:t>Zhotovitel je oprávněn provedení části díla zadat i jiné osobě, aniž tím je nějak dotčena jeho odpovědnost za dílo jako celek.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r>
        <w:rPr>
          <w:rStyle w:val="CharStyle11"/>
        </w:rPr>
        <w:t>Objednatel je oprávněn odstoupit od této smlouvy o dílo, bude-li zhotovitel v prodlení se splněním svého závazku podle čl. 1 této smlouvy ve lhůtě podle čl. 3 této smlouvy o více než 1 měsíc.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r>
        <w:rPr>
          <w:rStyle w:val="CharStyle11"/>
        </w:rPr>
        <w:t>Zaplacením smluvní pokuty podle této smlouvy není dotčeno právo objednatele na náhradu případné škody v plné výši.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71" w:lineRule="auto"/>
        <w:ind w:left="440" w:right="0" w:hanging="440"/>
        <w:jc w:val="both"/>
      </w:pPr>
      <w:r>
        <w:rPr>
          <w:rStyle w:val="CharStyle11"/>
        </w:rPr>
        <w:t>Není-li touto smlouvou ujednáno jinak, řídí se vzájemný právní vztah mezi zhotovitelem a objednatelem ust. § 2586 a násl.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r>
        <w:rPr>
          <w:rStyle w:val="CharStyle11"/>
        </w:rPr>
        <w:t>Předpokladem uzavření této smlouvy je její písemná forma a dohoda o jejích podstatných náležitostech, čímž se rozumí celý obsah této smlouvy, jak je uveden v čl. 1 až 24 této smlouvy. Objednatel přitom předem vylučuje přijetí tohoto návrhu s dodatkem nebo odchylkou ve smyslu ust. § 1740 odst. 3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0" w:right="0" w:firstLine="0"/>
        <w:jc w:val="both"/>
      </w:pPr>
      <w:r>
        <w:rPr>
          <w:rStyle w:val="CharStyle11"/>
        </w:rPr>
        <w:t>Tuto smlouvu lze změnit nebo zrušit pouze jinou písemnou dohodu obou smluvních stran.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r>
        <w:rPr>
          <w:rStyle w:val="CharStyle11"/>
        </w:rPr>
        <w:t>Tato smlouva nabývá platnosti dnem jejího uzavření a účinnosti dnem jejího uveřejnění v registru smluv dle příslušných ustanovení zákona č. 340/2015 Sb. o registru smluv. Smluvní strany se dohodly, že uveřejnění v registru smluv (ISRS) včetně uvedení metadat provede objednatel.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40" w:right="0" w:hanging="440"/>
        <w:jc w:val="both"/>
      </w:pPr>
      <w:r>
        <w:rPr>
          <w:rStyle w:val="CharStyle11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700"/>
        <w:ind w:left="440" w:right="0" w:hanging="4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749300</wp:posOffset>
                </wp:positionV>
                <wp:extent cx="697865" cy="18923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pt;margin-top:59.pt;width:54.950000000000003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11"/>
        </w:rPr>
        <w:t>Nedílnou součástí této smlouvy je příloha č. 1 Dokumentace pro provedení stavby a příloha č. 2 Rozpočet.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r>
        <w:drawing>
          <wp:anchor distT="0" distB="524510" distL="147955" distR="114300" simplePos="0" relativeHeight="125829380" behindDoc="0" locked="0" layoutInCell="1" allowOverlap="1">
            <wp:simplePos x="0" y="0"/>
            <wp:positionH relativeFrom="page">
              <wp:posOffset>4192270</wp:posOffset>
            </wp:positionH>
            <wp:positionV relativeFrom="paragraph">
              <wp:posOffset>266700</wp:posOffset>
            </wp:positionV>
            <wp:extent cx="1414145" cy="91440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414145" cy="914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4158615</wp:posOffset>
                </wp:positionH>
                <wp:positionV relativeFrom="paragraph">
                  <wp:posOffset>1181100</wp:posOffset>
                </wp:positionV>
                <wp:extent cx="1264920" cy="52133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4920" cy="521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3"/>
                              </w:rPr>
                              <w:t xml:space="preserve">Ing. Miloš Holešovský Jednatel společnosti </w:t>
                            </w:r>
                            <w:r>
                              <w:rPr>
                                <w:rStyle w:val="CharStyle13"/>
                                <w:b/>
                                <w:bCs/>
                                <w:sz w:val="18"/>
                                <w:szCs w:val="18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7.44999999999999pt;margin-top:93.pt;width:99.600000000000009pt;height:41.05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3"/>
                        </w:rPr>
                        <w:t xml:space="preserve">Ing. Miloš Holešovský Jednatel společnosti </w:t>
                      </w:r>
                      <w:r>
                        <w:rPr>
                          <w:rStyle w:val="CharStyle13"/>
                          <w:b/>
                          <w:bCs/>
                          <w:sz w:val="18"/>
                          <w:szCs w:val="18"/>
                        </w:rPr>
                        <w:t>za zhotovitele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1"/>
        </w:rPr>
        <w:t>V Zbraslavi dne 26. 2. 2025</w:t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900"/>
        <w:jc w:val="both"/>
      </w:pPr>
      <w:bookmarkStart w:id="2" w:name="bookmark2"/>
      <w:r>
        <w:rPr>
          <w:rStyle w:val="CharStyle45"/>
          <w:color w:val="63AFE2"/>
        </w:rPr>
        <w:t>Zdravotnická záchrannMlužta</w:t>
      </w:r>
      <w:bookmarkEnd w:id="2"/>
    </w:p>
    <w:p>
      <w:pPr>
        <w:pStyle w:val="Style15"/>
        <w:keepNext w:val="0"/>
        <w:keepLines w:val="0"/>
        <w:widowControl w:val="0"/>
        <w:shd w:val="clear" w:color="auto" w:fill="auto"/>
        <w:tabs>
          <w:tab w:pos="931" w:val="left"/>
        </w:tabs>
        <w:bidi w:val="0"/>
        <w:spacing w:before="0" w:after="0" w:line="233" w:lineRule="auto"/>
        <w:ind w:left="0" w:right="0" w:firstLine="0"/>
        <w:jc w:val="center"/>
      </w:pPr>
      <w:r>
        <w:rPr>
          <w:rStyle w:val="CharStyle16"/>
          <w:b/>
          <w:bCs/>
          <w:color w:val="63AFE2"/>
        </w:rPr>
        <w:t>7£87fd?625/00 Brno</w:t>
        <w:br/>
        <w:t>21</w:t>
        <w:tab/>
      </w:r>
      <w:r>
        <w:rPr>
          <w:rStyle w:val="CharStyle16"/>
          <w:b/>
          <w:bCs/>
          <w:color w:val="5B80B9"/>
        </w:rPr>
        <w:t>/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88" w:lineRule="auto"/>
        <w:ind w:left="0" w:right="0" w:firstLine="0"/>
        <w:jc w:val="both"/>
        <w:rPr>
          <w:sz w:val="18"/>
          <w:szCs w:val="18"/>
        </w:rPr>
      </w:pPr>
      <w:r>
        <w:rPr>
          <w:rStyle w:val="CharStyle11"/>
        </w:rPr>
        <w:t xml:space="preserve">MUDr. Hana Albrechtová ředitelka </w:t>
      </w:r>
      <w:r>
        <w:rPr>
          <w:rStyle w:val="CharStyle11"/>
          <w:b/>
          <w:bCs/>
          <w:sz w:val="18"/>
          <w:szCs w:val="18"/>
        </w:rPr>
        <w:t>za objednatele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drawing>
          <wp:anchor distT="0" distB="0" distL="25400" distR="25400" simplePos="0" relativeHeight="125829381" behindDoc="0" locked="0" layoutInCell="1" allowOverlap="1">
            <wp:simplePos x="0" y="0"/>
            <wp:positionH relativeFrom="page">
              <wp:posOffset>4527550</wp:posOffset>
            </wp:positionH>
            <wp:positionV relativeFrom="paragraph">
              <wp:posOffset>25400</wp:posOffset>
            </wp:positionV>
            <wp:extent cx="688975" cy="311150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688975" cy="3111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4" w:name="bookmark4"/>
      <w:r>
        <w:rPr>
          <w:rStyle w:val="CharStyle3"/>
          <w:b/>
          <w:bCs/>
        </w:rPr>
        <w:t>PAG STAV s.r.o.</w:t>
      </w:r>
      <w:bookmarkEnd w:id="4"/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rStyle w:val="CharStyle45"/>
        </w:rPr>
        <w:t>Za Habrem 447</w:t>
      </w:r>
      <w:bookmarkEnd w:id="6"/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8" w:name="bookmark8"/>
      <w:r>
        <w:rPr>
          <w:rStyle w:val="CharStyle45"/>
          <w:b/>
          <w:bCs/>
        </w:rPr>
        <w:t xml:space="preserve">STAV </w:t>
      </w:r>
      <w:r>
        <w:rPr>
          <w:rStyle w:val="CharStyle45"/>
        </w:rPr>
        <w:t>664 84 Zbraslav</w:t>
        <w:br/>
        <w:t>IČ; 09353542*DIČ:CZ09353542</w:t>
      </w:r>
      <w:bookmarkEnd w:id="8"/>
      <w:r>
        <w:br w:type="page"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margin">
                  <wp:posOffset>580390</wp:posOffset>
                </wp:positionV>
                <wp:extent cx="709930" cy="44831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  <w:b/>
                                <w:bCs/>
                              </w:rPr>
                              <w:t>Příloha č. 1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  <w:b/>
                                <w:bCs/>
                              </w:rPr>
                              <w:t>Příloha č.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8.25pt;margin-top:45.700000000000003pt;width:55.899999999999999pt;height:35.300000000000004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  <w:b/>
                          <w:bCs/>
                        </w:rPr>
                        <w:t>Příloha č. 1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  <w:b/>
                          <w:bCs/>
                        </w:rPr>
                        <w:t>Příloha č. 2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16"/>
          <w:b/>
          <w:bCs/>
        </w:rPr>
        <w:t>Dokumentace pro provedení stavby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  <w:b/>
          <w:bCs/>
        </w:rPr>
        <w:t>Rozpočet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73" w:right="1382" w:bottom="1026" w:left="1356" w:header="44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10108565</wp:posOffset>
              </wp:positionV>
              <wp:extent cx="2523490" cy="1066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2349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VZ 06-25: Vnitřní stavební úpravy autoservisu (I. stavba)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400000000000006pt;margin-top:795.95000000000005pt;width:198.70000000000002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>VZ 06-25: Vnitřní stavební úpravy autoservisu (I. stavba)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70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21">
    <w:name w:val="Jiné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5">
    <w:name w:val="Nadpis #2_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2"/>
      <w:szCs w:val="2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w w:val="70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  <w:spacing w:before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3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auto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30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4">
    <w:name w:val="Nadpis #2"/>
    <w:basedOn w:val="Normal"/>
    <w:link w:val="CharStyle45"/>
    <w:pPr>
      <w:widowControl w:val="0"/>
      <w:shd w:val="clear" w:color="auto" w:fill="auto"/>
      <w:spacing w:after="23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