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0" w:line="240" w:lineRule="auto"/>
        <w:ind w:left="156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5014595</wp:posOffset>
                </wp:positionH>
                <wp:positionV relativeFrom="paragraph">
                  <wp:posOffset>12700</wp:posOffset>
                </wp:positionV>
                <wp:extent cx="1134110" cy="389890"/>
                <wp:wrapSquare wrapText="left"/>
                <wp:docPr id="1" name="Shape 1"/>
                <a:graphic xmlns:a="http://schemas.openxmlformats.org/drawingml/2006/main">
                  <a:graphicData uri="http://schemas.microsoft.com/office/word/2010/wordprocessingShape">
                    <wps:wsp>
                      <wps:cNvSpPr txBox="1"/>
                      <wps:spPr>
                        <a:xfrm>
                          <a:ext cx="113411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2025-001-1931-C</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218/2025</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4.85000000000002pt;margin-top:1.pt;width:89.299999999999997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2025-001-1931-C</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218/2025</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prodávajícího:</w:t>
      </w:r>
    </w:p>
    <w:p>
      <w:pPr>
        <w:pStyle w:val="Style2"/>
        <w:keepNext w:val="0"/>
        <w:keepLines w:val="0"/>
        <w:widowControl w:val="0"/>
        <w:shd w:val="clear" w:color="auto" w:fill="auto"/>
        <w:bidi w:val="0"/>
        <w:spacing w:before="0" w:after="380" w:line="240" w:lineRule="auto"/>
        <w:ind w:left="1980" w:right="0" w:firstLine="0"/>
        <w:jc w:val="both"/>
      </w:pPr>
      <w:r>
        <w:rPr>
          <w:color w:val="000000"/>
          <w:spacing w:val="0"/>
          <w:w w:val="100"/>
          <w:position w:val="0"/>
          <w:shd w:val="clear" w:color="auto" w:fill="auto"/>
          <w:lang w:val="cs-CZ" w:eastAsia="cs-CZ" w:bidi="cs-CZ"/>
        </w:rPr>
        <w:t>Číslo smlouvy kupujícího:</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„Šípový vyhrnovací pluh“</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Smluvní strany</w:t>
      </w:r>
    </w:p>
    <w:tbl>
      <w:tblPr>
        <w:tblOverlap w:val="never"/>
        <w:jc w:val="left"/>
        <w:tblLayout w:type="fixed"/>
      </w:tblPr>
      <w:tblGrid>
        <w:gridCol w:w="1896"/>
        <w:gridCol w:w="5813"/>
      </w:tblGrid>
      <w:tr>
        <w:trPr>
          <w:trHeight w:val="39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AGROZET České Budějovice a.s.</w:t>
            </w:r>
          </w:p>
        </w:tc>
      </w:tr>
      <w:tr>
        <w:trPr>
          <w:trHeight w:val="634"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460" w:right="0" w:hanging="280"/>
              <w:jc w:val="left"/>
            </w:pPr>
            <w:r>
              <w:rPr>
                <w:color w:val="000000"/>
                <w:spacing w:val="0"/>
                <w:w w:val="100"/>
                <w:position w:val="0"/>
                <w:shd w:val="clear" w:color="auto" w:fill="auto"/>
                <w:lang w:val="cs-CZ" w:eastAsia="cs-CZ" w:bidi="cs-CZ"/>
              </w:rPr>
              <w:t>: U Sirkárny 501/30, České Budějovice 4, 370 04 České Budějovice</w:t>
            </w:r>
          </w:p>
        </w:tc>
      </w:tr>
      <w:tr>
        <w:trPr>
          <w:trHeight w:val="50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460" w:right="0" w:hanging="280"/>
              <w:jc w:val="left"/>
            </w:pPr>
            <w:r>
              <w:rPr>
                <w:color w:val="000000"/>
                <w:spacing w:val="0"/>
                <w:w w:val="100"/>
                <w:position w:val="0"/>
                <w:shd w:val="clear" w:color="auto" w:fill="auto"/>
                <w:lang w:val="cs-CZ" w:eastAsia="cs-CZ" w:bidi="cs-CZ"/>
              </w:rPr>
              <w:t>: xxxxxxxxx, předseda představenstva xxxxxxxxx, člen představenstva</w:t>
            </w:r>
          </w:p>
        </w:tc>
      </w:tr>
      <w:tr>
        <w:trPr>
          <w:trHeight w:val="33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xxxxxxxxx, obchodní manager na základě plné moci</w:t>
            </w:r>
          </w:p>
        </w:tc>
      </w:tr>
      <w:tr>
        <w:trPr>
          <w:trHeight w:val="193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zástupce IČO DIČ</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bottom"/>
          </w:tcPr>
          <w:p>
            <w:pPr>
              <w:pStyle w:val="Style13"/>
              <w:keepNext w:val="0"/>
              <w:keepLines w:val="0"/>
              <w:widowControl w:val="0"/>
              <w:shd w:val="clear" w:color="auto" w:fill="auto"/>
              <w:bidi w:val="0"/>
              <w:spacing w:before="0" w:after="200" w:line="240" w:lineRule="auto"/>
              <w:ind w:left="0" w:right="0" w:firstLine="180"/>
              <w:jc w:val="left"/>
            </w:pPr>
            <w:r>
              <w:rPr>
                <w:color w:val="000000"/>
                <w:spacing w:val="0"/>
                <w:w w:val="100"/>
                <w:position w:val="0"/>
                <w:shd w:val="clear" w:color="auto" w:fill="auto"/>
                <w:lang w:val="cs-CZ" w:eastAsia="cs-CZ" w:bidi="cs-CZ"/>
              </w:rPr>
              <w:t>: xxxxxxxxx,specialista prodeje strojů</w:t>
            </w:r>
          </w:p>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28113128</w:t>
            </w:r>
          </w:p>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CZ28113128</w:t>
            </w:r>
          </w:p>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xxxxxxxxx,</w:t>
            </w:r>
          </w:p>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xxxxxxxxx,</w:t>
            </w:r>
          </w:p>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xxxxxxxxx,</w:t>
            </w:r>
          </w:p>
        </w:tc>
      </w:tr>
    </w:tbl>
    <w:p>
      <w:pPr>
        <w:widowControl w:val="0"/>
        <w:spacing w:after="179" w:line="1" w:lineRule="exact"/>
      </w:pPr>
    </w:p>
    <w:p>
      <w:pPr>
        <w:pStyle w:val="Style2"/>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Prodávající je zapsán v Obchodním rejstříku u Krajského soudu v Českých Budějovicích, v oddílu B, vložce č. 1870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1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1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xxxxxxxxx, generální ředitel</w:t>
      </w:r>
    </w:p>
    <w:p>
      <w:pPr>
        <w:pStyle w:val="Style2"/>
        <w:keepNext w:val="0"/>
        <w:keepLines w:val="0"/>
        <w:widowControl w:val="0"/>
        <w:shd w:val="clear" w:color="auto" w:fill="auto"/>
        <w:tabs>
          <w:tab w:pos="2281"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1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xxxxxxxxx,vedoucí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15" w:val="left"/>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15" w:val="left"/>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xxxxxxxxx,</w:t>
      </w:r>
    </w:p>
    <w:p>
      <w:pPr>
        <w:pStyle w:val="Style2"/>
        <w:keepNext w:val="0"/>
        <w:keepLines w:val="0"/>
        <w:widowControl w:val="0"/>
        <w:shd w:val="clear" w:color="auto" w:fill="auto"/>
        <w:tabs>
          <w:tab w:pos="2015" w:val="left"/>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xxxxxxxxx,</w:t>
      </w:r>
    </w:p>
    <w:p>
      <w:pPr>
        <w:pStyle w:val="Style2"/>
        <w:keepNext w:val="0"/>
        <w:keepLines w:val="0"/>
        <w:widowControl w:val="0"/>
        <w:shd w:val="clear" w:color="auto" w:fill="auto"/>
        <w:tabs>
          <w:tab w:pos="2015" w:val="left"/>
          <w:tab w:pos="2317" w:val="left"/>
        </w:tabs>
        <w:bidi w:val="0"/>
        <w:spacing w:before="0" w:after="180" w:line="240" w:lineRule="auto"/>
        <w:ind w:left="0" w:right="0" w:firstLine="0"/>
        <w:jc w:val="both"/>
      </w:pPr>
      <w:r>
        <w:rPr>
          <w:color w:val="000000"/>
          <w:spacing w:val="0"/>
          <w:w w:val="100"/>
          <w:position w:val="0"/>
          <w:shd w:val="clear" w:color="auto" w:fill="auto"/>
          <w:lang w:val="cs-CZ" w:eastAsia="cs-CZ" w:bidi="cs-CZ"/>
        </w:rPr>
        <w:t>Telefon</w:t>
        <w:tab/>
        <w:t>:</w:t>
        <w:tab/>
        <w:t>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br w:type="page"/>
      </w:r>
      <w:r>
        <w:rPr>
          <w:color w:val="000000"/>
          <w:spacing w:val="0"/>
          <w:w w:val="100"/>
          <w:position w:val="0"/>
          <w:shd w:val="clear" w:color="auto" w:fill="auto"/>
          <w:lang w:val="cs-CZ" w:eastAsia="cs-CZ" w:bidi="cs-CZ"/>
        </w:rPr>
        <w:t>registru smluv. Zveřejnění smlouvy a metadat v registru smluv zajistí Povodí Ohře, státní 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329" w:val="left"/>
        </w:tabs>
        <w:bidi w:val="0"/>
        <w:spacing w:before="0" w:line="240" w:lineRule="auto"/>
        <w:ind w:left="0" w:right="0" w:firstLine="0"/>
        <w:jc w:val="center"/>
      </w:pPr>
      <w:bookmarkStart w:id="3" w:name="bookmark3"/>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Předmět smlouvy a předmět díla</w:t>
      </w:r>
      <w:bookmarkEnd w:id="4"/>
      <w:bookmarkEnd w:id="5"/>
      <w:bookmarkEnd w:id="7"/>
      <w:bookmarkEnd w:id="3"/>
    </w:p>
    <w:p>
      <w:pPr>
        <w:pStyle w:val="Style16"/>
        <w:keepNext/>
        <w:keepLines/>
        <w:widowControl w:val="0"/>
        <w:numPr>
          <w:ilvl w:val="0"/>
          <w:numId w:val="3"/>
        </w:numPr>
        <w:shd w:val="clear" w:color="auto" w:fill="auto"/>
        <w:tabs>
          <w:tab w:pos="363" w:val="left"/>
        </w:tabs>
        <w:bidi w:val="0"/>
        <w:spacing w:before="0" w:line="240" w:lineRule="auto"/>
        <w:ind w:left="380" w:right="0" w:hanging="38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této smlouvy je převod vlastnického práva k movité věci, a to nového a nepoužitého šípového vyhrnovacího pluhu za podmínek podle této smlouvy (dále jen předmět této smlouvy).</w:t>
      </w:r>
      <w:bookmarkEnd w:id="11"/>
      <w:bookmarkEnd w:id="8"/>
      <w:bookmarkEnd w:id="9"/>
    </w:p>
    <w:p>
      <w:pPr>
        <w:pStyle w:val="Style2"/>
        <w:keepNext w:val="0"/>
        <w:keepLines w:val="0"/>
        <w:widowControl w:val="0"/>
        <w:shd w:val="clear" w:color="auto" w:fill="auto"/>
        <w:tabs>
          <w:tab w:pos="3633"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33"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Agrometall</w:t>
        <w:tab/>
        <w:t>SR-T1 2600</w:t>
      </w:r>
    </w:p>
    <w:p>
      <w:pPr>
        <w:pStyle w:val="Style16"/>
        <w:keepNext/>
        <w:keepLines/>
        <w:widowControl w:val="0"/>
        <w:numPr>
          <w:ilvl w:val="0"/>
          <w:numId w:val="3"/>
        </w:numPr>
        <w:shd w:val="clear" w:color="auto" w:fill="auto"/>
        <w:tabs>
          <w:tab w:pos="363" w:val="left"/>
        </w:tabs>
        <w:bidi w:val="0"/>
        <w:spacing w:before="0" w:after="300" w:line="240" w:lineRule="auto"/>
        <w:ind w:left="380" w:right="0" w:hanging="38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Podrobná specifikace 1 ks šípového vyhrnovacího pluhu a příslušenství je uvedena v příloze č. 1 kupní smlouvy – Technická specifikace, která je nedílnou součástí této smlouvy.</w:t>
      </w:r>
      <w:bookmarkEnd w:id="12"/>
      <w:bookmarkEnd w:id="13"/>
      <w:bookmarkEnd w:id="15"/>
    </w:p>
    <w:p>
      <w:pPr>
        <w:pStyle w:val="Style4"/>
        <w:keepNext/>
        <w:keepLines/>
        <w:widowControl w:val="0"/>
        <w:numPr>
          <w:ilvl w:val="0"/>
          <w:numId w:val="1"/>
        </w:numPr>
        <w:shd w:val="clear" w:color="auto" w:fill="auto"/>
        <w:tabs>
          <w:tab w:pos="382" w:val="left"/>
        </w:tabs>
        <w:bidi w:val="0"/>
        <w:spacing w:before="0" w:line="240" w:lineRule="auto"/>
        <w:ind w:left="0" w:right="0" w:firstLine="0"/>
        <w:jc w:val="center"/>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Cena</w:t>
      </w:r>
      <w:bookmarkEnd w:id="16"/>
      <w:bookmarkEnd w:id="17"/>
      <w:bookmarkEnd w:id="19"/>
    </w:p>
    <w:p>
      <w:pPr>
        <w:pStyle w:val="Style16"/>
        <w:keepNext/>
        <w:keepLines/>
        <w:widowControl w:val="0"/>
        <w:numPr>
          <w:ilvl w:val="0"/>
          <w:numId w:val="5"/>
        </w:numPr>
        <w:shd w:val="clear" w:color="auto" w:fill="auto"/>
        <w:tabs>
          <w:tab w:pos="363" w:val="left"/>
        </w:tabs>
        <w:bidi w:val="0"/>
        <w:spacing w:before="0" w:line="240" w:lineRule="auto"/>
        <w:ind w:left="380" w:right="0" w:hanging="38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 xml:space="preserve">Kupní cena předmětu této smlouvy uvedeného v čl. </w:t>
      </w:r>
      <w:hyperlink w:anchor="bookmark3" w:tooltip="Current Document">
        <w:r>
          <w:rPr>
            <w:color w:val="000000"/>
            <w:spacing w:val="0"/>
            <w:w w:val="100"/>
            <w:position w:val="0"/>
            <w:shd w:val="clear" w:color="auto" w:fill="auto"/>
            <w:lang w:val="cs-CZ" w:eastAsia="cs-CZ" w:bidi="cs-CZ"/>
          </w:rPr>
          <w:t xml:space="preserve">I. </w:t>
        </w:r>
      </w:hyperlink>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20"/>
      <w:bookmarkEnd w:id="21"/>
      <w:bookmarkEnd w:id="23"/>
    </w:p>
    <w:p>
      <w:pPr>
        <w:pStyle w:val="Style16"/>
        <w:keepNext/>
        <w:keepLines/>
        <w:widowControl w:val="0"/>
        <w:numPr>
          <w:ilvl w:val="0"/>
          <w:numId w:val="5"/>
        </w:numPr>
        <w:shd w:val="clear" w:color="auto" w:fill="auto"/>
        <w:tabs>
          <w:tab w:pos="363" w:val="left"/>
        </w:tabs>
        <w:bidi w:val="0"/>
        <w:spacing w:before="0" w:line="240" w:lineRule="auto"/>
        <w:ind w:left="0" w:right="0" w:firstLine="0"/>
        <w:jc w:val="both"/>
      </w:pPr>
      <w:bookmarkStart w:id="24" w:name="bookmark24"/>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Kupní cena za předmět této smlouvy včetně výbavy uvedené v příloze této smlouvy</w:t>
      </w:r>
      <w:bookmarkEnd w:id="25"/>
      <w:bookmarkEnd w:id="26"/>
      <w:bookmarkEnd w:id="28"/>
      <w:bookmarkEnd w:id="24"/>
    </w:p>
    <w:p>
      <w:pPr>
        <w:pStyle w:val="Style2"/>
        <w:keepNext w:val="0"/>
        <w:keepLines w:val="0"/>
        <w:widowControl w:val="0"/>
        <w:shd w:val="clear" w:color="auto" w:fill="auto"/>
        <w:bidi w:val="0"/>
        <w:spacing w:before="0" w:after="0" w:line="240" w:lineRule="auto"/>
        <w:ind w:left="0" w:right="0" w:firstLine="380"/>
        <w:jc w:val="both"/>
      </w:pPr>
      <w:r>
        <mc:AlternateContent>
          <mc:Choice Requires="wps">
            <w:drawing>
              <wp:anchor distT="0" distB="0" distL="114300" distR="114300" simplePos="0" relativeHeight="125829380" behindDoc="0" locked="0" layoutInCell="1" allowOverlap="1">
                <wp:simplePos x="0" y="0"/>
                <wp:positionH relativeFrom="page">
                  <wp:posOffset>4929505</wp:posOffset>
                </wp:positionH>
                <wp:positionV relativeFrom="paragraph">
                  <wp:posOffset>12700</wp:posOffset>
                </wp:positionV>
                <wp:extent cx="1722120" cy="707390"/>
                <wp:wrapSquare wrapText="left"/>
                <wp:docPr id="3" name="Shape 3"/>
                <a:graphic xmlns:a="http://schemas.openxmlformats.org/drawingml/2006/main">
                  <a:graphicData uri="http://schemas.microsoft.com/office/word/2010/wordprocessingShape">
                    <wps:wsp>
                      <wps:cNvSpPr txBox="1"/>
                      <wps:spPr>
                        <a:xfrm>
                          <a:ext cx="1722120" cy="7073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199 000,00 Kč bez DPH,</w:t>
                            </w:r>
                          </w:p>
                          <w:p>
                            <w:pPr>
                              <w:pStyle w:val="Style2"/>
                              <w:keepNext w:val="0"/>
                              <w:keepLines w:val="0"/>
                              <w:widowControl w:val="0"/>
                              <w:shd w:val="clear" w:color="auto" w:fill="auto"/>
                              <w:bidi w:val="0"/>
                              <w:spacing w:before="0" w:after="200" w:line="240" w:lineRule="auto"/>
                              <w:ind w:left="0" w:right="0" w:firstLine="140"/>
                              <w:jc w:val="left"/>
                            </w:pPr>
                            <w:r>
                              <w:rPr>
                                <w:color w:val="000000"/>
                                <w:spacing w:val="0"/>
                                <w:w w:val="100"/>
                                <w:position w:val="0"/>
                                <w:shd w:val="clear" w:color="auto" w:fill="auto"/>
                                <w:lang w:val="cs-CZ" w:eastAsia="cs-CZ" w:bidi="cs-CZ"/>
                              </w:rPr>
                              <w:t>41 790,00 Kč,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240 790,00 Kč včetně DPH</w:t>
                            </w:r>
                          </w:p>
                        </w:txbxContent>
                      </wps:txbx>
                      <wps:bodyPr lIns="0" tIns="0" rIns="0" bIns="0">
                        <a:noAutoFit/>
                      </wps:bodyPr>
                    </wps:wsp>
                  </a:graphicData>
                </a:graphic>
              </wp:anchor>
            </w:drawing>
          </mc:Choice>
          <mc:Fallback>
            <w:pict>
              <v:shape id="_x0000_s1029" type="#_x0000_t202" style="position:absolute;margin-left:388.15000000000003pt;margin-top:1.pt;width:135.59999999999999pt;height:55.700000000000003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199 000,00 Kč bez DPH,</w:t>
                      </w:r>
                    </w:p>
                    <w:p>
                      <w:pPr>
                        <w:pStyle w:val="Style2"/>
                        <w:keepNext w:val="0"/>
                        <w:keepLines w:val="0"/>
                        <w:widowControl w:val="0"/>
                        <w:shd w:val="clear" w:color="auto" w:fill="auto"/>
                        <w:bidi w:val="0"/>
                        <w:spacing w:before="0" w:after="200" w:line="240" w:lineRule="auto"/>
                        <w:ind w:left="0" w:right="0" w:firstLine="140"/>
                        <w:jc w:val="left"/>
                      </w:pPr>
                      <w:r>
                        <w:rPr>
                          <w:color w:val="000000"/>
                          <w:spacing w:val="0"/>
                          <w:w w:val="100"/>
                          <w:position w:val="0"/>
                          <w:shd w:val="clear" w:color="auto" w:fill="auto"/>
                          <w:lang w:val="cs-CZ" w:eastAsia="cs-CZ" w:bidi="cs-CZ"/>
                        </w:rPr>
                        <w:t>41 790,00 Kč,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240 790,00 Kč včetně DPH</w:t>
                      </w:r>
                    </w:p>
                  </w:txbxContent>
                </v:textbox>
                <w10:wrap type="square" side="left" anchorx="page"/>
              </v:shape>
            </w:pict>
          </mc:Fallback>
        </mc:AlternateContent>
      </w:r>
      <w:r>
        <w:rPr>
          <w:color w:val="000000"/>
          <w:spacing w:val="0"/>
          <w:w w:val="100"/>
          <w:position w:val="0"/>
          <w:shd w:val="clear" w:color="auto" w:fill="auto"/>
          <w:lang w:val="cs-CZ" w:eastAsia="cs-CZ" w:bidi="cs-CZ"/>
        </w:rPr>
        <w:t>činí</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r>
    </w:p>
    <w:p>
      <w:pPr>
        <w:pStyle w:val="Style2"/>
        <w:keepNext w:val="0"/>
        <w:keepLines w:val="0"/>
        <w:widowControl w:val="0"/>
        <w:shd w:val="clear" w:color="auto" w:fill="auto"/>
        <w:bidi w:val="0"/>
        <w:spacing w:before="0" w:after="300" w:line="240" w:lineRule="auto"/>
        <w:ind w:left="380" w:right="0" w:firstLine="20"/>
        <w:jc w:val="both"/>
      </w:pPr>
      <w:r>
        <w:rPr>
          <w:color w:val="000000"/>
          <w:spacing w:val="0"/>
          <w:w w:val="100"/>
          <w:position w:val="0"/>
          <w:shd w:val="clear" w:color="auto" w:fill="auto"/>
          <w:lang w:val="cs-CZ" w:eastAsia="cs-CZ" w:bidi="cs-CZ"/>
        </w:rPr>
        <w:t>(v zákonné výši stanovené ke dni zdanitelného plnění) cena celkem</w:t>
      </w:r>
    </w:p>
    <w:p>
      <w:pPr>
        <w:pStyle w:val="Style4"/>
        <w:keepNext/>
        <w:keepLines/>
        <w:widowControl w:val="0"/>
        <w:numPr>
          <w:ilvl w:val="0"/>
          <w:numId w:val="1"/>
        </w:numPr>
        <w:shd w:val="clear" w:color="auto" w:fill="auto"/>
        <w:tabs>
          <w:tab w:pos="445" w:val="left"/>
        </w:tabs>
        <w:bidi w:val="0"/>
        <w:spacing w:before="0" w:line="240" w:lineRule="auto"/>
        <w:ind w:left="0" w:right="0" w:firstLine="0"/>
        <w:jc w:val="center"/>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Platební podmínky</w:t>
      </w:r>
      <w:bookmarkEnd w:id="29"/>
      <w:bookmarkEnd w:id="30"/>
      <w:bookmarkEnd w:id="32"/>
    </w:p>
    <w:p>
      <w:pPr>
        <w:pStyle w:val="Style16"/>
        <w:keepNext/>
        <w:keepLines/>
        <w:widowControl w:val="0"/>
        <w:numPr>
          <w:ilvl w:val="0"/>
          <w:numId w:val="7"/>
        </w:numPr>
        <w:shd w:val="clear" w:color="auto" w:fill="auto"/>
        <w:tabs>
          <w:tab w:pos="363" w:val="left"/>
        </w:tabs>
        <w:bidi w:val="0"/>
        <w:spacing w:before="0" w:after="0" w:line="240" w:lineRule="auto"/>
        <w:ind w:left="380" w:right="0" w:hanging="380"/>
        <w:jc w:val="both"/>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článku </w:t>
      </w:r>
      <w:hyperlink w:anchor="bookmark24" w:tooltip="Current Document">
        <w:r>
          <w:rPr>
            <w:color w:val="000000"/>
            <w:spacing w:val="0"/>
            <w:w w:val="100"/>
            <w:position w:val="0"/>
            <w:shd w:val="clear" w:color="auto" w:fill="auto"/>
            <w:lang w:val="cs-CZ" w:eastAsia="cs-CZ" w:bidi="cs-CZ"/>
          </w:rPr>
          <w:t>II.</w:t>
        </w:r>
        <w:bookmarkEnd w:id="33"/>
        <w:bookmarkEnd w:id="34"/>
        <w:bookmarkEnd w:id="36"/>
      </w:hyperlink>
    </w:p>
    <w:p>
      <w:pPr>
        <w:pStyle w:val="Style2"/>
        <w:keepNext w:val="0"/>
        <w:keepLines w:val="0"/>
        <w:widowControl w:val="0"/>
        <w:numPr>
          <w:ilvl w:val="0"/>
          <w:numId w:val="7"/>
        </w:numPr>
        <w:shd w:val="clear" w:color="auto" w:fill="auto"/>
        <w:tabs>
          <w:tab w:pos="740" w:val="left"/>
          <w:tab w:pos="762" w:val="left"/>
        </w:tabs>
        <w:bidi w:val="0"/>
        <w:spacing w:before="0" w:line="240" w:lineRule="auto"/>
        <w:ind w:left="0" w:right="0" w:firstLine="380"/>
        <w:jc w:val="both"/>
      </w:pPr>
      <w:bookmarkStart w:id="37" w:name="bookmark37"/>
      <w:bookmarkStart w:id="38" w:name="bookmark38"/>
      <w:bookmarkEnd w:id="37"/>
      <w:r>
        <w:rPr>
          <w:color w:val="000000"/>
          <w:spacing w:val="0"/>
          <w:w w:val="100"/>
          <w:position w:val="0"/>
          <w:shd w:val="clear" w:color="auto" w:fill="auto"/>
          <w:lang w:val="cs-CZ" w:eastAsia="cs-CZ" w:bidi="cs-CZ"/>
        </w:rPr>
        <w:t>této smlouvy, za podmínek dle této smlouvy.</w:t>
      </w:r>
      <w:bookmarkEnd w:id="38"/>
    </w:p>
    <w:p>
      <w:pPr>
        <w:pStyle w:val="Style16"/>
        <w:keepNext/>
        <w:keepLines/>
        <w:widowControl w:val="0"/>
        <w:numPr>
          <w:ilvl w:val="0"/>
          <w:numId w:val="9"/>
        </w:numPr>
        <w:shd w:val="clear" w:color="auto" w:fill="auto"/>
        <w:tabs>
          <w:tab w:pos="363" w:val="left"/>
        </w:tabs>
        <w:bidi w:val="0"/>
        <w:spacing w:before="0" w:line="240" w:lineRule="auto"/>
        <w:ind w:left="380" w:right="0" w:hanging="380"/>
        <w:jc w:val="both"/>
      </w:pPr>
      <w:bookmarkStart w:id="39" w:name="bookmark39"/>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40"/>
      <w:bookmarkEnd w:id="41"/>
      <w:bookmarkEnd w:id="43"/>
      <w:bookmarkEnd w:id="39"/>
    </w:p>
    <w:p>
      <w:pPr>
        <w:pStyle w:val="Style16"/>
        <w:keepNext/>
        <w:keepLines/>
        <w:widowControl w:val="0"/>
        <w:numPr>
          <w:ilvl w:val="0"/>
          <w:numId w:val="9"/>
        </w:numPr>
        <w:shd w:val="clear" w:color="auto" w:fill="auto"/>
        <w:tabs>
          <w:tab w:pos="363" w:val="left"/>
        </w:tabs>
        <w:bidi w:val="0"/>
        <w:spacing w:before="0" w:line="240" w:lineRule="auto"/>
        <w:ind w:left="380" w:right="0" w:hanging="38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4"/>
      <w:bookmarkEnd w:id="45"/>
      <w:bookmarkEnd w:id="47"/>
    </w:p>
    <w:p>
      <w:pPr>
        <w:pStyle w:val="Style16"/>
        <w:keepNext/>
        <w:keepLines/>
        <w:widowControl w:val="0"/>
        <w:numPr>
          <w:ilvl w:val="0"/>
          <w:numId w:val="9"/>
        </w:numPr>
        <w:shd w:val="clear" w:color="auto" w:fill="auto"/>
        <w:tabs>
          <w:tab w:pos="363" w:val="left"/>
        </w:tabs>
        <w:bidi w:val="0"/>
        <w:spacing w:before="0" w:line="240" w:lineRule="auto"/>
        <w:ind w:left="380" w:right="0" w:hanging="38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 xml:space="preserve">V případě, že faktura nebude obsahovat všechny, v článku </w:t>
      </w:r>
      <w:hyperlink w:anchor="bookmark39"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8"/>
      <w:bookmarkEnd w:id="49"/>
      <w:bookmarkEnd w:id="51"/>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52"/>
      <w:bookmarkEnd w:id="53"/>
      <w:bookmarkEnd w:id="55"/>
    </w:p>
    <w:p>
      <w:pPr>
        <w:pStyle w:val="Style16"/>
        <w:keepNext/>
        <w:keepLines/>
        <w:widowControl w:val="0"/>
        <w:numPr>
          <w:ilvl w:val="0"/>
          <w:numId w:val="9"/>
        </w:numPr>
        <w:shd w:val="clear" w:color="auto" w:fill="auto"/>
        <w:tabs>
          <w:tab w:pos="363" w:val="left"/>
        </w:tabs>
        <w:bidi w:val="0"/>
        <w:spacing w:before="0" w:after="300" w:line="240" w:lineRule="auto"/>
        <w:ind w:right="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Kupující je oprávněn kdykoli jednostranně započíst jakékoliv své pohledávky proti jakýmkoli pohledávkám prodávajícího za kupujícím, a to i v případě, kdy některá z pohledávek není dosud splatná. Smluvní strany se dohodly, že prodávající není oprávněn jednostranně započíst žádné své pohledávky proti pohledávkám kupujícího.</w:t>
      </w:r>
      <w:bookmarkEnd w:id="56"/>
      <w:bookmarkEnd w:id="57"/>
      <w:bookmarkEnd w:id="59"/>
    </w:p>
    <w:p>
      <w:pPr>
        <w:pStyle w:val="Style4"/>
        <w:keepNext/>
        <w:keepLines/>
        <w:widowControl w:val="0"/>
        <w:numPr>
          <w:ilvl w:val="0"/>
          <w:numId w:val="1"/>
        </w:numPr>
        <w:shd w:val="clear" w:color="auto" w:fill="auto"/>
        <w:tabs>
          <w:tab w:pos="469" w:val="left"/>
        </w:tabs>
        <w:bidi w:val="0"/>
        <w:spacing w:before="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Podmínky dodávky předmětu smlouvy</w:t>
      </w:r>
      <w:bookmarkEnd w:id="60"/>
      <w:bookmarkEnd w:id="61"/>
      <w:bookmarkEnd w:id="63"/>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 xml:space="preserve">Prodávající se zavazuje dodat kupujícímu požadovaný předmět této smlouvy uvedený v čl. </w:t>
      </w:r>
      <w:hyperlink w:anchor="bookmark3" w:tooltip="Current Document">
        <w:r>
          <w:rPr>
            <w:color w:val="000000"/>
            <w:spacing w:val="0"/>
            <w:w w:val="100"/>
            <w:position w:val="0"/>
            <w:shd w:val="clear" w:color="auto" w:fill="auto"/>
            <w:lang w:val="cs-CZ" w:eastAsia="cs-CZ" w:bidi="cs-CZ"/>
          </w:rPr>
          <w:t xml:space="preserve">I. </w:t>
        </w:r>
      </w:hyperlink>
      <w:r>
        <w:rPr>
          <w:color w:val="000000"/>
          <w:spacing w:val="0"/>
          <w:w w:val="100"/>
          <w:position w:val="0"/>
          <w:shd w:val="clear" w:color="auto" w:fill="auto"/>
          <w:lang w:val="cs-CZ" w:eastAsia="cs-CZ" w:bidi="cs-CZ"/>
        </w:rPr>
        <w:t>smlouvy do 4 měsíců od podpisu kupní smlouvy. Po uplynutí uvedené lhůty má kupující právo odstoupit od smlouvy.</w:t>
      </w:r>
      <w:bookmarkEnd w:id="64"/>
      <w:bookmarkEnd w:id="65"/>
      <w:bookmarkEnd w:id="67"/>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8"/>
      <w:bookmarkEnd w:id="69"/>
      <w:bookmarkEnd w:id="71"/>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 xml:space="preserve">Místem předání je Povodí Ohře, státní podnik, </w:t>
      </w:r>
      <w:r>
        <w:rPr>
          <w:color w:val="333333"/>
          <w:spacing w:val="0"/>
          <w:w w:val="100"/>
          <w:position w:val="0"/>
          <w:shd w:val="clear" w:color="auto" w:fill="auto"/>
          <w:lang w:val="cs-CZ" w:eastAsia="cs-CZ" w:bidi="cs-CZ"/>
        </w:rPr>
        <w:t>provoz Chomutov: Spořická 4949, 430 46 Chomutov</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xxxxxxxxx, vedoucí provozních služeb, e-mail: xxxxxxxxx, tel.: xxxxxxxxx,</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Kontaktní osoba Prodávajícího je:</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xxxxxxxxx,,specialista prodeje strojů, e-mail: xxxxxxxxx, tel.: xxxxxxxxx,</w:t>
      </w:r>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stroji musí odpovídat platným normám a být v českém jazyce.</w:t>
      </w:r>
      <w:bookmarkEnd w:id="72"/>
      <w:bookmarkEnd w:id="73"/>
      <w:bookmarkEnd w:id="75"/>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76"/>
      <w:bookmarkEnd w:id="77"/>
      <w:bookmarkEnd w:id="79"/>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0"/>
      <w:bookmarkEnd w:id="81"/>
      <w:bookmarkEnd w:id="83"/>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4"/>
      <w:bookmarkEnd w:id="85"/>
      <w:bookmarkEnd w:id="87"/>
    </w:p>
    <w:p>
      <w:pPr>
        <w:pStyle w:val="Style16"/>
        <w:keepNext/>
        <w:keepLines/>
        <w:widowControl w:val="0"/>
        <w:numPr>
          <w:ilvl w:val="0"/>
          <w:numId w:val="11"/>
        </w:numPr>
        <w:shd w:val="clear" w:color="auto" w:fill="auto"/>
        <w:tabs>
          <w:tab w:pos="363" w:val="left"/>
        </w:tabs>
        <w:bidi w:val="0"/>
        <w:spacing w:before="0" w:line="240" w:lineRule="auto"/>
        <w:ind w:right="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8"/>
      <w:bookmarkEnd w:id="89"/>
      <w:bookmarkEnd w:id="91"/>
    </w:p>
    <w:p>
      <w:pPr>
        <w:pStyle w:val="Style4"/>
        <w:keepNext/>
        <w:keepLines/>
        <w:widowControl w:val="0"/>
        <w:numPr>
          <w:ilvl w:val="0"/>
          <w:numId w:val="1"/>
        </w:numPr>
        <w:shd w:val="clear" w:color="auto" w:fill="auto"/>
        <w:tabs>
          <w:tab w:pos="390" w:val="left"/>
        </w:tabs>
        <w:bidi w:val="0"/>
        <w:spacing w:before="0" w:line="240" w:lineRule="auto"/>
        <w:ind w:left="0" w:right="0" w:firstLine="0"/>
        <w:jc w:val="center"/>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Smluvní sankce</w:t>
      </w:r>
      <w:bookmarkEnd w:id="92"/>
      <w:bookmarkEnd w:id="93"/>
      <w:bookmarkEnd w:id="95"/>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96"/>
      <w:bookmarkEnd w:id="97"/>
      <w:bookmarkEnd w:id="99"/>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0"/>
      <w:bookmarkEnd w:id="101"/>
      <w:bookmarkEnd w:id="103"/>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4"/>
      <w:bookmarkEnd w:id="105"/>
      <w:bookmarkEnd w:id="107"/>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8"/>
      <w:bookmarkEnd w:id="109"/>
      <w:bookmarkEnd w:id="111"/>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2"/>
      <w:bookmarkEnd w:id="113"/>
      <w:bookmarkEnd w:id="115"/>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6"/>
      <w:bookmarkEnd w:id="117"/>
      <w:bookmarkEnd w:id="119"/>
    </w:p>
    <w:p>
      <w:pPr>
        <w:pStyle w:val="Style16"/>
        <w:keepNext/>
        <w:keepLines/>
        <w:widowControl w:val="0"/>
        <w:numPr>
          <w:ilvl w:val="0"/>
          <w:numId w:val="13"/>
        </w:numPr>
        <w:shd w:val="clear" w:color="auto" w:fill="auto"/>
        <w:tabs>
          <w:tab w:pos="351" w:val="left"/>
        </w:tabs>
        <w:bidi w:val="0"/>
        <w:spacing w:before="0" w:after="300" w:line="240" w:lineRule="auto"/>
        <w:ind w:left="380" w:right="0" w:hanging="38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0"/>
      <w:bookmarkEnd w:id="121"/>
      <w:bookmarkEnd w:id="123"/>
    </w:p>
    <w:p>
      <w:pPr>
        <w:pStyle w:val="Style4"/>
        <w:keepNext/>
        <w:keepLines/>
        <w:widowControl w:val="0"/>
        <w:numPr>
          <w:ilvl w:val="0"/>
          <w:numId w:val="1"/>
        </w:numPr>
        <w:shd w:val="clear" w:color="auto" w:fill="auto"/>
        <w:tabs>
          <w:tab w:pos="453" w:val="left"/>
        </w:tabs>
        <w:bidi w:val="0"/>
        <w:spacing w:before="0" w:line="240" w:lineRule="auto"/>
        <w:ind w:left="0" w:right="0" w:firstLine="0"/>
        <w:jc w:val="center"/>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Záruka</w:t>
      </w:r>
      <w:bookmarkEnd w:id="124"/>
      <w:bookmarkEnd w:id="125"/>
      <w:bookmarkEnd w:id="127"/>
    </w:p>
    <w:p>
      <w:pPr>
        <w:pStyle w:val="Style16"/>
        <w:keepNext/>
        <w:keepLines/>
        <w:widowControl w:val="0"/>
        <w:numPr>
          <w:ilvl w:val="0"/>
          <w:numId w:val="15"/>
        </w:numPr>
        <w:shd w:val="clear" w:color="auto" w:fill="auto"/>
        <w:tabs>
          <w:tab w:pos="351" w:val="left"/>
        </w:tabs>
        <w:bidi w:val="0"/>
        <w:spacing w:before="0" w:line="240" w:lineRule="auto"/>
        <w:ind w:left="380" w:right="0" w:hanging="38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28"/>
      <w:bookmarkEnd w:id="129"/>
      <w:bookmarkEnd w:id="131"/>
    </w:p>
    <w:p>
      <w:pPr>
        <w:pStyle w:val="Style16"/>
        <w:keepNext/>
        <w:keepLines/>
        <w:widowControl w:val="0"/>
        <w:numPr>
          <w:ilvl w:val="0"/>
          <w:numId w:val="15"/>
        </w:numPr>
        <w:shd w:val="clear" w:color="auto" w:fill="auto"/>
        <w:tabs>
          <w:tab w:pos="351" w:val="left"/>
        </w:tabs>
        <w:bidi w:val="0"/>
        <w:spacing w:before="0" w:line="240" w:lineRule="auto"/>
        <w:ind w:left="380" w:right="0" w:hanging="38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2"/>
      <w:bookmarkEnd w:id="133"/>
      <w:bookmarkEnd w:id="135"/>
    </w:p>
    <w:p>
      <w:pPr>
        <w:pStyle w:val="Style16"/>
        <w:keepNext/>
        <w:keepLines/>
        <w:widowControl w:val="0"/>
        <w:numPr>
          <w:ilvl w:val="0"/>
          <w:numId w:val="15"/>
        </w:numPr>
        <w:shd w:val="clear" w:color="auto" w:fill="auto"/>
        <w:tabs>
          <w:tab w:pos="351" w:val="left"/>
        </w:tabs>
        <w:bidi w:val="0"/>
        <w:spacing w:before="0" w:line="240" w:lineRule="auto"/>
        <w:ind w:left="380" w:right="0" w:hanging="38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Pokud jde o právo z odpovědnosti za vady, má kupující vůči prodávajícímu tato práva a nároky:</w:t>
      </w:r>
      <w:bookmarkEnd w:id="136"/>
      <w:bookmarkEnd w:id="137"/>
      <w:bookmarkEnd w:id="139"/>
    </w:p>
    <w:p>
      <w:pPr>
        <w:pStyle w:val="Style16"/>
        <w:keepNext/>
        <w:keepLines/>
        <w:widowControl w:val="0"/>
        <w:numPr>
          <w:ilvl w:val="0"/>
          <w:numId w:val="17"/>
        </w:numPr>
        <w:shd w:val="clear" w:color="auto" w:fill="auto"/>
        <w:tabs>
          <w:tab w:pos="756" w:val="left"/>
        </w:tabs>
        <w:bidi w:val="0"/>
        <w:spacing w:before="0" w:line="240" w:lineRule="auto"/>
        <w:ind w:left="800" w:right="0" w:hanging="42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120 dnů od uplatnění reklamace.</w:t>
      </w:r>
      <w:bookmarkEnd w:id="140"/>
      <w:bookmarkEnd w:id="141"/>
      <w:bookmarkEnd w:id="143"/>
    </w:p>
    <w:p>
      <w:pPr>
        <w:pStyle w:val="Style16"/>
        <w:keepNext/>
        <w:keepLines/>
        <w:widowControl w:val="0"/>
        <w:numPr>
          <w:ilvl w:val="0"/>
          <w:numId w:val="17"/>
        </w:numPr>
        <w:shd w:val="clear" w:color="auto" w:fill="auto"/>
        <w:tabs>
          <w:tab w:pos="756" w:val="left"/>
        </w:tabs>
        <w:bidi w:val="0"/>
        <w:spacing w:before="0" w:line="240" w:lineRule="auto"/>
        <w:ind w:left="800" w:right="0" w:hanging="42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právo na poskytnutí slevy, odpovídající rozdílu ceny vadného a bezvadného předmětu smlouvy,</w:t>
      </w:r>
      <w:bookmarkEnd w:id="144"/>
      <w:bookmarkEnd w:id="145"/>
      <w:bookmarkEnd w:id="147"/>
    </w:p>
    <w:p>
      <w:pPr>
        <w:pStyle w:val="Style16"/>
        <w:keepNext/>
        <w:keepLines/>
        <w:widowControl w:val="0"/>
        <w:numPr>
          <w:ilvl w:val="0"/>
          <w:numId w:val="17"/>
        </w:numPr>
        <w:shd w:val="clear" w:color="auto" w:fill="auto"/>
        <w:tabs>
          <w:tab w:pos="756" w:val="left"/>
        </w:tabs>
        <w:bidi w:val="0"/>
        <w:spacing w:before="0" w:line="240" w:lineRule="auto"/>
        <w:ind w:left="800" w:right="0" w:hanging="42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48"/>
      <w:bookmarkEnd w:id="149"/>
      <w:bookmarkEnd w:id="151"/>
    </w:p>
    <w:p>
      <w:pPr>
        <w:pStyle w:val="Style16"/>
        <w:keepNext/>
        <w:keepLines/>
        <w:widowControl w:val="0"/>
        <w:numPr>
          <w:ilvl w:val="0"/>
          <w:numId w:val="15"/>
        </w:numPr>
        <w:shd w:val="clear" w:color="auto" w:fill="auto"/>
        <w:tabs>
          <w:tab w:pos="351" w:val="left"/>
        </w:tabs>
        <w:bidi w:val="0"/>
        <w:spacing w:before="0" w:line="259" w:lineRule="auto"/>
        <w:ind w:left="380" w:right="0" w:hanging="38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2"/>
      <w:bookmarkEnd w:id="153"/>
      <w:bookmarkEnd w:id="155"/>
    </w:p>
    <w:p>
      <w:pPr>
        <w:pStyle w:val="Style4"/>
        <w:keepNext/>
        <w:keepLines/>
        <w:widowControl w:val="0"/>
        <w:numPr>
          <w:ilvl w:val="0"/>
          <w:numId w:val="1"/>
        </w:numPr>
        <w:shd w:val="clear" w:color="auto" w:fill="auto"/>
        <w:tabs>
          <w:tab w:pos="471" w:val="left"/>
        </w:tabs>
        <w:bidi w:val="0"/>
        <w:spacing w:before="0" w:line="240" w:lineRule="auto"/>
        <w:ind w:left="0" w:right="0" w:firstLine="0"/>
        <w:jc w:val="center"/>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Compliance doložka</w:t>
      </w:r>
      <w:bookmarkEnd w:id="156"/>
      <w:bookmarkEnd w:id="157"/>
      <w:bookmarkEnd w:id="159"/>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60"/>
      <w:bookmarkEnd w:id="161"/>
      <w:bookmarkEnd w:id="163"/>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64"/>
      <w:bookmarkEnd w:id="165"/>
      <w:bookmarkEnd w:id="167"/>
    </w:p>
    <w:p>
      <w:pPr>
        <w:pStyle w:val="Style16"/>
        <w:keepNext/>
        <w:keepLines/>
        <w:widowControl w:val="0"/>
        <w:numPr>
          <w:ilvl w:val="0"/>
          <w:numId w:val="19"/>
        </w:numPr>
        <w:shd w:val="clear" w:color="auto" w:fill="auto"/>
        <w:tabs>
          <w:tab w:pos="370" w:val="left"/>
          <w:tab w:pos="2755" w:val="left"/>
          <w:tab w:pos="4896" w:val="left"/>
          <w:tab w:pos="6907" w:val="left"/>
          <w:tab w:pos="8726" w:val="left"/>
        </w:tabs>
        <w:bidi w:val="0"/>
        <w:spacing w:before="0" w:after="0" w:line="240" w:lineRule="auto"/>
        <w:ind w:right="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68"/>
      <w:bookmarkEnd w:id="169"/>
      <w:bookmarkEnd w:id="171"/>
    </w:p>
    <w:p>
      <w:pPr>
        <w:pStyle w:val="Style2"/>
        <w:keepNext w:val="0"/>
        <w:keepLines w:val="0"/>
        <w:widowControl w:val="0"/>
        <w:shd w:val="clear" w:color="auto" w:fill="auto"/>
        <w:bidi w:val="0"/>
        <w:spacing w:before="0" w:line="240" w:lineRule="auto"/>
        <w:ind w:left="360" w:right="0" w:firstLine="40"/>
        <w:jc w:val="both"/>
      </w:pPr>
      <w:r>
        <w:fldChar w:fldCharType="begin"/>
      </w:r>
      <w:r>
        <w:rPr/>
        <w:instrText> HYPERLINK "http://www.poh.cz/protikorupcni-a-compliance-program/d-1346/p1=1458" </w:instrText>
      </w:r>
      <w:r>
        <w:fldChar w:fldCharType="separate"/>
      </w:r>
      <w:bookmarkStart w:id="172" w:name="bookmark172"/>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72"/>
    </w:p>
    <w:p>
      <w:pPr>
        <w:pStyle w:val="Style16"/>
        <w:keepNext/>
        <w:keepLines/>
        <w:widowControl w:val="0"/>
        <w:numPr>
          <w:ilvl w:val="0"/>
          <w:numId w:val="19"/>
        </w:numPr>
        <w:shd w:val="clear" w:color="auto" w:fill="auto"/>
        <w:tabs>
          <w:tab w:pos="370" w:val="left"/>
        </w:tabs>
        <w:bidi w:val="0"/>
        <w:spacing w:before="0" w:after="300" w:line="240" w:lineRule="auto"/>
        <w:ind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73"/>
      <w:bookmarkEnd w:id="174"/>
      <w:bookmarkEnd w:id="176"/>
    </w:p>
    <w:p>
      <w:pPr>
        <w:pStyle w:val="Style4"/>
        <w:keepNext/>
        <w:keepLines/>
        <w:widowControl w:val="0"/>
        <w:numPr>
          <w:ilvl w:val="0"/>
          <w:numId w:val="1"/>
        </w:numPr>
        <w:shd w:val="clear" w:color="auto" w:fill="auto"/>
        <w:tabs>
          <w:tab w:pos="529" w:val="left"/>
        </w:tabs>
        <w:bidi w:val="0"/>
        <w:spacing w:before="0" w:line="240" w:lineRule="auto"/>
        <w:ind w:left="0" w:right="0" w:firstLine="0"/>
        <w:jc w:val="center"/>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Ochrana a zpracování osobních údajů</w:t>
      </w:r>
      <w:bookmarkEnd w:id="177"/>
      <w:bookmarkEnd w:id="178"/>
      <w:bookmarkEnd w:id="180"/>
    </w:p>
    <w:p>
      <w:pPr>
        <w:pStyle w:val="Style16"/>
        <w:keepNext/>
        <w:keepLines/>
        <w:widowControl w:val="0"/>
        <w:shd w:val="clear" w:color="auto" w:fill="auto"/>
        <w:bidi w:val="0"/>
        <w:spacing w:before="0" w:after="300" w:line="240" w:lineRule="auto"/>
        <w:ind w:right="0" w:firstLine="4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81"/>
      <w:bookmarkEnd w:id="182"/>
      <w:bookmarkEnd w:id="183"/>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Závěrečná ujednání</w:t>
      </w:r>
      <w:bookmarkEnd w:id="184"/>
      <w:bookmarkEnd w:id="185"/>
      <w:bookmarkEnd w:id="187"/>
    </w:p>
    <w:p>
      <w:pPr>
        <w:pStyle w:val="Style16"/>
        <w:keepNext/>
        <w:keepLines/>
        <w:widowControl w:val="0"/>
        <w:numPr>
          <w:ilvl w:val="0"/>
          <w:numId w:val="21"/>
        </w:numPr>
        <w:shd w:val="clear" w:color="auto" w:fill="auto"/>
        <w:tabs>
          <w:tab w:pos="370" w:val="left"/>
        </w:tabs>
        <w:bidi w:val="0"/>
        <w:spacing w:before="0" w:line="240" w:lineRule="auto"/>
        <w:ind w:right="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88"/>
      <w:bookmarkEnd w:id="189"/>
      <w:bookmarkEnd w:id="191"/>
    </w:p>
    <w:p>
      <w:pPr>
        <w:pStyle w:val="Style16"/>
        <w:keepNext/>
        <w:keepLines/>
        <w:widowControl w:val="0"/>
        <w:numPr>
          <w:ilvl w:val="0"/>
          <w:numId w:val="21"/>
        </w:numPr>
        <w:shd w:val="clear" w:color="auto" w:fill="auto"/>
        <w:tabs>
          <w:tab w:pos="370" w:val="left"/>
        </w:tabs>
        <w:bidi w:val="0"/>
        <w:spacing w:before="0" w:line="240" w:lineRule="auto"/>
        <w:ind w:right="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92"/>
      <w:bookmarkEnd w:id="193"/>
      <w:bookmarkEnd w:id="195"/>
    </w:p>
    <w:p>
      <w:pPr>
        <w:pStyle w:val="Style16"/>
        <w:keepNext/>
        <w:keepLines/>
        <w:widowControl w:val="0"/>
        <w:numPr>
          <w:ilvl w:val="0"/>
          <w:numId w:val="21"/>
        </w:numPr>
        <w:shd w:val="clear" w:color="auto" w:fill="auto"/>
        <w:tabs>
          <w:tab w:pos="370" w:val="left"/>
        </w:tabs>
        <w:bidi w:val="0"/>
        <w:spacing w:before="0" w:line="240" w:lineRule="auto"/>
        <w:ind w:right="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96"/>
      <w:bookmarkEnd w:id="197"/>
      <w:bookmarkEnd w:id="199"/>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w:t>
        <w:br w:type="page"/>
      </w:r>
      <w:r>
        <w:rPr>
          <w:color w:val="000000"/>
          <w:spacing w:val="0"/>
          <w:w w:val="100"/>
          <w:position w:val="0"/>
          <w:shd w:val="clear" w:color="auto" w:fill="auto"/>
          <w:lang w:val="cs-CZ" w:eastAsia="cs-CZ" w:bidi="cs-CZ"/>
        </w:rPr>
        <w:t>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line="240" w:lineRule="auto"/>
        <w:ind w:left="36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6"/>
        <w:keepNext/>
        <w:keepLines/>
        <w:widowControl w:val="0"/>
        <w:numPr>
          <w:ilvl w:val="0"/>
          <w:numId w:val="21"/>
        </w:numPr>
        <w:shd w:val="clear" w:color="auto" w:fill="auto"/>
        <w:tabs>
          <w:tab w:pos="359" w:val="left"/>
        </w:tabs>
        <w:bidi w:val="0"/>
        <w:spacing w:before="0" w:line="240" w:lineRule="auto"/>
        <w:ind w:right="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200"/>
      <w:bookmarkEnd w:id="201"/>
      <w:bookmarkEnd w:id="203"/>
    </w:p>
    <w:p>
      <w:pPr>
        <w:pStyle w:val="Style16"/>
        <w:keepNext/>
        <w:keepLines/>
        <w:widowControl w:val="0"/>
        <w:numPr>
          <w:ilvl w:val="0"/>
          <w:numId w:val="21"/>
        </w:numPr>
        <w:shd w:val="clear" w:color="auto" w:fill="auto"/>
        <w:tabs>
          <w:tab w:pos="359" w:val="left"/>
        </w:tabs>
        <w:bidi w:val="0"/>
        <w:spacing w:before="0" w:line="240" w:lineRule="auto"/>
        <w:ind w:left="440" w:right="0" w:hanging="440"/>
        <w:jc w:val="left"/>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204"/>
      <w:bookmarkEnd w:id="205"/>
      <w:bookmarkEnd w:id="207"/>
    </w:p>
    <w:p>
      <w:pPr>
        <w:pStyle w:val="Style16"/>
        <w:keepNext/>
        <w:keepLines/>
        <w:widowControl w:val="0"/>
        <w:numPr>
          <w:ilvl w:val="0"/>
          <w:numId w:val="21"/>
        </w:numPr>
        <w:shd w:val="clear" w:color="auto" w:fill="auto"/>
        <w:tabs>
          <w:tab w:pos="359" w:val="left"/>
        </w:tabs>
        <w:bidi w:val="0"/>
        <w:spacing w:before="0" w:line="240" w:lineRule="auto"/>
        <w:ind w:right="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08"/>
      <w:bookmarkEnd w:id="209"/>
      <w:bookmarkEnd w:id="211"/>
    </w:p>
    <w:p>
      <w:pPr>
        <w:pStyle w:val="Style16"/>
        <w:keepNext/>
        <w:keepLines/>
        <w:widowControl w:val="0"/>
        <w:numPr>
          <w:ilvl w:val="0"/>
          <w:numId w:val="21"/>
        </w:numPr>
        <w:shd w:val="clear" w:color="auto" w:fill="auto"/>
        <w:tabs>
          <w:tab w:pos="359" w:val="left"/>
        </w:tabs>
        <w:bidi w:val="0"/>
        <w:spacing w:before="0" w:line="240" w:lineRule="auto"/>
        <w:ind w:right="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12"/>
      <w:bookmarkEnd w:id="213"/>
      <w:bookmarkEnd w:id="215"/>
    </w:p>
    <w:p>
      <w:pPr>
        <w:pStyle w:val="Style16"/>
        <w:keepNext/>
        <w:keepLines/>
        <w:widowControl w:val="0"/>
        <w:numPr>
          <w:ilvl w:val="0"/>
          <w:numId w:val="21"/>
        </w:numPr>
        <w:shd w:val="clear" w:color="auto" w:fill="auto"/>
        <w:tabs>
          <w:tab w:pos="359" w:val="left"/>
        </w:tabs>
        <w:bidi w:val="0"/>
        <w:spacing w:before="0" w:line="240" w:lineRule="auto"/>
        <w:ind w:left="0" w:right="0" w:firstLine="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Smluvní strany nepovažují žádné ustanovení smlouvy za obchodní tajemství.</w:t>
      </w:r>
      <w:bookmarkEnd w:id="216"/>
      <w:bookmarkEnd w:id="217"/>
      <w:bookmarkEnd w:id="219"/>
    </w:p>
    <w:p>
      <w:pPr>
        <w:pStyle w:val="Style16"/>
        <w:keepNext/>
        <w:keepLines/>
        <w:widowControl w:val="0"/>
        <w:numPr>
          <w:ilvl w:val="0"/>
          <w:numId w:val="21"/>
        </w:numPr>
        <w:shd w:val="clear" w:color="auto" w:fill="auto"/>
        <w:tabs>
          <w:tab w:pos="359" w:val="left"/>
        </w:tabs>
        <w:bidi w:val="0"/>
        <w:spacing w:before="0" w:line="240" w:lineRule="auto"/>
        <w:ind w:left="0" w:right="0" w:firstLine="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Nedílnou součástí smlouvy je příloha č.1: Technická specifikace</w:t>
      </w:r>
      <w:bookmarkEnd w:id="220"/>
      <w:bookmarkEnd w:id="221"/>
      <w:bookmarkEnd w:id="223"/>
    </w:p>
    <w:p>
      <w:pPr>
        <w:pStyle w:val="Style16"/>
        <w:keepNext/>
        <w:keepLines/>
        <w:widowControl w:val="0"/>
        <w:numPr>
          <w:ilvl w:val="0"/>
          <w:numId w:val="21"/>
        </w:numPr>
        <w:shd w:val="clear" w:color="auto" w:fill="auto"/>
        <w:tabs>
          <w:tab w:pos="462" w:val="left"/>
        </w:tabs>
        <w:bidi w:val="0"/>
        <w:spacing w:before="0" w:after="440" w:line="240" w:lineRule="auto"/>
        <w:ind w:right="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24"/>
      <w:bookmarkEnd w:id="225"/>
      <w:bookmarkEnd w:id="227"/>
    </w:p>
    <w:p>
      <w:pPr>
        <w:pStyle w:val="Style2"/>
        <w:keepNext w:val="0"/>
        <w:keepLines w:val="0"/>
        <w:widowControl w:val="0"/>
        <w:shd w:val="clear" w:color="auto" w:fill="auto"/>
        <w:tabs>
          <w:tab w:pos="1859" w:val="left"/>
          <w:tab w:leader="dot" w:pos="3614" w:val="left"/>
        </w:tabs>
        <w:bidi w:val="0"/>
        <w:spacing w:before="0" w:after="0" w:line="240" w:lineRule="auto"/>
        <w:ind w:left="0" w:right="0" w:firstLine="0"/>
        <w:jc w:val="left"/>
      </w:pPr>
      <w:r>
        <mc:AlternateContent>
          <mc:Choice Requires="wps">
            <w:drawing>
              <wp:anchor distT="0" distB="1771015" distL="114300" distR="440055" simplePos="0" relativeHeight="125829382" behindDoc="0" locked="0" layoutInCell="1" allowOverlap="1">
                <wp:simplePos x="0" y="0"/>
                <wp:positionH relativeFrom="page">
                  <wp:posOffset>4034790</wp:posOffset>
                </wp:positionH>
                <wp:positionV relativeFrom="paragraph">
                  <wp:posOffset>12700</wp:posOffset>
                </wp:positionV>
                <wp:extent cx="1862455" cy="228600"/>
                <wp:wrapSquare wrapText="left"/>
                <wp:docPr id="5" name="Shape 5"/>
                <a:graphic xmlns:a="http://schemas.openxmlformats.org/drawingml/2006/main">
                  <a:graphicData uri="http://schemas.microsoft.com/office/word/2010/wordprocessingShape">
                    <wps:wsp>
                      <wps:cNvSpPr txBox="1"/>
                      <wps:spPr>
                        <a:xfrm>
                          <a:ext cx="186245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Chomutově dne 7.3.2025</w:t>
                            </w:r>
                          </w:p>
                        </w:txbxContent>
                      </wps:txbx>
                      <wps:bodyPr wrap="none" lIns="0" tIns="0" rIns="0" bIns="0">
                        <a:noAutoFit/>
                      </wps:bodyPr>
                    </wps:wsp>
                  </a:graphicData>
                </a:graphic>
              </wp:anchor>
            </w:drawing>
          </mc:Choice>
          <mc:Fallback>
            <w:pict>
              <v:shape id="_x0000_s1031" type="#_x0000_t202" style="position:absolute;margin-left:317.69999999999999pt;margin-top:1.pt;width:146.65000000000001pt;height:18.pt;z-index:-125829371;mso-wrap-distance-left:9.pt;mso-wrap-distance-right:34.649999999999999pt;mso-wrap-distance-bottom:139.45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Chomutově dne 7.3.2025</w:t>
                      </w:r>
                    </w:p>
                  </w:txbxContent>
                </v:textbox>
                <w10:wrap type="square" side="left" anchorx="page"/>
              </v:shape>
            </w:pict>
          </mc:Fallback>
        </mc:AlternateContent>
      </w:r>
      <w:r>
        <mc:AlternateContent>
          <mc:Choice Requires="wps">
            <w:drawing>
              <wp:anchor distT="328930" distB="1445260" distL="114300" distR="1381760" simplePos="0" relativeHeight="125829384" behindDoc="0" locked="0" layoutInCell="1" allowOverlap="1">
                <wp:simplePos x="0" y="0"/>
                <wp:positionH relativeFrom="page">
                  <wp:posOffset>4034790</wp:posOffset>
                </wp:positionH>
                <wp:positionV relativeFrom="paragraph">
                  <wp:posOffset>341630</wp:posOffset>
                </wp:positionV>
                <wp:extent cx="920750" cy="225425"/>
                <wp:wrapSquare wrapText="left"/>
                <wp:docPr id="7" name="Shape 7"/>
                <a:graphic xmlns:a="http://schemas.openxmlformats.org/drawingml/2006/main">
                  <a:graphicData uri="http://schemas.microsoft.com/office/word/2010/wordprocessingShape">
                    <wps:wsp>
                      <wps:cNvSpPr txBox="1"/>
                      <wps:spPr>
                        <a:xfrm>
                          <a:ext cx="92075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za Kupujícího:</w:t>
                            </w:r>
                          </w:p>
                        </w:txbxContent>
                      </wps:txbx>
                      <wps:bodyPr wrap="none" lIns="0" tIns="0" rIns="0" bIns="0">
                        <a:noAutoFit/>
                      </wps:bodyPr>
                    </wps:wsp>
                  </a:graphicData>
                </a:graphic>
              </wp:anchor>
            </w:drawing>
          </mc:Choice>
          <mc:Fallback>
            <w:pict>
              <v:shape id="_x0000_s1033" type="#_x0000_t202" style="position:absolute;margin-left:317.69999999999999pt;margin-top:26.900000000000002pt;width:72.5pt;height:17.75pt;z-index:-125829369;mso-wrap-distance-left:9.pt;mso-wrap-distance-top:25.900000000000002pt;mso-wrap-distance-right:108.8pt;mso-wrap-distance-bottom:113.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za Kupujícího:</w:t>
                      </w:r>
                    </w:p>
                  </w:txbxContent>
                </v:textbox>
                <w10:wrap type="square" side="left" anchorx="page"/>
              </v:shape>
            </w:pict>
          </mc:Fallback>
        </mc:AlternateContent>
      </w:r>
      <w:r>
        <mc:AlternateContent>
          <mc:Choice Requires="wps">
            <w:drawing>
              <wp:anchor distT="1450975" distB="0" distL="614045" distR="114300" simplePos="0" relativeHeight="125829386" behindDoc="0" locked="0" layoutInCell="1" allowOverlap="1">
                <wp:simplePos x="0" y="0"/>
                <wp:positionH relativeFrom="page">
                  <wp:posOffset>4534535</wp:posOffset>
                </wp:positionH>
                <wp:positionV relativeFrom="paragraph">
                  <wp:posOffset>1463675</wp:posOffset>
                </wp:positionV>
                <wp:extent cx="1688465" cy="548640"/>
                <wp:wrapSquare wrapText="left"/>
                <wp:docPr id="9" name="Shape 9"/>
                <a:graphic xmlns:a="http://schemas.openxmlformats.org/drawingml/2006/main">
                  <a:graphicData uri="http://schemas.microsoft.com/office/word/2010/wordprocessingShape">
                    <wps:wsp>
                      <wps:cNvSpPr txBox="1"/>
                      <wps:spPr>
                        <a:xfrm>
                          <a:ext cx="168846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w:t>
                              <w:br/>
                              <w:t>ekonomický ředitel</w:t>
                            </w:r>
                          </w:p>
                        </w:txbxContent>
                      </wps:txbx>
                      <wps:bodyPr lIns="0" tIns="0" rIns="0" bIns="0">
                        <a:noAutoFit/>
                      </wps:bodyPr>
                    </wps:wsp>
                  </a:graphicData>
                </a:graphic>
              </wp:anchor>
            </w:drawing>
          </mc:Choice>
          <mc:Fallback>
            <w:pict>
              <v:shape id="_x0000_s1035" type="#_x0000_t202" style="position:absolute;margin-left:357.05000000000001pt;margin-top:115.25pt;width:132.94999999999999pt;height:43.200000000000003pt;z-index:-125829367;mso-wrap-distance-left:48.350000000000001pt;mso-wrap-distance-top:114.25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w:t>
                        <w:br/>
                        <w:t>ekonomický ředitel</w:t>
                      </w:r>
                    </w:p>
                  </w:txbxContent>
                </v:textbox>
                <w10:wrap type="square" side="left" anchorx="page"/>
              </v:shape>
            </w:pict>
          </mc:Fallback>
        </mc:AlternateContent>
      </w:r>
      <w:r>
        <w:rPr>
          <w:color w:val="000000"/>
          <w:spacing w:val="0"/>
          <w:w w:val="100"/>
          <w:position w:val="0"/>
          <w:shd w:val="clear" w:color="auto" w:fill="auto"/>
          <w:lang w:val="cs-CZ" w:eastAsia="cs-CZ" w:bidi="cs-CZ"/>
        </w:rPr>
        <w:t>V Českých 4.3.2025 Budějovicích dne</w:t>
        <w:tab/>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1460" w:line="240" w:lineRule="auto"/>
        <w:ind w:left="0" w:right="0" w:firstLine="0"/>
        <w:jc w:val="both"/>
      </w:pPr>
      <w:r>
        <w:rPr>
          <w:color w:val="000000"/>
          <w:spacing w:val="0"/>
          <w:w w:val="100"/>
          <w:position w:val="0"/>
          <w:shd w:val="clear" w:color="auto" w:fill="auto"/>
          <w:lang w:val="cs-CZ" w:eastAsia="cs-CZ" w:bidi="cs-CZ"/>
        </w:rPr>
        <w:t>za Prodávajícího:</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AGROZET České Budějovice a. s.</w:t>
        <w:br/>
        <w:t>xxxxxxxxx</w:t>
        <w:br/>
        <w:t>Obchodní manager</w:t>
        <w:br/>
        <w:t>Na základě plné moci</w:t>
      </w:r>
    </w:p>
    <w:p>
      <w:pPr>
        <w:pStyle w:val="Style2"/>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shd w:val="clear" w:color="auto" w:fill="auto"/>
          <w:lang w:val="cs-CZ" w:eastAsia="cs-CZ" w:bidi="cs-CZ"/>
        </w:rPr>
        <w:t>Příloha č. 1 ke Kupní smlouvě prodávajícího č. 2025-001-1931-C a kupujícího č. 218/2025</w:t>
      </w:r>
    </w:p>
    <w:p>
      <w:pPr>
        <w:pStyle w:val="Style23"/>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28" w:name="bookmark228"/>
      <w:bookmarkEnd w:id="228"/>
      <w:r>
        <w:rPr>
          <w:color w:val="000000"/>
          <w:spacing w:val="0"/>
          <w:w w:val="100"/>
          <w:position w:val="0"/>
          <w:shd w:val="clear" w:color="auto" w:fill="auto"/>
          <w:lang w:val="cs-CZ" w:eastAsia="cs-CZ" w:bidi="cs-CZ"/>
        </w:rPr>
        <w:t>Čelní šípový pluh</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29" w:name="bookmark229"/>
      <w:bookmarkEnd w:id="229"/>
      <w:r>
        <w:rPr>
          <w:color w:val="000000"/>
          <w:spacing w:val="0"/>
          <w:w w:val="100"/>
          <w:position w:val="0"/>
          <w:shd w:val="clear" w:color="auto" w:fill="auto"/>
          <w:lang w:val="cs-CZ" w:eastAsia="cs-CZ" w:bidi="cs-CZ"/>
        </w:rPr>
        <w:t>Pracovní záběr v nastavení šíp 2680 mm</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0" w:name="bookmark230"/>
      <w:bookmarkEnd w:id="230"/>
      <w:r>
        <w:rPr>
          <w:color w:val="000000"/>
          <w:spacing w:val="0"/>
          <w:w w:val="100"/>
          <w:position w:val="0"/>
          <w:shd w:val="clear" w:color="auto" w:fill="auto"/>
          <w:lang w:val="cs-CZ" w:eastAsia="cs-CZ" w:bidi="cs-CZ"/>
        </w:rPr>
        <w:t>Pracovní záběr pracovní nastavení V 2460 mm</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1" w:name="bookmark231"/>
      <w:bookmarkEnd w:id="231"/>
      <w:r>
        <w:rPr>
          <w:color w:val="000000"/>
          <w:spacing w:val="0"/>
          <w:w w:val="100"/>
          <w:position w:val="0"/>
          <w:shd w:val="clear" w:color="auto" w:fill="auto"/>
          <w:lang w:val="cs-CZ" w:eastAsia="cs-CZ" w:bidi="cs-CZ"/>
        </w:rPr>
        <w:t>Výška min. 730 mm a max. 965 mm</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2" w:name="bookmark232"/>
      <w:bookmarkEnd w:id="232"/>
      <w:r>
        <w:rPr>
          <w:color w:val="000000"/>
          <w:spacing w:val="0"/>
          <w:w w:val="100"/>
          <w:position w:val="0"/>
          <w:shd w:val="clear" w:color="auto" w:fill="auto"/>
          <w:lang w:val="cs-CZ" w:eastAsia="cs-CZ" w:bidi="cs-CZ"/>
        </w:rPr>
        <w:t>Tříbodový závěs kat. 2</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3" w:name="bookmark233"/>
      <w:bookmarkEnd w:id="233"/>
      <w:r>
        <w:rPr>
          <w:color w:val="000000"/>
          <w:spacing w:val="0"/>
          <w:w w:val="100"/>
          <w:position w:val="0"/>
          <w:shd w:val="clear" w:color="auto" w:fill="auto"/>
          <w:lang w:val="cs-CZ" w:eastAsia="cs-CZ" w:bidi="cs-CZ"/>
        </w:rPr>
        <w:t>Dva hydraulické okruhy (4 hadice)</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4" w:name="bookmark234"/>
      <w:bookmarkEnd w:id="234"/>
      <w:r>
        <w:rPr>
          <w:color w:val="000000"/>
          <w:spacing w:val="0"/>
          <w:w w:val="100"/>
          <w:position w:val="0"/>
          <w:shd w:val="clear" w:color="auto" w:fill="auto"/>
          <w:lang w:val="cs-CZ" w:eastAsia="cs-CZ" w:bidi="cs-CZ"/>
        </w:rPr>
        <w:t>úhel otáčení -45°; 0°; +45°</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5" w:name="bookmark235"/>
      <w:bookmarkEnd w:id="235"/>
      <w:r>
        <w:rPr>
          <w:color w:val="000000"/>
          <w:spacing w:val="0"/>
          <w:w w:val="100"/>
          <w:position w:val="0"/>
          <w:shd w:val="clear" w:color="auto" w:fill="auto"/>
          <w:lang w:val="cs-CZ" w:eastAsia="cs-CZ" w:bidi="cs-CZ"/>
        </w:rPr>
        <w:t>břit pryž</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6" w:name="bookmark236"/>
      <w:bookmarkEnd w:id="236"/>
      <w:r>
        <w:rPr>
          <w:color w:val="000000"/>
          <w:spacing w:val="0"/>
          <w:w w:val="100"/>
          <w:position w:val="0"/>
          <w:shd w:val="clear" w:color="auto" w:fill="auto"/>
          <w:lang w:val="cs-CZ" w:eastAsia="cs-CZ" w:bidi="cs-CZ"/>
        </w:rPr>
        <w:t>opěrná noha</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7" w:name="bookmark237"/>
      <w:bookmarkEnd w:id="237"/>
      <w:r>
        <w:rPr>
          <w:color w:val="000000"/>
          <w:spacing w:val="0"/>
          <w:w w:val="100"/>
          <w:position w:val="0"/>
          <w:shd w:val="clear" w:color="auto" w:fill="auto"/>
          <w:lang w:val="cs-CZ" w:eastAsia="cs-CZ" w:bidi="cs-CZ"/>
        </w:rPr>
        <w:t>poziční osvětlení</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8" w:name="bookmark238"/>
      <w:bookmarkEnd w:id="238"/>
      <w:r>
        <w:rPr>
          <w:color w:val="000000"/>
          <w:spacing w:val="0"/>
          <w:w w:val="100"/>
          <w:position w:val="0"/>
          <w:shd w:val="clear" w:color="auto" w:fill="auto"/>
          <w:lang w:val="cs-CZ" w:eastAsia="cs-CZ" w:bidi="cs-CZ"/>
        </w:rPr>
        <w:t>opěrná kola solid</w:t>
      </w:r>
    </w:p>
    <w:p>
      <w:pPr>
        <w:pStyle w:val="Style2"/>
        <w:keepNext w:val="0"/>
        <w:keepLines w:val="0"/>
        <w:widowControl w:val="0"/>
        <w:numPr>
          <w:ilvl w:val="0"/>
          <w:numId w:val="23"/>
        </w:numPr>
        <w:shd w:val="clear" w:color="auto" w:fill="auto"/>
        <w:tabs>
          <w:tab w:pos="2660" w:val="left"/>
        </w:tabs>
        <w:bidi w:val="0"/>
        <w:spacing w:before="0" w:after="0" w:line="240" w:lineRule="auto"/>
        <w:ind w:left="2300" w:right="0" w:firstLine="0"/>
        <w:jc w:val="left"/>
      </w:pPr>
      <w:bookmarkStart w:id="239" w:name="bookmark239"/>
      <w:bookmarkEnd w:id="239"/>
      <w:r>
        <w:rPr>
          <w:color w:val="000000"/>
          <w:spacing w:val="0"/>
          <w:w w:val="100"/>
          <w:position w:val="0"/>
          <w:shd w:val="clear" w:color="auto" w:fill="auto"/>
          <w:lang w:val="cs-CZ" w:eastAsia="cs-CZ" w:bidi="cs-CZ"/>
        </w:rPr>
        <w:t>hydraulická pojistka proti nárazu</w:t>
      </w:r>
    </w:p>
    <w:sectPr>
      <w:headerReference w:type="default" r:id="rId5"/>
      <w:footerReference w:type="default" r:id="rId6"/>
      <w:footnotePr>
        <w:pos w:val="pageBottom"/>
        <w:numFmt w:val="decimal"/>
        <w:numRestart w:val="continuous"/>
      </w:footnotePr>
      <w:pgSz w:w="11909" w:h="16838"/>
      <w:pgMar w:top="1157" w:left="1393" w:right="1385" w:bottom="1402"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5840730</wp:posOffset>
              </wp:positionH>
              <wp:positionV relativeFrom="page">
                <wp:posOffset>9893935</wp:posOffset>
              </wp:positionV>
              <wp:extent cx="822960" cy="201295"/>
              <wp:wrapNone/>
              <wp:docPr id="13" name="Shape 1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wps:txbx>
                    <wps:bodyPr wrap="none" lIns="0" tIns="0" rIns="0" bIns="0">
                      <a:spAutoFit/>
                    </wps:bodyPr>
                  </wps:wsp>
                </a:graphicData>
              </a:graphic>
            </wp:anchor>
          </w:drawing>
        </mc:Choice>
        <mc:Fallback>
          <w:pict>
            <v:shape id="_x0000_s1039" type="#_x0000_t202" style="position:absolute;margin-left:459.90000000000003pt;margin-top:779.05000000000007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435610</wp:posOffset>
              </wp:positionV>
              <wp:extent cx="920750" cy="189230"/>
              <wp:wrapNone/>
              <wp:docPr id="11" name="Shape 1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7" type="#_x0000_t202" style="position:absolute;margin-left:451.94999999999999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ind w:left="360" w:hanging="360"/>
      <w:outlineLvl w:val="1"/>
    </w:pPr>
    <w:rPr>
      <w:rFonts w:ascii="Arial" w:eastAsia="Arial" w:hAnsi="Arial" w:cs="Arial"/>
      <w:b w:val="0"/>
      <w:bCs w:val="0"/>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42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Cinka Tomáš</dc:creator>
  <cp:keywords/>
</cp:coreProperties>
</file>