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62E8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071E46DD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11534A" w:rsidRPr="0011534A">
              <w:rPr>
                <w:rFonts w:cs="Arial"/>
                <w:b w:val="0"/>
                <w:bCs w:val="0"/>
                <w:sz w:val="56"/>
                <w:szCs w:val="56"/>
              </w:rPr>
              <w:t xml:space="preserve">*MMOPP00G0VDW*              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00C40926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E95585" w:rsidRPr="00E95585">
              <w:rPr>
                <w:rFonts w:ascii="Arial" w:hAnsi="Arial" w:cs="Arial"/>
                <w:bCs/>
                <w:sz w:val="20"/>
                <w:szCs w:val="20"/>
              </w:rPr>
              <w:t>MMOPP00G0V</w:t>
            </w:r>
            <w:r w:rsidR="0011534A">
              <w:rPr>
                <w:rFonts w:ascii="Arial" w:hAnsi="Arial" w:cs="Arial"/>
                <w:bCs/>
                <w:sz w:val="20"/>
                <w:szCs w:val="20"/>
              </w:rPr>
              <w:t>DW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5F522BE2" w:rsidR="003B124A" w:rsidRDefault="008C0E1C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6455C2E8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E95585">
              <w:rPr>
                <w:rFonts w:ascii="Arial" w:hAnsi="Arial"/>
                <w:b/>
                <w:sz w:val="20"/>
                <w:szCs w:val="20"/>
              </w:rPr>
              <w:t>79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E95585">
              <w:rPr>
                <w:rFonts w:ascii="Arial" w:hAnsi="Arial"/>
                <w:b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3D8809FA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proofErr w:type="spellStart"/>
            <w:r w:rsidR="008C0E1C"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0261C" w14:paraId="7872F118" w14:textId="77777777">
        <w:trPr>
          <w:trHeight w:val="357"/>
        </w:trPr>
        <w:tc>
          <w:tcPr>
            <w:tcW w:w="2320" w:type="dxa"/>
          </w:tcPr>
          <w:p w14:paraId="57D3138D" w14:textId="77777777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721E4C9A" w:rsidR="00A0261C" w:rsidRDefault="00A0261C" w:rsidP="00A0261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Myslivecký spolek SOSEŇ </w:t>
            </w:r>
          </w:p>
        </w:tc>
      </w:tr>
      <w:tr w:rsidR="00A0261C" w14:paraId="2B54D3F2" w14:textId="77777777">
        <w:trPr>
          <w:trHeight w:val="357"/>
        </w:trPr>
        <w:tc>
          <w:tcPr>
            <w:tcW w:w="2320" w:type="dxa"/>
          </w:tcPr>
          <w:p w14:paraId="6C98191B" w14:textId="77777777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79B30586" w:rsidR="00A0261C" w:rsidRDefault="00A0261C" w:rsidP="00A0261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č.p. 28, 747 51 Stěbořice</w:t>
            </w:r>
          </w:p>
        </w:tc>
      </w:tr>
      <w:tr w:rsidR="00A0261C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7777777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4FE41E05" w:rsidR="00A0261C" w:rsidRDefault="00A0261C" w:rsidP="00A0261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65888812</w:t>
            </w:r>
          </w:p>
        </w:tc>
      </w:tr>
      <w:tr w:rsidR="00A0261C" w14:paraId="15194EDA" w14:textId="77777777">
        <w:trPr>
          <w:trHeight w:val="357"/>
        </w:trPr>
        <w:tc>
          <w:tcPr>
            <w:tcW w:w="2320" w:type="dxa"/>
          </w:tcPr>
          <w:p w14:paraId="78E1D91E" w14:textId="77777777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7D0D9F2B" w:rsidR="00A0261C" w:rsidRDefault="00A0261C" w:rsidP="00A0261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1663 </w:t>
            </w:r>
          </w:p>
        </w:tc>
      </w:tr>
      <w:tr w:rsidR="00A0261C" w14:paraId="7A3EDE09" w14:textId="77777777">
        <w:trPr>
          <w:trHeight w:val="357"/>
        </w:trPr>
        <w:tc>
          <w:tcPr>
            <w:tcW w:w="2320" w:type="dxa"/>
          </w:tcPr>
          <w:p w14:paraId="06F2C7C8" w14:textId="77777777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2FFD7907" w:rsidR="00A0261C" w:rsidRDefault="008C0E1C" w:rsidP="00A0261C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</w:p>
        </w:tc>
      </w:tr>
      <w:tr w:rsidR="00A0261C" w14:paraId="1F830D41" w14:textId="77777777">
        <w:trPr>
          <w:trHeight w:val="357"/>
        </w:trPr>
        <w:tc>
          <w:tcPr>
            <w:tcW w:w="2320" w:type="dxa"/>
          </w:tcPr>
          <w:p w14:paraId="58D906AA" w14:textId="77777777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057C4666" w:rsidR="00A0261C" w:rsidRDefault="00CE75F1" w:rsidP="00A0261C">
            <w:pPr>
              <w:rPr>
                <w:rFonts w:ascii="Arial" w:hAnsi="Arial"/>
                <w:b/>
                <w:sz w:val="20"/>
                <w:szCs w:val="20"/>
              </w:rPr>
            </w:pPr>
            <w:r w:rsidRPr="00CE75F1">
              <w:rPr>
                <w:rFonts w:ascii="Arial" w:hAnsi="Arial"/>
                <w:b/>
                <w:sz w:val="20"/>
                <w:szCs w:val="20"/>
              </w:rPr>
              <w:t>Raiffeisenbank a.s.</w:t>
            </w:r>
          </w:p>
        </w:tc>
      </w:tr>
      <w:tr w:rsidR="00A0261C" w14:paraId="0415426B" w14:textId="77777777">
        <w:trPr>
          <w:trHeight w:val="357"/>
        </w:trPr>
        <w:tc>
          <w:tcPr>
            <w:tcW w:w="2320" w:type="dxa"/>
          </w:tcPr>
          <w:p w14:paraId="01A03E53" w14:textId="77777777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52C77376" w:rsidR="00A0261C" w:rsidRPr="001255DA" w:rsidRDefault="00A0261C" w:rsidP="00A0261C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</w:t>
            </w:r>
            <w:proofErr w:type="spellStart"/>
            <w:r w:rsidR="008C0E1C" w:rsidRPr="002F7F0A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xxxxxxxxxxxxxxxxxxx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A0261C" w14:paraId="10AA7E18" w14:textId="77777777">
        <w:trPr>
          <w:trHeight w:val="357"/>
        </w:trPr>
        <w:tc>
          <w:tcPr>
            <w:tcW w:w="2320" w:type="dxa"/>
          </w:tcPr>
          <w:p w14:paraId="3EA1A869" w14:textId="55F2F4DA" w:rsidR="00A0261C" w:rsidRDefault="00A0261C" w:rsidP="00A026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Pr="00314C2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5AC69E0F" w14:textId="00A5F998" w:rsidR="00A0261C" w:rsidRDefault="00A0261C" w:rsidP="00A0261C">
            <w:pPr>
              <w:rPr>
                <w:rFonts w:ascii="Arial" w:hAnsi="Arial"/>
                <w:b/>
                <w:sz w:val="20"/>
                <w:szCs w:val="20"/>
              </w:rPr>
            </w:pPr>
            <w:r w:rsidRPr="003C42F4">
              <w:rPr>
                <w:rFonts w:ascii="Arial" w:hAnsi="Arial"/>
                <w:b/>
                <w:sz w:val="20"/>
                <w:szCs w:val="20"/>
              </w:rPr>
              <w:t>pu68uqh</w:t>
            </w:r>
          </w:p>
        </w:tc>
      </w:tr>
      <w:tr w:rsidR="00780C79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780C79" w:rsidRDefault="00780C79" w:rsidP="00780C79"/>
        </w:tc>
        <w:tc>
          <w:tcPr>
            <w:tcW w:w="7319" w:type="dxa"/>
            <w:gridSpan w:val="4"/>
          </w:tcPr>
          <w:p w14:paraId="517B81B9" w14:textId="77777777" w:rsidR="00780C79" w:rsidRDefault="00780C79" w:rsidP="00780C79"/>
        </w:tc>
      </w:tr>
      <w:tr w:rsidR="00780C79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780C79" w:rsidRDefault="00780C79" w:rsidP="00780C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053110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bookmarkStart w:id="0" w:name="_Hlk190277876"/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>ouladu s jejím účelovým určením a splnit další povinnosti stanovené touto smlouvou</w:t>
      </w:r>
      <w:bookmarkEnd w:id="0"/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7A64EFFE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542534">
        <w:rPr>
          <w:rFonts w:ascii="Arial" w:hAnsi="Arial" w:cs="Arial"/>
          <w:b/>
          <w:bCs/>
          <w:sz w:val="20"/>
          <w:szCs w:val="20"/>
        </w:rPr>
        <w:t>1</w:t>
      </w:r>
      <w:r w:rsidR="007437B1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CD9FB28" w14:textId="77777777" w:rsidR="008509EA" w:rsidRDefault="008509EA" w:rsidP="003F0DC7">
      <w:pPr>
        <w:pStyle w:val="lnek"/>
        <w:rPr>
          <w:b/>
        </w:rPr>
      </w:pPr>
      <w:bookmarkStart w:id="1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018F98C4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A0261C" w:rsidRPr="00A0261C">
        <w:rPr>
          <w:rFonts w:ascii="Arial" w:hAnsi="Arial" w:cs="Arial"/>
          <w:sz w:val="20"/>
          <w:szCs w:val="20"/>
        </w:rPr>
        <w:t xml:space="preserve">výdaje na zlepšení ekologie krajiny a propagace myslivosti, nákup a výsadba stromků, </w:t>
      </w:r>
      <w:proofErr w:type="spellStart"/>
      <w:r w:rsidR="00A0261C" w:rsidRPr="00A0261C">
        <w:rPr>
          <w:rFonts w:ascii="Arial" w:hAnsi="Arial" w:cs="Arial"/>
          <w:sz w:val="20"/>
          <w:szCs w:val="20"/>
        </w:rPr>
        <w:t>zazvěřování</w:t>
      </w:r>
      <w:proofErr w:type="spellEnd"/>
      <w:r w:rsidR="00A0261C" w:rsidRPr="00A0261C">
        <w:rPr>
          <w:rFonts w:ascii="Arial" w:hAnsi="Arial" w:cs="Arial"/>
          <w:sz w:val="20"/>
          <w:szCs w:val="20"/>
        </w:rPr>
        <w:t xml:space="preserve"> honitby, opravy mysliveckých zařízení, péči o zvěř v době strádání, organizace sportovních aktivit na střelnici a náklady spojené s celkovou činností a provozem spolku.</w:t>
      </w:r>
    </w:p>
    <w:bookmarkEnd w:id="1"/>
    <w:p w14:paraId="572C4E6A" w14:textId="77777777"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22D93976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635D14"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5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635D14"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5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635D14"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5</w:t>
      </w:r>
      <w:r w:rsidR="00006FF0">
        <w:rPr>
          <w:rFonts w:ascii="Arial" w:hAnsi="Arial" w:cs="Arial"/>
          <w:sz w:val="20"/>
          <w:szCs w:val="20"/>
        </w:rPr>
        <w:t>.</w:t>
      </w: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55FD333B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bookmarkStart w:id="2" w:name="_Hlk190277690"/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CA3152" w:rsidRPr="00CA3152">
        <w:rPr>
          <w:rFonts w:ascii="Arial" w:hAnsi="Arial" w:cs="Arial"/>
          <w:sz w:val="20"/>
          <w:szCs w:val="20"/>
        </w:rPr>
        <w:t xml:space="preserve"> </w:t>
      </w:r>
      <w:r w:rsidR="00CA3152">
        <w:rPr>
          <w:rFonts w:ascii="Arial" w:hAnsi="Arial" w:cs="Arial"/>
          <w:sz w:val="20"/>
          <w:szCs w:val="20"/>
        </w:rPr>
        <w:t>číslo účtu 1842619349/0800</w:t>
      </w:r>
      <w:r w:rsidR="00B80602">
        <w:rPr>
          <w:rFonts w:ascii="Arial" w:hAnsi="Arial" w:cs="Arial"/>
          <w:sz w:val="20"/>
          <w:szCs w:val="20"/>
        </w:rPr>
        <w:t>,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917D69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3A660D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4C85007B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1A4FA690" w14:textId="77777777" w:rsidR="00CC1529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</w:t>
      </w:r>
      <w:r w:rsidR="008A6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58FE0511" w14:textId="64191B06" w:rsidR="00734E83" w:rsidRDefault="00CC1529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CC1529">
        <w:rPr>
          <w:rFonts w:ascii="Arial" w:hAnsi="Arial" w:cs="Arial"/>
          <w:sz w:val="20"/>
          <w:szCs w:val="20"/>
        </w:rPr>
        <w:t>4.12. tvorba kapitálového jmění,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2415469A" w14:textId="3FFABB70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CC152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36064FCE" w14:textId="45122B45" w:rsidR="008A6714" w:rsidRPr="00D50995" w:rsidRDefault="008A6714" w:rsidP="008A671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vyúčtování poskytnuté dotace ve lhůtě do 31</w:t>
      </w:r>
      <w:r w:rsidRPr="00810EE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940C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br/>
      </w:r>
      <w:r w:rsidR="00C144CA" w:rsidRPr="00C144CA">
        <w:rPr>
          <w:rFonts w:ascii="Arial" w:hAnsi="Arial" w:cs="Arial"/>
          <w:sz w:val="20"/>
          <w:szCs w:val="20"/>
        </w:rPr>
        <w:t>na úřad městské části Zlatníky, 6. května 79/19, 746 01 Opava-Zlatníky</w:t>
      </w:r>
      <w:r>
        <w:rPr>
          <w:rFonts w:ascii="Arial" w:hAnsi="Arial" w:cs="Arial"/>
          <w:sz w:val="20"/>
          <w:szCs w:val="20"/>
        </w:rPr>
        <w:t>,</w:t>
      </w:r>
      <w:r w:rsidRPr="00955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přičemž je povinen v termínu do </w:t>
      </w:r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</w:t>
      </w:r>
      <w:r>
        <w:rPr>
          <w:rFonts w:ascii="Arial" w:hAnsi="Arial" w:cs="Arial"/>
          <w:iCs/>
          <w:sz w:val="20"/>
          <w:szCs w:val="20"/>
        </w:rPr>
        <w:t>12</w:t>
      </w:r>
      <w:r w:rsidRPr="00447507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202</w:t>
      </w:r>
      <w:r w:rsidR="00C144CA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>
        <w:rPr>
          <w:rFonts w:ascii="Arial" w:hAnsi="Arial" w:cs="Arial"/>
          <w:sz w:val="20"/>
          <w:szCs w:val="20"/>
        </w:rPr>
        <w:br/>
        <w:t>a případně jaká.</w:t>
      </w:r>
      <w:r w:rsidRPr="00D50995">
        <w:rPr>
          <w:rFonts w:ascii="Arial" w:hAnsi="Arial" w:cs="Arial"/>
          <w:sz w:val="20"/>
          <w:szCs w:val="20"/>
        </w:rPr>
        <w:t xml:space="preserve">  </w:t>
      </w:r>
    </w:p>
    <w:p w14:paraId="7E646CBC" w14:textId="77777777"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14:paraId="6DAC73E3" w14:textId="77777777"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27D60B66" w:rsidR="0033518C" w:rsidRPr="007D0795" w:rsidRDefault="00CC1529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5FCAC980" w:rsidR="003F372F" w:rsidRDefault="000727FD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727FD">
        <w:rPr>
          <w:rFonts w:ascii="Arial" w:hAnsi="Arial" w:cs="Arial"/>
          <w:sz w:val="20"/>
          <w:szCs w:val="20"/>
        </w:rPr>
        <w:t>Tato smlouva je sepsána ve třech stejnopisech s platností originálu, z nichž příjemce dotace obdrží jedno vyhotovení</w:t>
      </w:r>
      <w:r w:rsidR="00972CDD">
        <w:rPr>
          <w:rFonts w:ascii="Arial" w:hAnsi="Arial" w:cs="Arial"/>
          <w:sz w:val="20"/>
          <w:szCs w:val="20"/>
        </w:rPr>
        <w:t>,</w:t>
      </w:r>
      <w:r w:rsidRPr="000727FD">
        <w:rPr>
          <w:rFonts w:ascii="Arial" w:hAnsi="Arial" w:cs="Arial"/>
          <w:sz w:val="20"/>
          <w:szCs w:val="20"/>
        </w:rPr>
        <w:t xml:space="preserve"> poskytovatel dotace dvě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4533A273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C144CA">
        <w:rPr>
          <w:rFonts w:ascii="Arial" w:hAnsi="Arial" w:cs="Arial"/>
          <w:sz w:val="20"/>
          <w:szCs w:val="20"/>
        </w:rPr>
        <w:t>24</w:t>
      </w:r>
      <w:r w:rsidR="008A6714">
        <w:rPr>
          <w:rFonts w:ascii="Arial" w:hAnsi="Arial" w:cs="Arial"/>
          <w:sz w:val="20"/>
          <w:szCs w:val="20"/>
        </w:rPr>
        <w:t>.02.</w:t>
      </w:r>
      <w:r w:rsidR="0084618C" w:rsidRPr="0084618C">
        <w:rPr>
          <w:rFonts w:ascii="Arial" w:hAnsi="Arial" w:cs="Arial"/>
          <w:sz w:val="20"/>
          <w:szCs w:val="20"/>
        </w:rPr>
        <w:t>202</w:t>
      </w:r>
      <w:r w:rsidR="00C144CA">
        <w:rPr>
          <w:rFonts w:ascii="Arial" w:hAnsi="Arial" w:cs="Arial"/>
          <w:sz w:val="20"/>
          <w:szCs w:val="20"/>
        </w:rPr>
        <w:t>5</w:t>
      </w:r>
      <w:r w:rsidR="0084618C" w:rsidRPr="0084618C">
        <w:rPr>
          <w:rFonts w:ascii="Arial" w:hAnsi="Arial" w:cs="Arial"/>
          <w:sz w:val="20"/>
          <w:szCs w:val="20"/>
        </w:rPr>
        <w:t xml:space="preserve"> usnesením č.</w:t>
      </w:r>
      <w:r w:rsidR="009B6DAA">
        <w:rPr>
          <w:rFonts w:ascii="Arial" w:hAnsi="Arial" w:cs="Arial"/>
          <w:sz w:val="20"/>
          <w:szCs w:val="20"/>
        </w:rPr>
        <w:t>96</w:t>
      </w:r>
      <w:r w:rsidR="008A6714">
        <w:rPr>
          <w:rFonts w:ascii="Arial" w:hAnsi="Arial" w:cs="Arial"/>
          <w:sz w:val="20"/>
          <w:szCs w:val="20"/>
        </w:rPr>
        <w:t>/</w:t>
      </w:r>
      <w:r w:rsidR="00C144CA">
        <w:rPr>
          <w:rFonts w:ascii="Arial" w:hAnsi="Arial" w:cs="Arial"/>
          <w:sz w:val="20"/>
          <w:szCs w:val="20"/>
        </w:rPr>
        <w:t>14</w:t>
      </w:r>
      <w:r w:rsidR="0084618C" w:rsidRPr="0084618C">
        <w:rPr>
          <w:rFonts w:ascii="Arial" w:hAnsi="Arial" w:cs="Arial"/>
          <w:sz w:val="20"/>
          <w:szCs w:val="20"/>
        </w:rPr>
        <w:t>/ZMČ</w:t>
      </w:r>
      <w:r w:rsidR="0042622E">
        <w:rPr>
          <w:rFonts w:ascii="Arial" w:hAnsi="Arial" w:cs="Arial"/>
          <w:sz w:val="20"/>
          <w:szCs w:val="20"/>
        </w:rPr>
        <w:t>/</w:t>
      </w:r>
      <w:r w:rsidR="0084618C" w:rsidRPr="0084618C">
        <w:rPr>
          <w:rFonts w:ascii="Arial" w:hAnsi="Arial" w:cs="Arial"/>
          <w:sz w:val="20"/>
          <w:szCs w:val="20"/>
        </w:rPr>
        <w:t>2</w:t>
      </w:r>
      <w:r w:rsidR="00C144CA">
        <w:rPr>
          <w:rFonts w:ascii="Arial" w:hAnsi="Arial" w:cs="Arial"/>
          <w:sz w:val="20"/>
          <w:szCs w:val="20"/>
        </w:rPr>
        <w:t>5</w:t>
      </w:r>
      <w:r w:rsidR="0084618C" w:rsidRPr="0084618C">
        <w:rPr>
          <w:rFonts w:ascii="Arial" w:hAnsi="Arial" w:cs="Arial"/>
          <w:sz w:val="20"/>
          <w:szCs w:val="20"/>
        </w:rPr>
        <w:t>.</w:t>
      </w:r>
    </w:p>
    <w:p w14:paraId="4C0D16E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787899C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45B077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64789E9F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2B4DA8E" w14:textId="6CE00355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68ECC205" w14:textId="74716EE2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3EB7C3F8" w14:textId="77777777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41EADE75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   </w:t>
      </w:r>
      <w:r w:rsidR="008C0E1C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7E754A">
        <w:rPr>
          <w:rFonts w:ascii="Arial" w:hAnsi="Arial" w:cs="Arial"/>
          <w:sz w:val="20"/>
          <w:szCs w:val="20"/>
        </w:rPr>
        <w:t xml:space="preserve">  </w:t>
      </w:r>
      <w:r w:rsidR="00972CDD">
        <w:rPr>
          <w:rFonts w:ascii="Arial" w:hAnsi="Arial" w:cs="Arial"/>
          <w:sz w:val="20"/>
          <w:szCs w:val="20"/>
        </w:rPr>
        <w:t xml:space="preserve">Ing. </w:t>
      </w:r>
      <w:proofErr w:type="spellStart"/>
      <w:r w:rsidR="008C0E1C" w:rsidRPr="002F7F0A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xxxxxxxxxxxxxxxxxxx</w:t>
      </w:r>
      <w:proofErr w:type="spellEnd"/>
    </w:p>
    <w:p w14:paraId="3E125C94" w14:textId="1D04A190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</w:t>
      </w:r>
      <w:r w:rsidR="00972CDD">
        <w:rPr>
          <w:rFonts w:ascii="Arial" w:hAnsi="Arial" w:cs="Arial"/>
          <w:sz w:val="20"/>
          <w:szCs w:val="20"/>
        </w:rPr>
        <w:t>předseda</w:t>
      </w:r>
    </w:p>
    <w:sectPr w:rsidR="00D763E9" w:rsidRPr="003F0DC7" w:rsidSect="00B62BBF">
      <w:pgSz w:w="11906" w:h="16838" w:code="9"/>
      <w:pgMar w:top="1021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F786" w14:textId="77777777" w:rsidR="00DB3E16" w:rsidRDefault="00DB3E16">
      <w:r>
        <w:separator/>
      </w:r>
    </w:p>
  </w:endnote>
  <w:endnote w:type="continuationSeparator" w:id="0">
    <w:p w14:paraId="567ACACF" w14:textId="77777777" w:rsidR="00DB3E16" w:rsidRDefault="00DB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16F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CA3152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CA3152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CA3152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CA3152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FB97" w14:textId="77777777" w:rsidR="00DB3E16" w:rsidRDefault="00DB3E16">
      <w:r>
        <w:separator/>
      </w:r>
    </w:p>
  </w:footnote>
  <w:footnote w:type="continuationSeparator" w:id="0">
    <w:p w14:paraId="72263943" w14:textId="77777777" w:rsidR="00DB3E16" w:rsidRDefault="00DB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761707">
    <w:abstractNumId w:val="3"/>
  </w:num>
  <w:num w:numId="2" w16cid:durableId="208347826">
    <w:abstractNumId w:val="18"/>
  </w:num>
  <w:num w:numId="3" w16cid:durableId="240333523">
    <w:abstractNumId w:val="16"/>
  </w:num>
  <w:num w:numId="4" w16cid:durableId="1604609244">
    <w:abstractNumId w:val="7"/>
  </w:num>
  <w:num w:numId="5" w16cid:durableId="1617980208">
    <w:abstractNumId w:val="27"/>
  </w:num>
  <w:num w:numId="6" w16cid:durableId="1718967699">
    <w:abstractNumId w:val="13"/>
  </w:num>
  <w:num w:numId="7" w16cid:durableId="1009213525">
    <w:abstractNumId w:val="25"/>
  </w:num>
  <w:num w:numId="8" w16cid:durableId="1968848446">
    <w:abstractNumId w:val="5"/>
  </w:num>
  <w:num w:numId="9" w16cid:durableId="1223057971">
    <w:abstractNumId w:val="23"/>
  </w:num>
  <w:num w:numId="10" w16cid:durableId="1191381887">
    <w:abstractNumId w:val="24"/>
  </w:num>
  <w:num w:numId="11" w16cid:durableId="1410350923">
    <w:abstractNumId w:val="14"/>
  </w:num>
  <w:num w:numId="12" w16cid:durableId="2030065408">
    <w:abstractNumId w:val="15"/>
  </w:num>
  <w:num w:numId="13" w16cid:durableId="1598755599">
    <w:abstractNumId w:val="22"/>
  </w:num>
  <w:num w:numId="14" w16cid:durableId="1970939187">
    <w:abstractNumId w:val="20"/>
  </w:num>
  <w:num w:numId="15" w16cid:durableId="853610922">
    <w:abstractNumId w:val="21"/>
  </w:num>
  <w:num w:numId="16" w16cid:durableId="1339574287">
    <w:abstractNumId w:val="10"/>
  </w:num>
  <w:num w:numId="17" w16cid:durableId="2096053485">
    <w:abstractNumId w:val="8"/>
  </w:num>
  <w:num w:numId="18" w16cid:durableId="1229456463">
    <w:abstractNumId w:val="26"/>
  </w:num>
  <w:num w:numId="19" w16cid:durableId="1448086511">
    <w:abstractNumId w:val="31"/>
  </w:num>
  <w:num w:numId="20" w16cid:durableId="457529030">
    <w:abstractNumId w:val="2"/>
  </w:num>
  <w:num w:numId="21" w16cid:durableId="1618220599">
    <w:abstractNumId w:val="1"/>
  </w:num>
  <w:num w:numId="22" w16cid:durableId="1434399227">
    <w:abstractNumId w:val="12"/>
  </w:num>
  <w:num w:numId="23" w16cid:durableId="1419793061">
    <w:abstractNumId w:val="6"/>
  </w:num>
  <w:num w:numId="24" w16cid:durableId="864446556">
    <w:abstractNumId w:val="0"/>
  </w:num>
  <w:num w:numId="25" w16cid:durableId="421995312">
    <w:abstractNumId w:val="30"/>
  </w:num>
  <w:num w:numId="26" w16cid:durableId="1553230049">
    <w:abstractNumId w:val="22"/>
  </w:num>
  <w:num w:numId="27" w16cid:durableId="108869641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499115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737667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3634363">
    <w:abstractNumId w:val="4"/>
  </w:num>
  <w:num w:numId="31" w16cid:durableId="79955499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6959656">
    <w:abstractNumId w:val="11"/>
  </w:num>
  <w:num w:numId="33" w16cid:durableId="248151502">
    <w:abstractNumId w:val="28"/>
  </w:num>
  <w:num w:numId="34" w16cid:durableId="80369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10"/>
    <w:rsid w:val="000531C7"/>
    <w:rsid w:val="00055326"/>
    <w:rsid w:val="00057C5E"/>
    <w:rsid w:val="0006404D"/>
    <w:rsid w:val="00066995"/>
    <w:rsid w:val="000672B3"/>
    <w:rsid w:val="000727FD"/>
    <w:rsid w:val="00076676"/>
    <w:rsid w:val="00081ADC"/>
    <w:rsid w:val="000A180D"/>
    <w:rsid w:val="000A3F41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561"/>
    <w:rsid w:val="00100EA1"/>
    <w:rsid w:val="0011534A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1C01"/>
    <w:rsid w:val="001A2111"/>
    <w:rsid w:val="001A25B9"/>
    <w:rsid w:val="001A2B90"/>
    <w:rsid w:val="001A49EA"/>
    <w:rsid w:val="001A77AC"/>
    <w:rsid w:val="001B0434"/>
    <w:rsid w:val="001B1CA7"/>
    <w:rsid w:val="001B50D0"/>
    <w:rsid w:val="001C414E"/>
    <w:rsid w:val="001C4735"/>
    <w:rsid w:val="001C7850"/>
    <w:rsid w:val="001D0A7B"/>
    <w:rsid w:val="001E2ADC"/>
    <w:rsid w:val="001F1627"/>
    <w:rsid w:val="00201543"/>
    <w:rsid w:val="00203200"/>
    <w:rsid w:val="00212F5E"/>
    <w:rsid w:val="002142B3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A4CC2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4912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38A2"/>
    <w:rsid w:val="004259C7"/>
    <w:rsid w:val="0042622E"/>
    <w:rsid w:val="00426D1C"/>
    <w:rsid w:val="00446359"/>
    <w:rsid w:val="00451224"/>
    <w:rsid w:val="00451B7F"/>
    <w:rsid w:val="004522C9"/>
    <w:rsid w:val="00452E66"/>
    <w:rsid w:val="00457307"/>
    <w:rsid w:val="00466993"/>
    <w:rsid w:val="00466D75"/>
    <w:rsid w:val="00467909"/>
    <w:rsid w:val="00475389"/>
    <w:rsid w:val="004754BB"/>
    <w:rsid w:val="00481998"/>
    <w:rsid w:val="00486B46"/>
    <w:rsid w:val="00486BC5"/>
    <w:rsid w:val="00487279"/>
    <w:rsid w:val="00496FA0"/>
    <w:rsid w:val="004B4089"/>
    <w:rsid w:val="004B4CDF"/>
    <w:rsid w:val="004C2694"/>
    <w:rsid w:val="004C3FA9"/>
    <w:rsid w:val="004C4DDA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534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A76C1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5C8A"/>
    <w:rsid w:val="005C73B0"/>
    <w:rsid w:val="005C7752"/>
    <w:rsid w:val="005D4932"/>
    <w:rsid w:val="005F4391"/>
    <w:rsid w:val="005F47D7"/>
    <w:rsid w:val="005F5AF9"/>
    <w:rsid w:val="005F5BE6"/>
    <w:rsid w:val="005F6091"/>
    <w:rsid w:val="005F7B05"/>
    <w:rsid w:val="0060068A"/>
    <w:rsid w:val="00601712"/>
    <w:rsid w:val="00612396"/>
    <w:rsid w:val="00615095"/>
    <w:rsid w:val="006269D1"/>
    <w:rsid w:val="0063202F"/>
    <w:rsid w:val="00632AA5"/>
    <w:rsid w:val="0063366F"/>
    <w:rsid w:val="00633F05"/>
    <w:rsid w:val="00635D14"/>
    <w:rsid w:val="006411EF"/>
    <w:rsid w:val="006470BD"/>
    <w:rsid w:val="00652F5F"/>
    <w:rsid w:val="00654445"/>
    <w:rsid w:val="00660710"/>
    <w:rsid w:val="00661212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0AB3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7B1"/>
    <w:rsid w:val="00743E9F"/>
    <w:rsid w:val="0074539B"/>
    <w:rsid w:val="0075188B"/>
    <w:rsid w:val="00754241"/>
    <w:rsid w:val="00765110"/>
    <w:rsid w:val="00766C30"/>
    <w:rsid w:val="007733B5"/>
    <w:rsid w:val="0078092D"/>
    <w:rsid w:val="00780C79"/>
    <w:rsid w:val="007865F1"/>
    <w:rsid w:val="00787ED2"/>
    <w:rsid w:val="00795659"/>
    <w:rsid w:val="007A4A12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1CF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E7EB1"/>
    <w:rsid w:val="007F0769"/>
    <w:rsid w:val="007F301F"/>
    <w:rsid w:val="0080412C"/>
    <w:rsid w:val="0080530F"/>
    <w:rsid w:val="00810B6F"/>
    <w:rsid w:val="00810EE3"/>
    <w:rsid w:val="008157FB"/>
    <w:rsid w:val="00815E87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62D0A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A6714"/>
    <w:rsid w:val="008B0B0F"/>
    <w:rsid w:val="008B39D1"/>
    <w:rsid w:val="008B5FAB"/>
    <w:rsid w:val="008C0E1C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15A4A"/>
    <w:rsid w:val="009212C6"/>
    <w:rsid w:val="00924EAA"/>
    <w:rsid w:val="00935F69"/>
    <w:rsid w:val="00940C81"/>
    <w:rsid w:val="0094699E"/>
    <w:rsid w:val="00946B9A"/>
    <w:rsid w:val="009505FD"/>
    <w:rsid w:val="00955B6F"/>
    <w:rsid w:val="00962781"/>
    <w:rsid w:val="00965E0F"/>
    <w:rsid w:val="00966037"/>
    <w:rsid w:val="00970A8F"/>
    <w:rsid w:val="00972CDD"/>
    <w:rsid w:val="00980CFF"/>
    <w:rsid w:val="00984719"/>
    <w:rsid w:val="00984861"/>
    <w:rsid w:val="009A0C25"/>
    <w:rsid w:val="009A2C54"/>
    <w:rsid w:val="009A7B2B"/>
    <w:rsid w:val="009B6DAA"/>
    <w:rsid w:val="009C19BD"/>
    <w:rsid w:val="009C4146"/>
    <w:rsid w:val="009C5020"/>
    <w:rsid w:val="009D4A9A"/>
    <w:rsid w:val="009E001D"/>
    <w:rsid w:val="009E2C1B"/>
    <w:rsid w:val="009E3D7F"/>
    <w:rsid w:val="009F0BD7"/>
    <w:rsid w:val="009F57DB"/>
    <w:rsid w:val="00A020B7"/>
    <w:rsid w:val="00A0261C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71EEA"/>
    <w:rsid w:val="00A742B8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204CC"/>
    <w:rsid w:val="00B2095B"/>
    <w:rsid w:val="00B21D02"/>
    <w:rsid w:val="00B22460"/>
    <w:rsid w:val="00B420D7"/>
    <w:rsid w:val="00B54E1E"/>
    <w:rsid w:val="00B62BBF"/>
    <w:rsid w:val="00B64E2A"/>
    <w:rsid w:val="00B67FB4"/>
    <w:rsid w:val="00B71948"/>
    <w:rsid w:val="00B71DF4"/>
    <w:rsid w:val="00B72C68"/>
    <w:rsid w:val="00B80602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144CA"/>
    <w:rsid w:val="00C23C46"/>
    <w:rsid w:val="00C34FF3"/>
    <w:rsid w:val="00C3786A"/>
    <w:rsid w:val="00C41A98"/>
    <w:rsid w:val="00C41F11"/>
    <w:rsid w:val="00C51332"/>
    <w:rsid w:val="00C57DD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3152"/>
    <w:rsid w:val="00CA518A"/>
    <w:rsid w:val="00CA53E3"/>
    <w:rsid w:val="00CB1F7B"/>
    <w:rsid w:val="00CB59F4"/>
    <w:rsid w:val="00CC1529"/>
    <w:rsid w:val="00CC4736"/>
    <w:rsid w:val="00CD32D2"/>
    <w:rsid w:val="00CD62CB"/>
    <w:rsid w:val="00CE75F1"/>
    <w:rsid w:val="00CF0968"/>
    <w:rsid w:val="00CF111E"/>
    <w:rsid w:val="00CF2600"/>
    <w:rsid w:val="00CF4A4B"/>
    <w:rsid w:val="00D07056"/>
    <w:rsid w:val="00D15AD9"/>
    <w:rsid w:val="00D250B9"/>
    <w:rsid w:val="00D3076F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3E16"/>
    <w:rsid w:val="00DB4284"/>
    <w:rsid w:val="00DB7C74"/>
    <w:rsid w:val="00DC05F1"/>
    <w:rsid w:val="00DC2DA8"/>
    <w:rsid w:val="00DC3512"/>
    <w:rsid w:val="00DC6A2D"/>
    <w:rsid w:val="00DD132A"/>
    <w:rsid w:val="00DD72FD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01FE"/>
    <w:rsid w:val="00E15E00"/>
    <w:rsid w:val="00E2091F"/>
    <w:rsid w:val="00E20AFA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5FD5"/>
    <w:rsid w:val="00E46F61"/>
    <w:rsid w:val="00E52171"/>
    <w:rsid w:val="00E57C4D"/>
    <w:rsid w:val="00E60F93"/>
    <w:rsid w:val="00E628FE"/>
    <w:rsid w:val="00E65211"/>
    <w:rsid w:val="00E700C8"/>
    <w:rsid w:val="00E75A37"/>
    <w:rsid w:val="00E779A8"/>
    <w:rsid w:val="00E8110D"/>
    <w:rsid w:val="00E867DB"/>
    <w:rsid w:val="00E87CDE"/>
    <w:rsid w:val="00E92898"/>
    <w:rsid w:val="00E95585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4474"/>
    <w:rsid w:val="00ED62EF"/>
    <w:rsid w:val="00EE5F8D"/>
    <w:rsid w:val="00EF0750"/>
    <w:rsid w:val="00F012CD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2D10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8664"/>
  <w15:docId w15:val="{1922807C-384D-44ED-BE56-C359EFB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  <w:style w:type="paragraph" w:styleId="Revize">
    <w:name w:val="Revision"/>
    <w:hidden/>
    <w:uiPriority w:val="99"/>
    <w:semiHidden/>
    <w:rsid w:val="006A0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067F-5521-4104-8735-4209D045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1</TotalTime>
  <Pages>4</Pages>
  <Words>2022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2023-02-20T11:53:00Z</cp:lastPrinted>
  <dcterms:created xsi:type="dcterms:W3CDTF">2025-03-04T18:35:00Z</dcterms:created>
  <dcterms:modified xsi:type="dcterms:W3CDTF">2025-03-04T18:35:00Z</dcterms:modified>
</cp:coreProperties>
</file>