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spol. s r.o.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Anny Letenské 1120/17, 12000 Praha 2 - Vinohrady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Blšany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HIM 1740 por. 1741 konstr.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12 343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4 634,55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13 737,69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18 372,24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HIM 1742 por 1743 konstr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13 758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5 165,85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16 089,41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21 255,26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HIM 1744 por 1745 konstr.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1596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24 761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9 297,26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33 811,23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43 108,49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HIM 1746 por. 1747 konstr.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23 191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8 707,76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31 556,42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40 264,18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HIM 1748 por. 1749 konstr.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5 840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2 192,80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12 297,73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14 490,53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476,48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chmel HIM 1750 por. 1751 konstr.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793,76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11 256,30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12 050,06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HIM 1752 por 1753 konstr.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1 304,79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6 324,94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7 629,73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11 281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4 235,79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chmel HIM 1754 por. 1755 konstr.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1754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1 171,87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4 246,20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101 153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37 980,91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129 319,92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167 300,83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101 153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37 981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129 320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167 301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66N20/35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6612035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167 301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06.03.2025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