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82CA" w14:textId="77777777" w:rsidR="00036164" w:rsidRDefault="00036164">
      <w:pPr>
        <w:spacing w:line="1" w:lineRule="exact"/>
      </w:pPr>
    </w:p>
    <w:p w14:paraId="307C7566" w14:textId="77777777" w:rsidR="00036164" w:rsidRDefault="00973DA5">
      <w:pPr>
        <w:pStyle w:val="Nadpis10"/>
        <w:framePr w:w="9149" w:h="1637" w:hRule="exact" w:wrap="none" w:vAnchor="page" w:hAnchor="page" w:x="1339" w:y="2624"/>
        <w:spacing w:before="0"/>
      </w:pPr>
      <w:bookmarkStart w:id="0" w:name="bookmark0"/>
      <w:r>
        <w:rPr>
          <w:rStyle w:val="Nadpis1"/>
          <w:b/>
          <w:bCs/>
        </w:rPr>
        <w:t>SMLOUVA O PODNÁJMU</w:t>
      </w:r>
      <w:bookmarkEnd w:id="0"/>
    </w:p>
    <w:p w14:paraId="31B08C5E" w14:textId="77777777" w:rsidR="00036164" w:rsidRDefault="00973DA5">
      <w:pPr>
        <w:pStyle w:val="Nadpis10"/>
        <w:framePr w:w="9149" w:h="1637" w:hRule="exact" w:wrap="none" w:vAnchor="page" w:hAnchor="page" w:x="1339" w:y="2624"/>
        <w:spacing w:before="0"/>
      </w:pPr>
      <w:bookmarkStart w:id="1" w:name="bookmark2"/>
      <w:r>
        <w:rPr>
          <w:rStyle w:val="Nadpis1"/>
          <w:b/>
          <w:bCs/>
        </w:rPr>
        <w:t>č. PZS/02/2025</w:t>
      </w:r>
      <w:bookmarkEnd w:id="1"/>
    </w:p>
    <w:p w14:paraId="5D05C278" w14:textId="63EC5072" w:rsidR="00036164" w:rsidRDefault="00973DA5">
      <w:pPr>
        <w:pStyle w:val="Zkladntext1"/>
        <w:framePr w:w="9149" w:h="1637" w:hRule="exact" w:wrap="none" w:vAnchor="page" w:hAnchor="page" w:x="1339" w:y="2624"/>
        <w:spacing w:after="0"/>
        <w:jc w:val="center"/>
      </w:pPr>
      <w:r>
        <w:rPr>
          <w:rStyle w:val="Zkladntext"/>
        </w:rPr>
        <w:t>uzavřená dle ustanovení § 2302 a</w:t>
      </w:r>
      <w:r w:rsidR="00043103">
        <w:rPr>
          <w:rStyle w:val="Zkladntext"/>
        </w:rPr>
        <w:t xml:space="preserve"> </w:t>
      </w:r>
      <w:r>
        <w:rPr>
          <w:rStyle w:val="Zkladntext"/>
        </w:rPr>
        <w:t>násl. zákona č. 89/2012 Sb., občanského zákoníku</w:t>
      </w:r>
      <w:r>
        <w:rPr>
          <w:rStyle w:val="Zkladntext"/>
        </w:rPr>
        <w:br/>
        <w:t>(dále jen „smlouva“)</w:t>
      </w:r>
    </w:p>
    <w:p w14:paraId="41026B02" w14:textId="77777777" w:rsidR="00036164" w:rsidRDefault="00973DA5">
      <w:pPr>
        <w:pStyle w:val="Titulektabulky0"/>
        <w:framePr w:wrap="none" w:vAnchor="page" w:hAnchor="page" w:x="1344" w:y="4640"/>
      </w:pPr>
      <w:r>
        <w:rPr>
          <w:rStyle w:val="Titulektabulky"/>
          <w:b/>
          <w:bCs/>
        </w:rPr>
        <w:t>SPORTOVNÍ AREÁLY MOST, a.s.</w:t>
      </w:r>
    </w:p>
    <w:tbl>
      <w:tblPr>
        <w:tblOverlap w:val="never"/>
        <w:tblW w:w="0" w:type="auto"/>
        <w:tblLayout w:type="fixed"/>
        <w:tblCellMar>
          <w:left w:w="10" w:type="dxa"/>
          <w:right w:w="10" w:type="dxa"/>
        </w:tblCellMar>
        <w:tblLook w:val="0000" w:firstRow="0" w:lastRow="0" w:firstColumn="0" w:lastColumn="0" w:noHBand="0" w:noVBand="0"/>
      </w:tblPr>
      <w:tblGrid>
        <w:gridCol w:w="1872"/>
        <w:gridCol w:w="7243"/>
      </w:tblGrid>
      <w:tr w:rsidR="00036164" w14:paraId="5377CB63" w14:textId="77777777">
        <w:tblPrEx>
          <w:tblCellMar>
            <w:top w:w="0" w:type="dxa"/>
            <w:bottom w:w="0" w:type="dxa"/>
          </w:tblCellMar>
        </w:tblPrEx>
        <w:trPr>
          <w:trHeight w:hRule="exact" w:val="254"/>
        </w:trPr>
        <w:tc>
          <w:tcPr>
            <w:tcW w:w="1872" w:type="dxa"/>
            <w:shd w:val="clear" w:color="auto" w:fill="auto"/>
          </w:tcPr>
          <w:p w14:paraId="14CFF768" w14:textId="77777777" w:rsidR="00036164" w:rsidRDefault="00973DA5">
            <w:pPr>
              <w:pStyle w:val="Jin0"/>
              <w:framePr w:w="9115" w:h="2486" w:wrap="none" w:vAnchor="page" w:hAnchor="page" w:x="1344" w:y="4966"/>
              <w:spacing w:after="0"/>
            </w:pPr>
            <w:r>
              <w:rPr>
                <w:rStyle w:val="Jin"/>
              </w:rPr>
              <w:t>Sídlo:</w:t>
            </w:r>
          </w:p>
        </w:tc>
        <w:tc>
          <w:tcPr>
            <w:tcW w:w="7243" w:type="dxa"/>
            <w:shd w:val="clear" w:color="auto" w:fill="auto"/>
          </w:tcPr>
          <w:p w14:paraId="095315CB" w14:textId="77777777" w:rsidR="00036164" w:rsidRDefault="00973DA5">
            <w:pPr>
              <w:pStyle w:val="Jin0"/>
              <w:framePr w:w="9115" w:h="2486" w:wrap="none" w:vAnchor="page" w:hAnchor="page" w:x="1344" w:y="4966"/>
              <w:spacing w:after="0"/>
            </w:pPr>
            <w:r>
              <w:rPr>
                <w:rStyle w:val="Jin"/>
              </w:rPr>
              <w:t>tř. Budovatelů 112/7, 434 01 Most</w:t>
            </w:r>
          </w:p>
        </w:tc>
      </w:tr>
      <w:tr w:rsidR="00036164" w14:paraId="0C1632EE" w14:textId="77777777">
        <w:tblPrEx>
          <w:tblCellMar>
            <w:top w:w="0" w:type="dxa"/>
            <w:bottom w:w="0" w:type="dxa"/>
          </w:tblCellMar>
        </w:tblPrEx>
        <w:trPr>
          <w:trHeight w:hRule="exact" w:val="293"/>
        </w:trPr>
        <w:tc>
          <w:tcPr>
            <w:tcW w:w="1872" w:type="dxa"/>
            <w:shd w:val="clear" w:color="auto" w:fill="auto"/>
            <w:vAlign w:val="bottom"/>
          </w:tcPr>
          <w:p w14:paraId="35C2691C" w14:textId="77777777" w:rsidR="00036164" w:rsidRDefault="00973DA5">
            <w:pPr>
              <w:pStyle w:val="Jin0"/>
              <w:framePr w:w="9115" w:h="2486" w:wrap="none" w:vAnchor="page" w:hAnchor="page" w:x="1344" w:y="4966"/>
              <w:spacing w:after="0"/>
            </w:pPr>
            <w:r>
              <w:rPr>
                <w:rStyle w:val="Jin"/>
              </w:rPr>
              <w:t>Zastoupení:</w:t>
            </w:r>
          </w:p>
        </w:tc>
        <w:tc>
          <w:tcPr>
            <w:tcW w:w="7243" w:type="dxa"/>
            <w:shd w:val="clear" w:color="auto" w:fill="auto"/>
            <w:vAlign w:val="bottom"/>
          </w:tcPr>
          <w:p w14:paraId="7E473055" w14:textId="305206FC" w:rsidR="00036164" w:rsidRDefault="00043103">
            <w:pPr>
              <w:pStyle w:val="Jin0"/>
              <w:framePr w:w="9115" w:h="2486" w:wrap="none" w:vAnchor="page" w:hAnchor="page" w:x="1344" w:y="4966"/>
              <w:spacing w:after="0"/>
            </w:pPr>
            <w:proofErr w:type="spellStart"/>
            <w:r>
              <w:rPr>
                <w:rStyle w:val="Jin"/>
              </w:rPr>
              <w:t>xxx</w:t>
            </w:r>
            <w:proofErr w:type="spellEnd"/>
            <w:r w:rsidR="00973DA5">
              <w:rPr>
                <w:rStyle w:val="Jin"/>
              </w:rPr>
              <w:t xml:space="preserve">, předseda </w:t>
            </w:r>
            <w:r w:rsidR="00973DA5">
              <w:rPr>
                <w:rStyle w:val="Jin"/>
              </w:rPr>
              <w:t>představenstva</w:t>
            </w:r>
          </w:p>
        </w:tc>
      </w:tr>
      <w:tr w:rsidR="00036164" w14:paraId="79AA5EB7" w14:textId="77777777">
        <w:tblPrEx>
          <w:tblCellMar>
            <w:top w:w="0" w:type="dxa"/>
            <w:bottom w:w="0" w:type="dxa"/>
          </w:tblCellMar>
        </w:tblPrEx>
        <w:trPr>
          <w:trHeight w:hRule="exact" w:val="278"/>
        </w:trPr>
        <w:tc>
          <w:tcPr>
            <w:tcW w:w="1872" w:type="dxa"/>
            <w:shd w:val="clear" w:color="auto" w:fill="auto"/>
          </w:tcPr>
          <w:p w14:paraId="4AAC864A" w14:textId="77777777" w:rsidR="00036164" w:rsidRDefault="00036164">
            <w:pPr>
              <w:framePr w:w="9115" w:h="2486" w:wrap="none" w:vAnchor="page" w:hAnchor="page" w:x="1344" w:y="4966"/>
              <w:rPr>
                <w:sz w:val="10"/>
                <w:szCs w:val="10"/>
              </w:rPr>
            </w:pPr>
          </w:p>
        </w:tc>
        <w:tc>
          <w:tcPr>
            <w:tcW w:w="7243" w:type="dxa"/>
            <w:shd w:val="clear" w:color="auto" w:fill="auto"/>
            <w:vAlign w:val="bottom"/>
          </w:tcPr>
          <w:p w14:paraId="57A896B4" w14:textId="2B32778F" w:rsidR="00036164" w:rsidRDefault="00043103">
            <w:pPr>
              <w:pStyle w:val="Jin0"/>
              <w:framePr w:w="9115" w:h="2486" w:wrap="none" w:vAnchor="page" w:hAnchor="page" w:x="1344" w:y="4966"/>
              <w:spacing w:after="0"/>
            </w:pPr>
            <w:proofErr w:type="spellStart"/>
            <w:r>
              <w:rPr>
                <w:rStyle w:val="Jin"/>
              </w:rPr>
              <w:t>xxx</w:t>
            </w:r>
            <w:proofErr w:type="spellEnd"/>
            <w:r w:rsidR="00973DA5">
              <w:rPr>
                <w:rStyle w:val="Jin"/>
              </w:rPr>
              <w:t>, ředitel a místopředseda představenstva</w:t>
            </w:r>
          </w:p>
        </w:tc>
      </w:tr>
      <w:tr w:rsidR="00036164" w14:paraId="4D939F11" w14:textId="77777777">
        <w:tblPrEx>
          <w:tblCellMar>
            <w:top w:w="0" w:type="dxa"/>
            <w:bottom w:w="0" w:type="dxa"/>
          </w:tblCellMar>
        </w:tblPrEx>
        <w:trPr>
          <w:trHeight w:hRule="exact" w:val="533"/>
        </w:trPr>
        <w:tc>
          <w:tcPr>
            <w:tcW w:w="1872" w:type="dxa"/>
            <w:shd w:val="clear" w:color="auto" w:fill="auto"/>
          </w:tcPr>
          <w:p w14:paraId="18007ED4" w14:textId="77777777" w:rsidR="00036164" w:rsidRDefault="00973DA5">
            <w:pPr>
              <w:pStyle w:val="Jin0"/>
              <w:framePr w:w="9115" w:h="2486" w:wrap="none" w:vAnchor="page" w:hAnchor="page" w:x="1344" w:y="4966"/>
              <w:spacing w:after="0"/>
              <w:jc w:val="both"/>
            </w:pPr>
            <w:r>
              <w:rPr>
                <w:rStyle w:val="Jin"/>
              </w:rPr>
              <w:t>IČ: DIČ:</w:t>
            </w:r>
          </w:p>
        </w:tc>
        <w:tc>
          <w:tcPr>
            <w:tcW w:w="7243" w:type="dxa"/>
            <w:shd w:val="clear" w:color="auto" w:fill="auto"/>
          </w:tcPr>
          <w:p w14:paraId="660E57AA" w14:textId="77777777" w:rsidR="00036164" w:rsidRDefault="00973DA5">
            <w:pPr>
              <w:pStyle w:val="Jin0"/>
              <w:framePr w:w="9115" w:h="2486" w:wrap="none" w:vAnchor="page" w:hAnchor="page" w:x="1344" w:y="4966"/>
              <w:spacing w:after="0"/>
            </w:pPr>
            <w:r>
              <w:rPr>
                <w:rStyle w:val="Jin"/>
              </w:rPr>
              <w:t>25044001</w:t>
            </w:r>
          </w:p>
          <w:p w14:paraId="4F460DFE" w14:textId="77777777" w:rsidR="00036164" w:rsidRDefault="00973DA5">
            <w:pPr>
              <w:pStyle w:val="Jin0"/>
              <w:framePr w:w="9115" w:h="2486" w:wrap="none" w:vAnchor="page" w:hAnchor="page" w:x="1344" w:y="4966"/>
              <w:spacing w:after="0"/>
            </w:pPr>
            <w:r>
              <w:rPr>
                <w:rStyle w:val="Jin"/>
              </w:rPr>
              <w:t>CZ25044001</w:t>
            </w:r>
          </w:p>
        </w:tc>
      </w:tr>
      <w:tr w:rsidR="00036164" w14:paraId="4C4C2837" w14:textId="77777777">
        <w:tblPrEx>
          <w:tblCellMar>
            <w:top w:w="0" w:type="dxa"/>
            <w:bottom w:w="0" w:type="dxa"/>
          </w:tblCellMar>
        </w:tblPrEx>
        <w:trPr>
          <w:trHeight w:hRule="exact" w:val="278"/>
        </w:trPr>
        <w:tc>
          <w:tcPr>
            <w:tcW w:w="1872" w:type="dxa"/>
            <w:shd w:val="clear" w:color="auto" w:fill="auto"/>
            <w:vAlign w:val="bottom"/>
          </w:tcPr>
          <w:p w14:paraId="334A2831" w14:textId="77777777" w:rsidR="00036164" w:rsidRDefault="00973DA5">
            <w:pPr>
              <w:pStyle w:val="Jin0"/>
              <w:framePr w:w="9115" w:h="2486" w:wrap="none" w:vAnchor="page" w:hAnchor="page" w:x="1344" w:y="4966"/>
              <w:spacing w:after="0"/>
              <w:jc w:val="both"/>
            </w:pPr>
            <w:r>
              <w:rPr>
                <w:rStyle w:val="Jin"/>
              </w:rPr>
              <w:t>Bankovní spojení:</w:t>
            </w:r>
          </w:p>
        </w:tc>
        <w:tc>
          <w:tcPr>
            <w:tcW w:w="7243" w:type="dxa"/>
            <w:shd w:val="clear" w:color="auto" w:fill="auto"/>
            <w:vAlign w:val="bottom"/>
          </w:tcPr>
          <w:p w14:paraId="3EF4B18C" w14:textId="4ABDBABF" w:rsidR="00036164" w:rsidRDefault="00043103">
            <w:pPr>
              <w:pStyle w:val="Jin0"/>
              <w:framePr w:w="9115" w:h="2486" w:wrap="none" w:vAnchor="page" w:hAnchor="page" w:x="1344" w:y="4966"/>
              <w:spacing w:after="0"/>
            </w:pPr>
            <w:proofErr w:type="spellStart"/>
            <w:r>
              <w:rPr>
                <w:rStyle w:val="Jin"/>
              </w:rPr>
              <w:t>xxx</w:t>
            </w:r>
            <w:proofErr w:type="spellEnd"/>
          </w:p>
        </w:tc>
      </w:tr>
      <w:tr w:rsidR="00036164" w14:paraId="1775FDBD" w14:textId="77777777">
        <w:tblPrEx>
          <w:tblCellMar>
            <w:top w:w="0" w:type="dxa"/>
            <w:bottom w:w="0" w:type="dxa"/>
          </w:tblCellMar>
        </w:tblPrEx>
        <w:trPr>
          <w:trHeight w:hRule="exact" w:val="552"/>
        </w:trPr>
        <w:tc>
          <w:tcPr>
            <w:tcW w:w="1872" w:type="dxa"/>
            <w:shd w:val="clear" w:color="auto" w:fill="auto"/>
          </w:tcPr>
          <w:p w14:paraId="20AFB673" w14:textId="77777777" w:rsidR="00036164" w:rsidRDefault="00973DA5">
            <w:pPr>
              <w:pStyle w:val="Jin0"/>
              <w:framePr w:w="9115" w:h="2486" w:wrap="none" w:vAnchor="page" w:hAnchor="page" w:x="1344" w:y="4966"/>
              <w:spacing w:after="0"/>
              <w:jc w:val="both"/>
            </w:pPr>
            <w:r>
              <w:rPr>
                <w:rStyle w:val="Jin"/>
              </w:rPr>
              <w:t>Registrace:</w:t>
            </w:r>
          </w:p>
        </w:tc>
        <w:tc>
          <w:tcPr>
            <w:tcW w:w="7243" w:type="dxa"/>
            <w:shd w:val="clear" w:color="auto" w:fill="auto"/>
          </w:tcPr>
          <w:p w14:paraId="0FF725E8" w14:textId="77777777" w:rsidR="00036164" w:rsidRDefault="00973DA5">
            <w:pPr>
              <w:pStyle w:val="Jin0"/>
              <w:framePr w:w="9115" w:h="2486" w:wrap="none" w:vAnchor="page" w:hAnchor="page" w:x="1344" w:y="4966"/>
              <w:spacing w:after="0"/>
            </w:pPr>
            <w:r>
              <w:rPr>
                <w:rStyle w:val="Jin"/>
              </w:rPr>
              <w:t xml:space="preserve">Obchodní rejstřík vedený Krajským soudem v Ústí nad Labem, oddíl B, </w:t>
            </w:r>
            <w:r>
              <w:rPr>
                <w:rStyle w:val="Jin"/>
              </w:rPr>
              <w:t>vložka 1147</w:t>
            </w:r>
          </w:p>
        </w:tc>
      </w:tr>
      <w:tr w:rsidR="00036164" w14:paraId="74B01029" w14:textId="77777777">
        <w:tblPrEx>
          <w:tblCellMar>
            <w:top w:w="0" w:type="dxa"/>
            <w:bottom w:w="0" w:type="dxa"/>
          </w:tblCellMar>
        </w:tblPrEx>
        <w:trPr>
          <w:trHeight w:hRule="exact" w:val="298"/>
        </w:trPr>
        <w:tc>
          <w:tcPr>
            <w:tcW w:w="1872" w:type="dxa"/>
            <w:shd w:val="clear" w:color="auto" w:fill="auto"/>
            <w:vAlign w:val="bottom"/>
          </w:tcPr>
          <w:p w14:paraId="249407F0" w14:textId="77777777" w:rsidR="00036164" w:rsidRDefault="00973DA5">
            <w:pPr>
              <w:pStyle w:val="Jin0"/>
              <w:framePr w:w="9115" w:h="2486" w:wrap="none" w:vAnchor="page" w:hAnchor="page" w:x="1344" w:y="4966"/>
              <w:spacing w:after="0"/>
            </w:pPr>
            <w:r>
              <w:rPr>
                <w:rStyle w:val="Jin"/>
              </w:rPr>
              <w:t>Spojení:</w:t>
            </w:r>
          </w:p>
        </w:tc>
        <w:tc>
          <w:tcPr>
            <w:tcW w:w="7243" w:type="dxa"/>
            <w:tcBorders>
              <w:bottom w:val="single" w:sz="4" w:space="0" w:color="auto"/>
            </w:tcBorders>
            <w:shd w:val="clear" w:color="auto" w:fill="auto"/>
            <w:vAlign w:val="bottom"/>
          </w:tcPr>
          <w:p w14:paraId="5E015894" w14:textId="31C7FBBF" w:rsidR="00036164" w:rsidRDefault="00973DA5">
            <w:pPr>
              <w:pStyle w:val="Jin0"/>
              <w:framePr w:w="9115" w:h="2486" w:wrap="none" w:vAnchor="page" w:hAnchor="page" w:x="1344" w:y="4966"/>
              <w:spacing w:after="0"/>
            </w:pPr>
            <w:r>
              <w:rPr>
                <w:rStyle w:val="Jin"/>
              </w:rPr>
              <w:t xml:space="preserve">tel.: +420 </w:t>
            </w:r>
            <w:proofErr w:type="spellStart"/>
            <w:r w:rsidR="00043103">
              <w:rPr>
                <w:rStyle w:val="Jin"/>
              </w:rPr>
              <w:t>xxx</w:t>
            </w:r>
            <w:proofErr w:type="spellEnd"/>
            <w:r w:rsidR="00043103">
              <w:rPr>
                <w:rStyle w:val="Jin"/>
              </w:rPr>
              <w:t xml:space="preserve"> </w:t>
            </w:r>
            <w:proofErr w:type="spellStart"/>
            <w:r w:rsidR="00043103">
              <w:rPr>
                <w:rStyle w:val="Jin"/>
              </w:rPr>
              <w:t>xxx</w:t>
            </w:r>
            <w:proofErr w:type="spellEnd"/>
            <w:r w:rsidR="00043103">
              <w:rPr>
                <w:rStyle w:val="Jin"/>
              </w:rPr>
              <w:t xml:space="preserve"> </w:t>
            </w:r>
            <w:proofErr w:type="spellStart"/>
            <w:r w:rsidR="00043103">
              <w:rPr>
                <w:rStyle w:val="Jin"/>
              </w:rPr>
              <w:t>xxx</w:t>
            </w:r>
            <w:proofErr w:type="spellEnd"/>
            <w:r>
              <w:rPr>
                <w:rStyle w:val="Jin"/>
              </w:rPr>
              <w:t xml:space="preserve">; e-mail: </w:t>
            </w:r>
            <w:hyperlink r:id="rId7" w:history="1">
              <w:r w:rsidR="00043103" w:rsidRPr="00EF438F">
                <w:rPr>
                  <w:rStyle w:val="Hypertextovodkaz"/>
                  <w:lang w:val="en-US" w:eastAsia="en-US"/>
                </w:rPr>
                <w:t>xxx@samost.cz</w:t>
              </w:r>
            </w:hyperlink>
          </w:p>
        </w:tc>
      </w:tr>
    </w:tbl>
    <w:p w14:paraId="2168F267" w14:textId="77777777" w:rsidR="00036164" w:rsidRDefault="00973DA5">
      <w:pPr>
        <w:pStyle w:val="Titulektabulky0"/>
        <w:framePr w:wrap="none" w:vAnchor="page" w:hAnchor="page" w:x="1344" w:y="7424"/>
        <w:rPr>
          <w:sz w:val="22"/>
          <w:szCs w:val="22"/>
        </w:rPr>
      </w:pPr>
      <w:r>
        <w:rPr>
          <w:rStyle w:val="Titulektabulky"/>
          <w:i/>
          <w:iCs/>
        </w:rPr>
        <w:t>(dále jen „</w:t>
      </w:r>
      <w:r>
        <w:rPr>
          <w:rStyle w:val="Titulektabulky"/>
          <w:b/>
          <w:bCs/>
          <w:i/>
          <w:iCs/>
          <w:sz w:val="22"/>
          <w:szCs w:val="22"/>
        </w:rPr>
        <w:t>nájemce“)</w:t>
      </w:r>
    </w:p>
    <w:p w14:paraId="5228167C" w14:textId="77777777" w:rsidR="00036164" w:rsidRDefault="00973DA5">
      <w:pPr>
        <w:pStyle w:val="Zkladntext1"/>
        <w:framePr w:wrap="none" w:vAnchor="page" w:hAnchor="page" w:x="1339" w:y="8086"/>
        <w:spacing w:after="0"/>
      </w:pPr>
      <w:r>
        <w:rPr>
          <w:rStyle w:val="Zkladntext"/>
        </w:rPr>
        <w:t>a</w:t>
      </w:r>
    </w:p>
    <w:p w14:paraId="66F36E4F" w14:textId="77777777" w:rsidR="00036164" w:rsidRDefault="00973DA5">
      <w:pPr>
        <w:pStyle w:val="Titulektabulky0"/>
        <w:framePr w:wrap="none" w:vAnchor="page" w:hAnchor="page" w:x="1344" w:y="8581"/>
      </w:pPr>
      <w:r>
        <w:rPr>
          <w:rStyle w:val="Titulektabulky"/>
          <w:b/>
          <w:bCs/>
        </w:rPr>
        <w:t>Zahradnictví Dvořák a syn s.r.o.</w:t>
      </w:r>
    </w:p>
    <w:tbl>
      <w:tblPr>
        <w:tblOverlap w:val="never"/>
        <w:tblW w:w="0" w:type="auto"/>
        <w:tblLayout w:type="fixed"/>
        <w:tblCellMar>
          <w:left w:w="10" w:type="dxa"/>
          <w:right w:w="10" w:type="dxa"/>
        </w:tblCellMar>
        <w:tblLook w:val="0000" w:firstRow="0" w:lastRow="0" w:firstColumn="0" w:lastColumn="0" w:noHBand="0" w:noVBand="0"/>
      </w:tblPr>
      <w:tblGrid>
        <w:gridCol w:w="1872"/>
        <w:gridCol w:w="7243"/>
      </w:tblGrid>
      <w:tr w:rsidR="00036164" w14:paraId="27C2A7E3" w14:textId="77777777">
        <w:tblPrEx>
          <w:tblCellMar>
            <w:top w:w="0" w:type="dxa"/>
            <w:bottom w:w="0" w:type="dxa"/>
          </w:tblCellMar>
        </w:tblPrEx>
        <w:trPr>
          <w:trHeight w:hRule="exact" w:val="264"/>
        </w:trPr>
        <w:tc>
          <w:tcPr>
            <w:tcW w:w="1872" w:type="dxa"/>
            <w:shd w:val="clear" w:color="auto" w:fill="auto"/>
          </w:tcPr>
          <w:p w14:paraId="23DBAFAE" w14:textId="77777777" w:rsidR="00036164" w:rsidRDefault="00973DA5">
            <w:pPr>
              <w:pStyle w:val="Jin0"/>
              <w:framePr w:w="9115" w:h="2486" w:wrap="none" w:vAnchor="page" w:hAnchor="page" w:x="1344" w:y="8830"/>
              <w:spacing w:after="0"/>
            </w:pPr>
            <w:r>
              <w:rPr>
                <w:rStyle w:val="Jin"/>
              </w:rPr>
              <w:t>Sídlo:</w:t>
            </w:r>
          </w:p>
        </w:tc>
        <w:tc>
          <w:tcPr>
            <w:tcW w:w="7243" w:type="dxa"/>
            <w:shd w:val="clear" w:color="auto" w:fill="auto"/>
          </w:tcPr>
          <w:p w14:paraId="3DEF7E07" w14:textId="77777777" w:rsidR="00036164" w:rsidRDefault="00973DA5">
            <w:pPr>
              <w:pStyle w:val="Jin0"/>
              <w:framePr w:w="9115" w:h="2486" w:wrap="none" w:vAnchor="page" w:hAnchor="page" w:x="1344" w:y="8830"/>
              <w:spacing w:after="0"/>
            </w:pPr>
            <w:r>
              <w:rPr>
                <w:rStyle w:val="Jin"/>
              </w:rPr>
              <w:t>Stanová 1998, 415 01 Teplice</w:t>
            </w:r>
          </w:p>
        </w:tc>
      </w:tr>
      <w:tr w:rsidR="00036164" w14:paraId="1A8A5D6D" w14:textId="77777777">
        <w:tblPrEx>
          <w:tblCellMar>
            <w:top w:w="0" w:type="dxa"/>
            <w:bottom w:w="0" w:type="dxa"/>
          </w:tblCellMar>
        </w:tblPrEx>
        <w:trPr>
          <w:trHeight w:hRule="exact" w:val="288"/>
        </w:trPr>
        <w:tc>
          <w:tcPr>
            <w:tcW w:w="1872" w:type="dxa"/>
            <w:shd w:val="clear" w:color="auto" w:fill="auto"/>
            <w:vAlign w:val="bottom"/>
          </w:tcPr>
          <w:p w14:paraId="71AF8508" w14:textId="77777777" w:rsidR="00036164" w:rsidRDefault="00973DA5">
            <w:pPr>
              <w:pStyle w:val="Jin0"/>
              <w:framePr w:w="9115" w:h="2486" w:wrap="none" w:vAnchor="page" w:hAnchor="page" w:x="1344" w:y="8830"/>
              <w:spacing w:after="0"/>
            </w:pPr>
            <w:r>
              <w:rPr>
                <w:rStyle w:val="Jin"/>
              </w:rPr>
              <w:t>Zastoupení:</w:t>
            </w:r>
          </w:p>
        </w:tc>
        <w:tc>
          <w:tcPr>
            <w:tcW w:w="7243" w:type="dxa"/>
            <w:shd w:val="clear" w:color="auto" w:fill="auto"/>
            <w:vAlign w:val="bottom"/>
          </w:tcPr>
          <w:p w14:paraId="758F6E60" w14:textId="4A35A412" w:rsidR="00036164" w:rsidRDefault="00043103">
            <w:pPr>
              <w:pStyle w:val="Jin0"/>
              <w:framePr w:w="9115" w:h="2486" w:wrap="none" w:vAnchor="page" w:hAnchor="page" w:x="1344" w:y="8830"/>
              <w:spacing w:after="0"/>
            </w:pPr>
            <w:proofErr w:type="spellStart"/>
            <w:r>
              <w:rPr>
                <w:rStyle w:val="Jin"/>
              </w:rPr>
              <w:t>xxx</w:t>
            </w:r>
            <w:proofErr w:type="spellEnd"/>
            <w:r w:rsidR="00973DA5">
              <w:rPr>
                <w:rStyle w:val="Jin"/>
              </w:rPr>
              <w:t>., jednatel společnosti</w:t>
            </w:r>
          </w:p>
        </w:tc>
      </w:tr>
      <w:tr w:rsidR="00036164" w14:paraId="163F1C9E" w14:textId="77777777">
        <w:tblPrEx>
          <w:tblCellMar>
            <w:top w:w="0" w:type="dxa"/>
            <w:bottom w:w="0" w:type="dxa"/>
          </w:tblCellMar>
        </w:tblPrEx>
        <w:trPr>
          <w:trHeight w:hRule="exact" w:val="528"/>
        </w:trPr>
        <w:tc>
          <w:tcPr>
            <w:tcW w:w="1872" w:type="dxa"/>
            <w:shd w:val="clear" w:color="auto" w:fill="auto"/>
          </w:tcPr>
          <w:p w14:paraId="492EDE83" w14:textId="77777777" w:rsidR="00036164" w:rsidRDefault="00973DA5">
            <w:pPr>
              <w:pStyle w:val="Jin0"/>
              <w:framePr w:w="9115" w:h="2486" w:wrap="none" w:vAnchor="page" w:hAnchor="page" w:x="1344" w:y="8830"/>
              <w:spacing w:after="0"/>
            </w:pPr>
            <w:r>
              <w:rPr>
                <w:rStyle w:val="Jin"/>
              </w:rPr>
              <w:t>IČ:</w:t>
            </w:r>
          </w:p>
          <w:p w14:paraId="261B1F1C" w14:textId="77777777" w:rsidR="00036164" w:rsidRDefault="00973DA5">
            <w:pPr>
              <w:pStyle w:val="Jin0"/>
              <w:framePr w:w="9115" w:h="2486" w:wrap="none" w:vAnchor="page" w:hAnchor="page" w:x="1344" w:y="8830"/>
              <w:spacing w:after="0"/>
            </w:pPr>
            <w:r>
              <w:rPr>
                <w:rStyle w:val="Jin"/>
              </w:rPr>
              <w:t>DIČ:</w:t>
            </w:r>
          </w:p>
        </w:tc>
        <w:tc>
          <w:tcPr>
            <w:tcW w:w="7243" w:type="dxa"/>
            <w:shd w:val="clear" w:color="auto" w:fill="auto"/>
          </w:tcPr>
          <w:p w14:paraId="79852EA4" w14:textId="77777777" w:rsidR="00036164" w:rsidRDefault="00973DA5">
            <w:pPr>
              <w:pStyle w:val="Jin0"/>
              <w:framePr w:w="9115" w:h="2486" w:wrap="none" w:vAnchor="page" w:hAnchor="page" w:x="1344" w:y="8830"/>
              <w:spacing w:after="0"/>
            </w:pPr>
            <w:r>
              <w:rPr>
                <w:rStyle w:val="Jin"/>
              </w:rPr>
              <w:t>05528518</w:t>
            </w:r>
          </w:p>
          <w:p w14:paraId="055B2FA2" w14:textId="77777777" w:rsidR="00036164" w:rsidRDefault="00973DA5">
            <w:pPr>
              <w:pStyle w:val="Jin0"/>
              <w:framePr w:w="9115" w:h="2486" w:wrap="none" w:vAnchor="page" w:hAnchor="page" w:x="1344" w:y="8830"/>
              <w:spacing w:after="0"/>
            </w:pPr>
            <w:r>
              <w:rPr>
                <w:rStyle w:val="Jin"/>
              </w:rPr>
              <w:t>CZ05528518</w:t>
            </w:r>
          </w:p>
        </w:tc>
      </w:tr>
      <w:tr w:rsidR="00036164" w14:paraId="14DE079C" w14:textId="77777777">
        <w:tblPrEx>
          <w:tblCellMar>
            <w:top w:w="0" w:type="dxa"/>
            <w:bottom w:w="0" w:type="dxa"/>
          </w:tblCellMar>
        </w:tblPrEx>
        <w:trPr>
          <w:trHeight w:hRule="exact" w:val="283"/>
        </w:trPr>
        <w:tc>
          <w:tcPr>
            <w:tcW w:w="1872" w:type="dxa"/>
            <w:shd w:val="clear" w:color="auto" w:fill="auto"/>
            <w:vAlign w:val="bottom"/>
          </w:tcPr>
          <w:p w14:paraId="0E3986CF" w14:textId="77777777" w:rsidR="00036164" w:rsidRDefault="00973DA5">
            <w:pPr>
              <w:pStyle w:val="Jin0"/>
              <w:framePr w:w="9115" w:h="2486" w:wrap="none" w:vAnchor="page" w:hAnchor="page" w:x="1344" w:y="8830"/>
              <w:spacing w:after="0"/>
            </w:pPr>
            <w:r>
              <w:rPr>
                <w:rStyle w:val="Jin"/>
              </w:rPr>
              <w:t>Bankovní spojení:</w:t>
            </w:r>
          </w:p>
        </w:tc>
        <w:tc>
          <w:tcPr>
            <w:tcW w:w="7243" w:type="dxa"/>
            <w:shd w:val="clear" w:color="auto" w:fill="auto"/>
            <w:vAlign w:val="bottom"/>
          </w:tcPr>
          <w:p w14:paraId="4FF56986" w14:textId="369AC2B2" w:rsidR="00036164" w:rsidRDefault="00043103">
            <w:pPr>
              <w:pStyle w:val="Jin0"/>
              <w:framePr w:w="9115" w:h="2486" w:wrap="none" w:vAnchor="page" w:hAnchor="page" w:x="1344" w:y="8830"/>
              <w:spacing w:after="0"/>
            </w:pPr>
            <w:proofErr w:type="spellStart"/>
            <w:r>
              <w:rPr>
                <w:rStyle w:val="Jin"/>
              </w:rPr>
              <w:t>xxx</w:t>
            </w:r>
            <w:proofErr w:type="spellEnd"/>
          </w:p>
        </w:tc>
      </w:tr>
      <w:tr w:rsidR="00036164" w14:paraId="03FCB4F6" w14:textId="77777777">
        <w:tblPrEx>
          <w:tblCellMar>
            <w:top w:w="0" w:type="dxa"/>
            <w:bottom w:w="0" w:type="dxa"/>
          </w:tblCellMar>
        </w:tblPrEx>
        <w:trPr>
          <w:trHeight w:hRule="exact" w:val="547"/>
        </w:trPr>
        <w:tc>
          <w:tcPr>
            <w:tcW w:w="1872" w:type="dxa"/>
            <w:shd w:val="clear" w:color="auto" w:fill="auto"/>
          </w:tcPr>
          <w:p w14:paraId="24D69B8E" w14:textId="77777777" w:rsidR="00036164" w:rsidRDefault="00973DA5">
            <w:pPr>
              <w:pStyle w:val="Jin0"/>
              <w:framePr w:w="9115" w:h="2486" w:wrap="none" w:vAnchor="page" w:hAnchor="page" w:x="1344" w:y="8830"/>
              <w:spacing w:after="0"/>
            </w:pPr>
            <w:r>
              <w:rPr>
                <w:rStyle w:val="Jin"/>
              </w:rPr>
              <w:t>Registrace:</w:t>
            </w:r>
          </w:p>
        </w:tc>
        <w:tc>
          <w:tcPr>
            <w:tcW w:w="7243" w:type="dxa"/>
            <w:shd w:val="clear" w:color="auto" w:fill="auto"/>
          </w:tcPr>
          <w:p w14:paraId="581A4CAF" w14:textId="77777777" w:rsidR="00036164" w:rsidRDefault="00973DA5">
            <w:pPr>
              <w:pStyle w:val="Jin0"/>
              <w:framePr w:w="9115" w:h="2486" w:wrap="none" w:vAnchor="page" w:hAnchor="page" w:x="1344" w:y="8830"/>
              <w:spacing w:after="0"/>
            </w:pPr>
            <w:r>
              <w:rPr>
                <w:rStyle w:val="Jin"/>
              </w:rPr>
              <w:t>Obchodní rejstřík vedený Krajským soudem v Ústí nad Labem, oddíl C, vložka 38337</w:t>
            </w:r>
          </w:p>
        </w:tc>
      </w:tr>
      <w:tr w:rsidR="00036164" w14:paraId="08F16B8C" w14:textId="77777777">
        <w:tblPrEx>
          <w:tblCellMar>
            <w:top w:w="0" w:type="dxa"/>
            <w:bottom w:w="0" w:type="dxa"/>
          </w:tblCellMar>
        </w:tblPrEx>
        <w:trPr>
          <w:trHeight w:hRule="exact" w:val="576"/>
        </w:trPr>
        <w:tc>
          <w:tcPr>
            <w:tcW w:w="1872" w:type="dxa"/>
            <w:shd w:val="clear" w:color="auto" w:fill="auto"/>
          </w:tcPr>
          <w:p w14:paraId="10B6FD9D" w14:textId="77777777" w:rsidR="00036164" w:rsidRDefault="00973DA5">
            <w:pPr>
              <w:pStyle w:val="Jin0"/>
              <w:framePr w:w="9115" w:h="2486" w:wrap="none" w:vAnchor="page" w:hAnchor="page" w:x="1344" w:y="8830"/>
              <w:spacing w:after="0"/>
            </w:pPr>
            <w:r>
              <w:rPr>
                <w:rStyle w:val="Jin"/>
              </w:rPr>
              <w:t>Spojení:</w:t>
            </w:r>
          </w:p>
        </w:tc>
        <w:tc>
          <w:tcPr>
            <w:tcW w:w="7243" w:type="dxa"/>
            <w:tcBorders>
              <w:bottom w:val="single" w:sz="4" w:space="0" w:color="auto"/>
            </w:tcBorders>
            <w:shd w:val="clear" w:color="auto" w:fill="auto"/>
            <w:vAlign w:val="bottom"/>
          </w:tcPr>
          <w:p w14:paraId="572C2502" w14:textId="4E8EBB2F" w:rsidR="00036164" w:rsidRDefault="00973DA5">
            <w:pPr>
              <w:pStyle w:val="Jin0"/>
              <w:framePr w:w="9115" w:h="2486" w:wrap="none" w:vAnchor="page" w:hAnchor="page" w:x="1344" w:y="8830"/>
              <w:spacing w:after="0"/>
            </w:pPr>
            <w:r>
              <w:rPr>
                <w:rStyle w:val="Jin"/>
              </w:rPr>
              <w:t xml:space="preserve">tel.: + 420 </w:t>
            </w:r>
            <w:proofErr w:type="spellStart"/>
            <w:r w:rsidR="00043103">
              <w:rPr>
                <w:rStyle w:val="Jin"/>
              </w:rPr>
              <w:t>xxx</w:t>
            </w:r>
            <w:proofErr w:type="spellEnd"/>
            <w:r w:rsidR="00043103">
              <w:rPr>
                <w:rStyle w:val="Jin"/>
              </w:rPr>
              <w:t xml:space="preserve"> </w:t>
            </w:r>
            <w:proofErr w:type="spellStart"/>
            <w:r w:rsidR="00043103">
              <w:rPr>
                <w:rStyle w:val="Jin"/>
              </w:rPr>
              <w:t>xxx</w:t>
            </w:r>
            <w:proofErr w:type="spellEnd"/>
            <w:r w:rsidR="00043103">
              <w:rPr>
                <w:rStyle w:val="Jin"/>
              </w:rPr>
              <w:t xml:space="preserve"> </w:t>
            </w:r>
            <w:proofErr w:type="spellStart"/>
            <w:r w:rsidR="00043103">
              <w:rPr>
                <w:rStyle w:val="Jin"/>
              </w:rPr>
              <w:t>xxx</w:t>
            </w:r>
            <w:proofErr w:type="spellEnd"/>
            <w:r>
              <w:rPr>
                <w:rStyle w:val="Jin"/>
              </w:rPr>
              <w:t xml:space="preserve">; e-mail: </w:t>
            </w:r>
            <w:r w:rsidR="00043103">
              <w:rPr>
                <w:rStyle w:val="Jin"/>
                <w:color w:val="5380B2"/>
                <w:u w:val="single"/>
                <w:lang w:val="en-US" w:eastAsia="en-US"/>
              </w:rPr>
              <w:t>xxx</w:t>
            </w:r>
            <w:r>
              <w:rPr>
                <w:rStyle w:val="Jin"/>
                <w:color w:val="5380B2"/>
                <w:lang w:val="en-US" w:eastAsia="en-US"/>
              </w:rPr>
              <w:t xml:space="preserve"> </w:t>
            </w:r>
            <w:r>
              <w:rPr>
                <w:rStyle w:val="Jin"/>
              </w:rPr>
              <w:t>(prodejna)</w:t>
            </w:r>
          </w:p>
          <w:p w14:paraId="5394A7AD" w14:textId="59E8207C" w:rsidR="00036164" w:rsidRDefault="00973DA5">
            <w:pPr>
              <w:pStyle w:val="Jin0"/>
              <w:framePr w:w="9115" w:h="2486" w:wrap="none" w:vAnchor="page" w:hAnchor="page" w:x="1344" w:y="8830"/>
              <w:spacing w:after="0"/>
            </w:pPr>
            <w:r>
              <w:rPr>
                <w:rStyle w:val="Jin"/>
              </w:rPr>
              <w:t xml:space="preserve">tel.: + 420 </w:t>
            </w:r>
            <w:proofErr w:type="spellStart"/>
            <w:r w:rsidR="00043103">
              <w:rPr>
                <w:rStyle w:val="Jin"/>
              </w:rPr>
              <w:t>xxx</w:t>
            </w:r>
            <w:proofErr w:type="spellEnd"/>
            <w:r w:rsidR="00043103">
              <w:rPr>
                <w:rStyle w:val="Jin"/>
              </w:rPr>
              <w:t xml:space="preserve"> </w:t>
            </w:r>
            <w:proofErr w:type="spellStart"/>
            <w:r w:rsidR="00043103">
              <w:rPr>
                <w:rStyle w:val="Jin"/>
              </w:rPr>
              <w:t>xxx</w:t>
            </w:r>
            <w:proofErr w:type="spellEnd"/>
            <w:r w:rsidR="00043103">
              <w:rPr>
                <w:rStyle w:val="Jin"/>
              </w:rPr>
              <w:t xml:space="preserve"> </w:t>
            </w:r>
            <w:proofErr w:type="spellStart"/>
            <w:r w:rsidR="00043103">
              <w:rPr>
                <w:rStyle w:val="Jin"/>
              </w:rPr>
              <w:t>xxx</w:t>
            </w:r>
            <w:proofErr w:type="spellEnd"/>
            <w:r>
              <w:rPr>
                <w:rStyle w:val="Jin"/>
              </w:rPr>
              <w:t xml:space="preserve">; e-mail: </w:t>
            </w:r>
            <w:hyperlink r:id="rId8" w:history="1">
              <w:r w:rsidR="00043103" w:rsidRPr="00EF438F">
                <w:rPr>
                  <w:rStyle w:val="Hypertextovodkaz"/>
                </w:rPr>
                <w:t>xxx@dvorakasvn.cz</w:t>
              </w:r>
            </w:hyperlink>
            <w:r>
              <w:rPr>
                <w:rStyle w:val="Jin"/>
                <w:color w:val="5380B2"/>
              </w:rPr>
              <w:t xml:space="preserve"> </w:t>
            </w:r>
            <w:r>
              <w:rPr>
                <w:rStyle w:val="Jin"/>
              </w:rPr>
              <w:t>(vedení)</w:t>
            </w:r>
          </w:p>
        </w:tc>
      </w:tr>
    </w:tbl>
    <w:p w14:paraId="30B78937" w14:textId="77777777" w:rsidR="00036164" w:rsidRDefault="00973DA5">
      <w:pPr>
        <w:pStyle w:val="Titulektabulky0"/>
        <w:framePr w:wrap="none" w:vAnchor="page" w:hAnchor="page" w:x="1411" w:y="11317"/>
        <w:rPr>
          <w:sz w:val="22"/>
          <w:szCs w:val="22"/>
        </w:rPr>
      </w:pPr>
      <w:r>
        <w:rPr>
          <w:rStyle w:val="Titulektabulky"/>
          <w:i/>
          <w:iCs/>
        </w:rPr>
        <w:t xml:space="preserve">(dále jen </w:t>
      </w:r>
      <w:r>
        <w:rPr>
          <w:rStyle w:val="Titulektabulky"/>
          <w:b/>
          <w:bCs/>
          <w:i/>
          <w:iCs/>
          <w:sz w:val="22"/>
          <w:szCs w:val="22"/>
        </w:rPr>
        <w:t>„podnájemce “)</w:t>
      </w:r>
    </w:p>
    <w:p w14:paraId="0C17D508" w14:textId="77777777" w:rsidR="00036164" w:rsidRDefault="00973DA5">
      <w:pPr>
        <w:pStyle w:val="Nadpis20"/>
        <w:framePr w:w="9149" w:h="3547" w:hRule="exact" w:wrap="none" w:vAnchor="page" w:hAnchor="page" w:x="1339" w:y="12094"/>
        <w:spacing w:after="0" w:line="230" w:lineRule="auto"/>
      </w:pPr>
      <w:bookmarkStart w:id="2" w:name="bookmark4"/>
      <w:r>
        <w:rPr>
          <w:rStyle w:val="Nadpis2"/>
          <w:b/>
          <w:bCs/>
        </w:rPr>
        <w:t>Článek I.</w:t>
      </w:r>
      <w:bookmarkEnd w:id="2"/>
    </w:p>
    <w:p w14:paraId="0954436A" w14:textId="77777777" w:rsidR="00036164" w:rsidRDefault="00973DA5">
      <w:pPr>
        <w:pStyle w:val="Nadpis20"/>
        <w:framePr w:w="9149" w:h="3547" w:hRule="exact" w:wrap="none" w:vAnchor="page" w:hAnchor="page" w:x="1339" w:y="12094"/>
        <w:spacing w:after="260" w:line="230" w:lineRule="auto"/>
      </w:pPr>
      <w:r>
        <w:rPr>
          <w:rStyle w:val="Nadpis2"/>
          <w:b/>
          <w:bCs/>
        </w:rPr>
        <w:t>Preambule</w:t>
      </w:r>
    </w:p>
    <w:p w14:paraId="00AAF322" w14:textId="77777777" w:rsidR="00036164" w:rsidRDefault="00973DA5">
      <w:pPr>
        <w:pStyle w:val="Zkladntext1"/>
        <w:framePr w:w="9149" w:h="3547" w:hRule="exact" w:wrap="none" w:vAnchor="page" w:hAnchor="page" w:x="1339" w:y="12094"/>
        <w:spacing w:after="260"/>
        <w:jc w:val="both"/>
      </w:pPr>
      <w:r>
        <w:rPr>
          <w:rStyle w:val="Zkladntext"/>
        </w:rPr>
        <w:t xml:space="preserve">Na základě nájemní smlouvy č. 698/7/2024 uzavřené dle </w:t>
      </w:r>
      <w:r>
        <w:rPr>
          <w:rStyle w:val="Zkladntext"/>
        </w:rPr>
        <w:t xml:space="preserve">usnesení Zastupitelstva města Mostu č. </w:t>
      </w:r>
      <w:proofErr w:type="spellStart"/>
      <w:r>
        <w:rPr>
          <w:rStyle w:val="Zkladntext"/>
        </w:rPr>
        <w:t>ZmM</w:t>
      </w:r>
      <w:proofErr w:type="spellEnd"/>
      <w:r>
        <w:rPr>
          <w:rStyle w:val="Zkladntext"/>
        </w:rPr>
        <w:t xml:space="preserve">/0546/15/2024 ze dne 12. 12. 2024 je společnost SPORTOVNÍ AREÁLY MOST, a.s. oprávněna </w:t>
      </w:r>
      <w:proofErr w:type="spellStart"/>
      <w:r>
        <w:rPr>
          <w:rStyle w:val="Zkladntext"/>
        </w:rPr>
        <w:t>podnajímat</w:t>
      </w:r>
      <w:proofErr w:type="spellEnd"/>
      <w:r>
        <w:rPr>
          <w:rStyle w:val="Zkladntext"/>
        </w:rPr>
        <w:t xml:space="preserve"> následující nemovitosti:</w:t>
      </w:r>
    </w:p>
    <w:p w14:paraId="393E069D" w14:textId="77777777" w:rsidR="00036164" w:rsidRDefault="00973DA5">
      <w:pPr>
        <w:pStyle w:val="Zkladntext1"/>
        <w:framePr w:w="9149" w:h="3547" w:hRule="exact" w:wrap="none" w:vAnchor="page" w:hAnchor="page" w:x="1339" w:y="12094"/>
        <w:numPr>
          <w:ilvl w:val="0"/>
          <w:numId w:val="1"/>
        </w:numPr>
        <w:tabs>
          <w:tab w:val="left" w:pos="533"/>
        </w:tabs>
        <w:spacing w:after="0" w:line="230" w:lineRule="auto"/>
      </w:pPr>
      <w:r>
        <w:rPr>
          <w:rStyle w:val="Zkladntext"/>
        </w:rPr>
        <w:t xml:space="preserve">budovy č.p. 1700, která je součástí </w:t>
      </w:r>
      <w:proofErr w:type="spellStart"/>
      <w:r>
        <w:rPr>
          <w:rStyle w:val="Zkladntext"/>
        </w:rPr>
        <w:t>ppč</w:t>
      </w:r>
      <w:proofErr w:type="spellEnd"/>
      <w:r>
        <w:rPr>
          <w:rStyle w:val="Zkladntext"/>
        </w:rPr>
        <w:t>. 7499/2 o výměře 7 472 m</w:t>
      </w:r>
      <w:r>
        <w:rPr>
          <w:rStyle w:val="Zkladntext"/>
          <w:vertAlign w:val="superscript"/>
        </w:rPr>
        <w:t>2</w:t>
      </w:r>
    </w:p>
    <w:p w14:paraId="1B9095C5" w14:textId="77777777" w:rsidR="00036164" w:rsidRDefault="00973DA5">
      <w:pPr>
        <w:pStyle w:val="Zkladntext1"/>
        <w:framePr w:w="9149" w:h="3547" w:hRule="exact" w:wrap="none" w:vAnchor="page" w:hAnchor="page" w:x="1339" w:y="12094"/>
        <w:numPr>
          <w:ilvl w:val="0"/>
          <w:numId w:val="1"/>
        </w:numPr>
        <w:tabs>
          <w:tab w:val="left" w:pos="533"/>
        </w:tabs>
        <w:spacing w:after="0" w:line="221" w:lineRule="auto"/>
      </w:pPr>
      <w:r>
        <w:rPr>
          <w:rStyle w:val="Zkladntext"/>
        </w:rPr>
        <w:t xml:space="preserve">pozemku </w:t>
      </w:r>
      <w:proofErr w:type="spellStart"/>
      <w:r>
        <w:rPr>
          <w:rStyle w:val="Zkladntext"/>
        </w:rPr>
        <w:t>p.č</w:t>
      </w:r>
      <w:proofErr w:type="spellEnd"/>
      <w:r>
        <w:rPr>
          <w:rStyle w:val="Zkladntext"/>
        </w:rPr>
        <w:t>. 7499/1 o výměře 17 913 m</w:t>
      </w:r>
      <w:r>
        <w:rPr>
          <w:rStyle w:val="Zkladntext"/>
          <w:vertAlign w:val="superscript"/>
        </w:rPr>
        <w:t>2</w:t>
      </w:r>
    </w:p>
    <w:p w14:paraId="14CE789E" w14:textId="77777777" w:rsidR="00036164" w:rsidRDefault="00973DA5">
      <w:pPr>
        <w:pStyle w:val="Zkladntext1"/>
        <w:framePr w:w="9149" w:h="3547" w:hRule="exact" w:wrap="none" w:vAnchor="page" w:hAnchor="page" w:x="1339" w:y="12094"/>
        <w:spacing w:after="260"/>
        <w:jc w:val="both"/>
        <w:rPr>
          <w:sz w:val="22"/>
          <w:szCs w:val="22"/>
        </w:rPr>
      </w:pPr>
      <w:r>
        <w:rPr>
          <w:rStyle w:val="Zkladntext"/>
          <w:i/>
          <w:iCs/>
          <w:sz w:val="22"/>
          <w:szCs w:val="22"/>
        </w:rPr>
        <w:t xml:space="preserve">(vše u ulici </w:t>
      </w:r>
      <w:proofErr w:type="spellStart"/>
      <w:r>
        <w:rPr>
          <w:rStyle w:val="Zkladntext"/>
          <w:i/>
          <w:iCs/>
          <w:sz w:val="22"/>
          <w:szCs w:val="22"/>
        </w:rPr>
        <w:t>Rudolická</w:t>
      </w:r>
      <w:proofErr w:type="spellEnd"/>
      <w:r>
        <w:rPr>
          <w:rStyle w:val="Zkladntext"/>
          <w:i/>
          <w:iCs/>
          <w:sz w:val="22"/>
          <w:szCs w:val="22"/>
        </w:rPr>
        <w:t xml:space="preserve"> v Mostě v </w:t>
      </w:r>
      <w:proofErr w:type="spellStart"/>
      <w:r>
        <w:rPr>
          <w:rStyle w:val="Zkladntext"/>
          <w:i/>
          <w:iCs/>
          <w:sz w:val="22"/>
          <w:szCs w:val="22"/>
        </w:rPr>
        <w:t>k.ú</w:t>
      </w:r>
      <w:proofErr w:type="spellEnd"/>
      <w:r>
        <w:rPr>
          <w:rStyle w:val="Zkladntext"/>
          <w:i/>
          <w:iCs/>
          <w:sz w:val="22"/>
          <w:szCs w:val="22"/>
        </w:rPr>
        <w:t xml:space="preserve">. Most II, zapsáno na </w:t>
      </w:r>
      <w:proofErr w:type="spellStart"/>
      <w:r>
        <w:rPr>
          <w:rStyle w:val="Zkladntext"/>
          <w:i/>
          <w:iCs/>
          <w:sz w:val="22"/>
          <w:szCs w:val="22"/>
        </w:rPr>
        <w:t>LVč</w:t>
      </w:r>
      <w:proofErr w:type="spellEnd"/>
      <w:r>
        <w:rPr>
          <w:rStyle w:val="Zkladntext"/>
          <w:i/>
          <w:iCs/>
          <w:sz w:val="22"/>
          <w:szCs w:val="22"/>
        </w:rPr>
        <w:t>. 1 pro obec Most v katastru nemovitostí Katastrálního úřadu pro Ústecký kraj, Katastrální pracoviště Most),</w:t>
      </w:r>
    </w:p>
    <w:p w14:paraId="4FF5F4E7" w14:textId="77777777" w:rsidR="00036164" w:rsidRDefault="00973DA5">
      <w:pPr>
        <w:pStyle w:val="Zkladntext1"/>
        <w:framePr w:w="9149" w:h="3547" w:hRule="exact" w:wrap="none" w:vAnchor="page" w:hAnchor="page" w:x="1339" w:y="12094"/>
        <w:spacing w:after="0" w:line="230" w:lineRule="auto"/>
        <w:jc w:val="both"/>
      </w:pPr>
      <w:r>
        <w:rPr>
          <w:rStyle w:val="Zkladntext"/>
        </w:rPr>
        <w:t>dále též Areál zimního stadionu.</w:t>
      </w:r>
    </w:p>
    <w:p w14:paraId="29C121E7" w14:textId="77777777" w:rsidR="00036164" w:rsidRDefault="00036164">
      <w:pPr>
        <w:spacing w:line="1" w:lineRule="exact"/>
        <w:sectPr w:rsidR="00036164">
          <w:pgSz w:w="11906" w:h="16838"/>
          <w:pgMar w:top="360" w:right="360" w:bottom="360" w:left="360" w:header="0" w:footer="3" w:gutter="0"/>
          <w:cols w:space="720"/>
          <w:noEndnote/>
          <w:docGrid w:linePitch="360"/>
        </w:sectPr>
      </w:pPr>
    </w:p>
    <w:p w14:paraId="713E688A" w14:textId="77777777" w:rsidR="00036164" w:rsidRDefault="00036164">
      <w:pPr>
        <w:spacing w:line="1" w:lineRule="exact"/>
      </w:pPr>
    </w:p>
    <w:p w14:paraId="023D7D3C" w14:textId="77777777" w:rsidR="00036164" w:rsidRDefault="00973DA5">
      <w:pPr>
        <w:pStyle w:val="Nadpis20"/>
        <w:framePr w:w="9139" w:h="11242" w:hRule="exact" w:wrap="none" w:vAnchor="page" w:hAnchor="page" w:x="1344" w:y="2178"/>
        <w:spacing w:after="0"/>
      </w:pPr>
      <w:bookmarkStart w:id="3" w:name="bookmark7"/>
      <w:r>
        <w:rPr>
          <w:rStyle w:val="Nadpis2"/>
          <w:b/>
          <w:bCs/>
        </w:rPr>
        <w:t>Článek II.</w:t>
      </w:r>
      <w:bookmarkEnd w:id="3"/>
    </w:p>
    <w:p w14:paraId="0BFA0718" w14:textId="77777777" w:rsidR="00036164" w:rsidRDefault="00973DA5">
      <w:pPr>
        <w:pStyle w:val="Nadpis20"/>
        <w:framePr w:w="9139" w:h="11242" w:hRule="exact" w:wrap="none" w:vAnchor="page" w:hAnchor="page" w:x="1344" w:y="2178"/>
        <w:spacing w:after="220"/>
      </w:pPr>
      <w:r>
        <w:rPr>
          <w:rStyle w:val="Nadpis2"/>
          <w:b/>
          <w:bCs/>
        </w:rPr>
        <w:t>Předmět a účel smlouvy</w:t>
      </w:r>
    </w:p>
    <w:p w14:paraId="11EEE237" w14:textId="77777777" w:rsidR="00036164" w:rsidRDefault="00973DA5">
      <w:pPr>
        <w:pStyle w:val="Zkladntext1"/>
        <w:framePr w:w="9139" w:h="11242" w:hRule="exact" w:wrap="none" w:vAnchor="page" w:hAnchor="page" w:x="1344" w:y="2178"/>
        <w:numPr>
          <w:ilvl w:val="0"/>
          <w:numId w:val="2"/>
        </w:numPr>
        <w:tabs>
          <w:tab w:val="left" w:pos="550"/>
        </w:tabs>
        <w:ind w:left="540" w:hanging="540"/>
        <w:jc w:val="both"/>
      </w:pPr>
      <w:r>
        <w:rPr>
          <w:rStyle w:val="Zkladntext"/>
        </w:rPr>
        <w:t>Na základě této smlouvy nájemce přenechává podnájemci do užívání prostory umístěné v areálu Zimního stadionu Most za účelem provozování prodejny květin, zahrádkářských potřeb a dalšího souvisejícího sortimentu.</w:t>
      </w:r>
    </w:p>
    <w:p w14:paraId="14690ED2" w14:textId="77777777" w:rsidR="00036164" w:rsidRDefault="00973DA5">
      <w:pPr>
        <w:pStyle w:val="Zkladntext1"/>
        <w:framePr w:w="9139" w:h="11242" w:hRule="exact" w:wrap="none" w:vAnchor="page" w:hAnchor="page" w:x="1344" w:y="2178"/>
        <w:numPr>
          <w:ilvl w:val="0"/>
          <w:numId w:val="2"/>
        </w:numPr>
        <w:tabs>
          <w:tab w:val="left" w:pos="550"/>
        </w:tabs>
        <w:spacing w:after="100"/>
        <w:ind w:left="540" w:hanging="540"/>
        <w:jc w:val="both"/>
      </w:pPr>
      <w:r>
        <w:rPr>
          <w:rStyle w:val="Zkladntext"/>
        </w:rPr>
        <w:t xml:space="preserve">Pro zajištění služeb v </w:t>
      </w:r>
      <w:r>
        <w:rPr>
          <w:rStyle w:val="Zkladntext"/>
        </w:rPr>
        <w:t>odstavci 1 nájemce přenechává podnájemci následující prostory v celkové výměře 340 m</w:t>
      </w:r>
      <w:r>
        <w:rPr>
          <w:rStyle w:val="Zkladntext"/>
          <w:vertAlign w:val="superscript"/>
        </w:rPr>
        <w:t>2</w:t>
      </w:r>
      <w:r>
        <w:rPr>
          <w:rStyle w:val="Zkladntext"/>
        </w:rPr>
        <w:t>:</w:t>
      </w:r>
    </w:p>
    <w:p w14:paraId="1D6A5762" w14:textId="77777777" w:rsidR="00036164" w:rsidRDefault="00973DA5">
      <w:pPr>
        <w:pStyle w:val="Zkladntext1"/>
        <w:framePr w:w="9139" w:h="11242" w:hRule="exact" w:wrap="none" w:vAnchor="page" w:hAnchor="page" w:x="1344" w:y="2178"/>
        <w:spacing w:after="100"/>
        <w:ind w:firstLine="540"/>
        <w:jc w:val="both"/>
      </w:pPr>
      <w:r>
        <w:rPr>
          <w:rStyle w:val="Zkladntext"/>
          <w:b/>
          <w:bCs/>
        </w:rPr>
        <w:t>vnitřní prostory (100 m</w:t>
      </w:r>
      <w:r>
        <w:rPr>
          <w:rStyle w:val="Zkladntext"/>
          <w:b/>
          <w:bCs/>
          <w:vertAlign w:val="superscript"/>
        </w:rPr>
        <w:t>2</w:t>
      </w:r>
      <w:r>
        <w:rPr>
          <w:rStyle w:val="Zkladntext"/>
          <w:b/>
          <w:bCs/>
        </w:rPr>
        <w:t>) - kancelář, skladové prostory</w:t>
      </w:r>
    </w:p>
    <w:p w14:paraId="13A71891" w14:textId="77777777" w:rsidR="00036164" w:rsidRDefault="00973DA5">
      <w:pPr>
        <w:pStyle w:val="Zkladntext1"/>
        <w:framePr w:w="9139" w:h="11242" w:hRule="exact" w:wrap="none" w:vAnchor="page" w:hAnchor="page" w:x="1344" w:y="2178"/>
        <w:spacing w:after="100"/>
        <w:ind w:firstLine="540"/>
        <w:jc w:val="both"/>
      </w:pPr>
      <w:r>
        <w:rPr>
          <w:rStyle w:val="Zkladntext"/>
          <w:b/>
          <w:bCs/>
        </w:rPr>
        <w:t>venkovní prostory (240 m</w:t>
      </w:r>
      <w:r>
        <w:rPr>
          <w:rStyle w:val="Zkladntext"/>
          <w:b/>
          <w:bCs/>
          <w:vertAlign w:val="superscript"/>
        </w:rPr>
        <w:t>2</w:t>
      </w:r>
      <w:r>
        <w:rPr>
          <w:rStyle w:val="Zkladntext"/>
          <w:b/>
          <w:bCs/>
        </w:rPr>
        <w:t>) - zázemí před prodejnou</w:t>
      </w:r>
    </w:p>
    <w:p w14:paraId="0C663939" w14:textId="77777777" w:rsidR="00036164" w:rsidRDefault="00973DA5">
      <w:pPr>
        <w:pStyle w:val="Zkladntext1"/>
        <w:framePr w:w="9139" w:h="11242" w:hRule="exact" w:wrap="none" w:vAnchor="page" w:hAnchor="page" w:x="1344" w:y="2178"/>
        <w:spacing w:after="100"/>
        <w:jc w:val="both"/>
      </w:pPr>
      <w:r>
        <w:rPr>
          <w:rStyle w:val="Zkladntext"/>
          <w:i/>
          <w:iCs/>
        </w:rPr>
        <w:t>dále jen „předmět podnájmu “.</w:t>
      </w:r>
    </w:p>
    <w:p w14:paraId="48AE06ED" w14:textId="77777777" w:rsidR="00036164" w:rsidRDefault="00973DA5">
      <w:pPr>
        <w:pStyle w:val="Zkladntext1"/>
        <w:framePr w:w="9139" w:h="11242" w:hRule="exact" w:wrap="none" w:vAnchor="page" w:hAnchor="page" w:x="1344" w:y="2178"/>
        <w:numPr>
          <w:ilvl w:val="0"/>
          <w:numId w:val="2"/>
        </w:numPr>
        <w:tabs>
          <w:tab w:val="left" w:pos="550"/>
        </w:tabs>
        <w:spacing w:after="260"/>
        <w:ind w:left="540" w:hanging="540"/>
        <w:jc w:val="both"/>
      </w:pPr>
      <w:r>
        <w:rPr>
          <w:rStyle w:val="Zkladntext"/>
        </w:rPr>
        <w:t xml:space="preserve">Rozsah předmětu nájmu je </w:t>
      </w:r>
      <w:r>
        <w:rPr>
          <w:rStyle w:val="Zkladntext"/>
        </w:rPr>
        <w:t>vyznačen na situačním plánku budovy, který je součástí této smlouvy. Smluvní strany konstatují, že je jim rozsah a umístění předmětu nájmu zřejmé a způsob jeho určení považují za dostatečně určitý.</w:t>
      </w:r>
    </w:p>
    <w:p w14:paraId="574C91AB" w14:textId="77777777" w:rsidR="00036164" w:rsidRDefault="00973DA5">
      <w:pPr>
        <w:pStyle w:val="Nadpis20"/>
        <w:framePr w:w="9139" w:h="11242" w:hRule="exact" w:wrap="none" w:vAnchor="page" w:hAnchor="page" w:x="1344" w:y="2178"/>
        <w:spacing w:after="0"/>
      </w:pPr>
      <w:bookmarkStart w:id="4" w:name="bookmark10"/>
      <w:r>
        <w:rPr>
          <w:rStyle w:val="Nadpis2"/>
          <w:b/>
          <w:bCs/>
        </w:rPr>
        <w:t>Článek III.</w:t>
      </w:r>
      <w:bookmarkEnd w:id="4"/>
    </w:p>
    <w:p w14:paraId="2F7D2DEE" w14:textId="77777777" w:rsidR="00036164" w:rsidRDefault="00973DA5">
      <w:pPr>
        <w:pStyle w:val="Nadpis20"/>
        <w:framePr w:w="9139" w:h="11242" w:hRule="exact" w:wrap="none" w:vAnchor="page" w:hAnchor="page" w:x="1344" w:y="2178"/>
        <w:spacing w:after="220"/>
      </w:pPr>
      <w:r>
        <w:rPr>
          <w:rStyle w:val="Nadpis2"/>
          <w:b/>
          <w:bCs/>
        </w:rPr>
        <w:t>Výše podnájmu a způsob úhrady</w:t>
      </w:r>
    </w:p>
    <w:p w14:paraId="7057D102" w14:textId="77777777" w:rsidR="00036164" w:rsidRDefault="00973DA5">
      <w:pPr>
        <w:pStyle w:val="Zkladntext1"/>
        <w:framePr w:w="9139" w:h="11242" w:hRule="exact" w:wrap="none" w:vAnchor="page" w:hAnchor="page" w:x="1344" w:y="2178"/>
        <w:numPr>
          <w:ilvl w:val="0"/>
          <w:numId w:val="3"/>
        </w:numPr>
        <w:tabs>
          <w:tab w:val="left" w:pos="550"/>
        </w:tabs>
        <w:ind w:left="540" w:hanging="540"/>
        <w:jc w:val="both"/>
      </w:pPr>
      <w:r>
        <w:rPr>
          <w:rStyle w:val="Zkladntext"/>
        </w:rPr>
        <w:t xml:space="preserve">Podnájemce bude nájemné a spotřebu energií hradit nájemci měsíčně. Nájemné činí </w:t>
      </w:r>
      <w:r>
        <w:rPr>
          <w:rStyle w:val="Zkladntext"/>
          <w:b/>
          <w:bCs/>
        </w:rPr>
        <w:t xml:space="preserve">17 127,77 Kč bez DPH, </w:t>
      </w:r>
      <w:r>
        <w:rPr>
          <w:rStyle w:val="Zkladntext"/>
        </w:rPr>
        <w:t xml:space="preserve">vodné, stočné a teplo pak paušálně </w:t>
      </w:r>
      <w:r>
        <w:rPr>
          <w:rStyle w:val="Zkladntext"/>
          <w:b/>
          <w:bCs/>
        </w:rPr>
        <w:t xml:space="preserve">9 398,55 Kč bez DPH </w:t>
      </w:r>
      <w:r>
        <w:rPr>
          <w:rStyle w:val="Zkladntext"/>
        </w:rPr>
        <w:t xml:space="preserve">a elektrická energie bude účtována </w:t>
      </w:r>
      <w:r>
        <w:rPr>
          <w:rStyle w:val="Zkladntext"/>
          <w:b/>
          <w:bCs/>
        </w:rPr>
        <w:t>měsíčně dle skutečnosti na základě odečtu elektroměru.</w:t>
      </w:r>
    </w:p>
    <w:p w14:paraId="73FA39DA" w14:textId="77777777" w:rsidR="00036164" w:rsidRDefault="00973DA5">
      <w:pPr>
        <w:pStyle w:val="Zkladntext1"/>
        <w:framePr w:w="9139" w:h="11242" w:hRule="exact" w:wrap="none" w:vAnchor="page" w:hAnchor="page" w:x="1344" w:y="2178"/>
        <w:ind w:left="540" w:firstLine="20"/>
        <w:jc w:val="both"/>
      </w:pPr>
      <w:r>
        <w:rPr>
          <w:rStyle w:val="Zkladntext"/>
        </w:rPr>
        <w:t xml:space="preserve">K částce bude u dotčených položek připočtena platná sazba DPH. Rozpis jednotlivých položek je uveden ve </w:t>
      </w:r>
      <w:r>
        <w:rPr>
          <w:rStyle w:val="Zkladntext"/>
          <w:b/>
          <w:bCs/>
        </w:rPr>
        <w:t xml:space="preserve">výpočtovém listu, </w:t>
      </w:r>
      <w:r>
        <w:rPr>
          <w:rStyle w:val="Zkladntext"/>
        </w:rPr>
        <w:t>který je nedílnou přílohou této smlouvy.</w:t>
      </w:r>
    </w:p>
    <w:p w14:paraId="618A5169" w14:textId="77777777" w:rsidR="00036164" w:rsidRDefault="00973DA5">
      <w:pPr>
        <w:pStyle w:val="Zkladntext1"/>
        <w:framePr w:w="9139" w:h="11242" w:hRule="exact" w:wrap="none" w:vAnchor="page" w:hAnchor="page" w:x="1344" w:y="2178"/>
        <w:numPr>
          <w:ilvl w:val="0"/>
          <w:numId w:val="3"/>
        </w:numPr>
        <w:tabs>
          <w:tab w:val="left" w:pos="550"/>
        </w:tabs>
        <w:ind w:left="540" w:hanging="540"/>
        <w:jc w:val="both"/>
      </w:pPr>
      <w:r>
        <w:rPr>
          <w:rStyle w:val="Zkladntext"/>
        </w:rPr>
        <w:t>Platby nájemného budou prováděny na základě vystavené faktury za uplynulý měsíc. Splatnost faktury se sjednává v délce 30 dnů. V případě nedodržení tohoto termínu vzniká podnájemci povinnost zaplatit smluvní pokutu ve výši 0,4 % za každý započatý den prodlení z dlužné částky vč. DPH.</w:t>
      </w:r>
    </w:p>
    <w:p w14:paraId="126214AB" w14:textId="77777777" w:rsidR="00036164" w:rsidRDefault="00973DA5">
      <w:pPr>
        <w:pStyle w:val="Zkladntext1"/>
        <w:framePr w:w="9139" w:h="11242" w:hRule="exact" w:wrap="none" w:vAnchor="page" w:hAnchor="page" w:x="1344" w:y="2178"/>
        <w:numPr>
          <w:ilvl w:val="0"/>
          <w:numId w:val="3"/>
        </w:numPr>
        <w:tabs>
          <w:tab w:val="left" w:pos="550"/>
        </w:tabs>
        <w:ind w:left="540" w:hanging="540"/>
        <w:jc w:val="both"/>
      </w:pPr>
      <w:r>
        <w:rPr>
          <w:rStyle w:val="Zkladntext"/>
        </w:rPr>
        <w:t xml:space="preserve">V případě prodlení s placením nájemného delším 10 dnů, bere podnájemce na vědomí, že je tímto dán důvod pro odstoupení od této smlouvy ze strany nájemce </w:t>
      </w:r>
      <w:proofErr w:type="spellStart"/>
      <w:r>
        <w:rPr>
          <w:rStyle w:val="Zkladntext"/>
        </w:rPr>
        <w:t>kdatu</w:t>
      </w:r>
      <w:proofErr w:type="spellEnd"/>
      <w:r>
        <w:rPr>
          <w:rStyle w:val="Zkladntext"/>
        </w:rPr>
        <w:t>, který nájemce určí; nárok na smluvní pokutu tím není dotčen.</w:t>
      </w:r>
    </w:p>
    <w:p w14:paraId="57BFB0B2" w14:textId="77777777" w:rsidR="00036164" w:rsidRDefault="00973DA5">
      <w:pPr>
        <w:pStyle w:val="Zkladntext1"/>
        <w:framePr w:w="9139" w:h="11242" w:hRule="exact" w:wrap="none" w:vAnchor="page" w:hAnchor="page" w:x="1344" w:y="2178"/>
        <w:numPr>
          <w:ilvl w:val="0"/>
          <w:numId w:val="3"/>
        </w:numPr>
        <w:tabs>
          <w:tab w:val="left" w:pos="550"/>
        </w:tabs>
        <w:jc w:val="both"/>
      </w:pPr>
      <w:r>
        <w:rPr>
          <w:rStyle w:val="Zkladntext"/>
        </w:rPr>
        <w:t>Podnájemce je povinen plnit řádně a včas platební povinnosti plynoucí z této smlouvy.</w:t>
      </w:r>
    </w:p>
    <w:p w14:paraId="6FEA8EED" w14:textId="77777777" w:rsidR="00036164" w:rsidRDefault="00973DA5">
      <w:pPr>
        <w:pStyle w:val="Zkladntext1"/>
        <w:framePr w:w="9139" w:h="11242" w:hRule="exact" w:wrap="none" w:vAnchor="page" w:hAnchor="page" w:x="1344" w:y="2178"/>
        <w:numPr>
          <w:ilvl w:val="0"/>
          <w:numId w:val="3"/>
        </w:numPr>
        <w:tabs>
          <w:tab w:val="left" w:pos="550"/>
        </w:tabs>
        <w:spacing w:after="0"/>
        <w:ind w:left="540" w:hanging="540"/>
        <w:jc w:val="both"/>
      </w:pPr>
      <w:r>
        <w:rPr>
          <w:rStyle w:val="Zkladntext"/>
        </w:rPr>
        <w:t>Faktury budou zasílány pouze v elektronické podobě s platností originálu. Podnájemce sdělí e-mail, případně ID datové schránky pro zasílání faktur.</w:t>
      </w:r>
    </w:p>
    <w:p w14:paraId="147A1A61" w14:textId="77777777" w:rsidR="00036164" w:rsidRDefault="00036164">
      <w:pPr>
        <w:spacing w:line="1" w:lineRule="exact"/>
        <w:sectPr w:rsidR="00036164">
          <w:pgSz w:w="11906" w:h="16838"/>
          <w:pgMar w:top="360" w:right="360" w:bottom="360" w:left="360" w:header="0" w:footer="3" w:gutter="0"/>
          <w:cols w:space="720"/>
          <w:noEndnote/>
          <w:docGrid w:linePitch="360"/>
        </w:sectPr>
      </w:pPr>
    </w:p>
    <w:p w14:paraId="2B52AD84" w14:textId="77777777" w:rsidR="00036164" w:rsidRDefault="00036164">
      <w:pPr>
        <w:spacing w:line="1" w:lineRule="exact"/>
      </w:pPr>
    </w:p>
    <w:p w14:paraId="1DD77639" w14:textId="77777777" w:rsidR="00036164" w:rsidRDefault="00973DA5">
      <w:pPr>
        <w:pStyle w:val="Nadpis20"/>
        <w:framePr w:w="9149" w:h="13118" w:hRule="exact" w:wrap="none" w:vAnchor="page" w:hAnchor="page" w:x="1330" w:y="2133"/>
        <w:spacing w:after="0"/>
      </w:pPr>
      <w:bookmarkStart w:id="5" w:name="bookmark13"/>
      <w:r>
        <w:rPr>
          <w:rStyle w:val="Nadpis2"/>
          <w:b/>
          <w:bCs/>
        </w:rPr>
        <w:t>Článek IV.</w:t>
      </w:r>
      <w:bookmarkEnd w:id="5"/>
    </w:p>
    <w:p w14:paraId="6DDF374E" w14:textId="77777777" w:rsidR="00036164" w:rsidRDefault="00973DA5">
      <w:pPr>
        <w:pStyle w:val="Nadpis20"/>
        <w:framePr w:w="9149" w:h="13118" w:hRule="exact" w:wrap="none" w:vAnchor="page" w:hAnchor="page" w:x="1330" w:y="2133"/>
        <w:spacing w:after="220"/>
      </w:pPr>
      <w:r>
        <w:rPr>
          <w:rStyle w:val="Nadpis2"/>
          <w:b/>
          <w:bCs/>
        </w:rPr>
        <w:t>Doba trvání smlouvy</w:t>
      </w:r>
    </w:p>
    <w:p w14:paraId="275999EF" w14:textId="77777777" w:rsidR="00036164" w:rsidRDefault="00973DA5">
      <w:pPr>
        <w:pStyle w:val="Zkladntext1"/>
        <w:framePr w:w="9149" w:h="13118" w:hRule="exact" w:wrap="none" w:vAnchor="page" w:hAnchor="page" w:x="1330" w:y="2133"/>
        <w:numPr>
          <w:ilvl w:val="0"/>
          <w:numId w:val="4"/>
        </w:numPr>
        <w:tabs>
          <w:tab w:val="left" w:pos="541"/>
        </w:tabs>
        <w:jc w:val="both"/>
      </w:pPr>
      <w:r>
        <w:rPr>
          <w:rStyle w:val="Zkladntext"/>
        </w:rPr>
        <w:t xml:space="preserve">Tato smlouva se uzavírá na dobu neurčitou s účinností od 01. 03. </w:t>
      </w:r>
      <w:r>
        <w:rPr>
          <w:rStyle w:val="Zkladntext"/>
        </w:rPr>
        <w:t>2025.</w:t>
      </w:r>
    </w:p>
    <w:p w14:paraId="33731D33" w14:textId="77777777" w:rsidR="00036164" w:rsidRDefault="00973DA5">
      <w:pPr>
        <w:pStyle w:val="Zkladntext1"/>
        <w:framePr w:w="9149" w:h="13118" w:hRule="exact" w:wrap="none" w:vAnchor="page" w:hAnchor="page" w:x="1330" w:y="2133"/>
        <w:numPr>
          <w:ilvl w:val="0"/>
          <w:numId w:val="4"/>
        </w:numPr>
        <w:tabs>
          <w:tab w:val="left" w:pos="541"/>
        </w:tabs>
        <w:spacing w:after="380"/>
        <w:ind w:left="540" w:hanging="540"/>
        <w:jc w:val="both"/>
      </w:pPr>
      <w:r>
        <w:rPr>
          <w:rStyle w:val="Zkladntext"/>
        </w:rPr>
        <w:t>Účastníci této smlouvy se dohodli, že smluvní vztah lze ukončit ze strany nájemce i podnájemce, přičemž se sjednává výpovědní lhůta, která činí 3 měsíce a tato skončí vždy k poslednímu dni v měsíci, v němž uplynula. Nájemní smlouvu je též možno ukončit z důvodů stanovených dále v této smlouvě nebo z důvodů stanovených občanským zákoníkem v případech, kdy dojde k porušení povinností dle této smlouvy jednou ze smluvních stran.</w:t>
      </w:r>
    </w:p>
    <w:p w14:paraId="6233E9EB" w14:textId="77777777" w:rsidR="00036164" w:rsidRDefault="00973DA5">
      <w:pPr>
        <w:pStyle w:val="Nadpis20"/>
        <w:framePr w:w="9149" w:h="13118" w:hRule="exact" w:wrap="none" w:vAnchor="page" w:hAnchor="page" w:x="1330" w:y="2133"/>
        <w:spacing w:after="0"/>
      </w:pPr>
      <w:bookmarkStart w:id="6" w:name="bookmark16"/>
      <w:r>
        <w:rPr>
          <w:rStyle w:val="Nadpis2"/>
          <w:b/>
          <w:bCs/>
        </w:rPr>
        <w:t>Článek V.</w:t>
      </w:r>
      <w:bookmarkEnd w:id="6"/>
    </w:p>
    <w:p w14:paraId="7CA1C5A4" w14:textId="77777777" w:rsidR="00036164" w:rsidRDefault="00973DA5">
      <w:pPr>
        <w:pStyle w:val="Nadpis20"/>
        <w:framePr w:w="9149" w:h="13118" w:hRule="exact" w:wrap="none" w:vAnchor="page" w:hAnchor="page" w:x="1330" w:y="2133"/>
        <w:spacing w:after="220"/>
      </w:pPr>
      <w:r>
        <w:rPr>
          <w:rStyle w:val="Nadpis2"/>
          <w:b/>
          <w:bCs/>
        </w:rPr>
        <w:t>Práva a povinnosti podnájemce</w:t>
      </w:r>
    </w:p>
    <w:p w14:paraId="65282CA5" w14:textId="77777777" w:rsidR="00036164" w:rsidRDefault="00973DA5">
      <w:pPr>
        <w:pStyle w:val="Zkladntext1"/>
        <w:framePr w:w="9149" w:h="13118" w:hRule="exact" w:wrap="none" w:vAnchor="page" w:hAnchor="page" w:x="1330" w:y="2133"/>
        <w:numPr>
          <w:ilvl w:val="0"/>
          <w:numId w:val="5"/>
        </w:numPr>
        <w:tabs>
          <w:tab w:val="left" w:pos="541"/>
        </w:tabs>
        <w:ind w:left="540" w:hanging="540"/>
        <w:jc w:val="both"/>
      </w:pPr>
      <w:r>
        <w:rPr>
          <w:rStyle w:val="Zkladntext"/>
        </w:rPr>
        <w:t>Podnájemce je povinen po dobu trvání smlouvy udržovat pronajaté prostory na své náklady ve stavu způsobilém ke sjednanému účelu užívání, provádět jejich obvyklou údržbu (malování apod.) a opravy, které si v jednotlivých případech nevyžádají náklady vyšší než 10 000 Kč včetně DPH za jednu akci. Opravy a údržba musí být předem schválena nájemcem.</w:t>
      </w:r>
    </w:p>
    <w:p w14:paraId="5145B0C0" w14:textId="77777777" w:rsidR="00036164" w:rsidRDefault="00973DA5">
      <w:pPr>
        <w:pStyle w:val="Zkladntext1"/>
        <w:framePr w:w="9149" w:h="13118" w:hRule="exact" w:wrap="none" w:vAnchor="page" w:hAnchor="page" w:x="1330" w:y="2133"/>
        <w:numPr>
          <w:ilvl w:val="0"/>
          <w:numId w:val="5"/>
        </w:numPr>
        <w:tabs>
          <w:tab w:val="left" w:pos="541"/>
        </w:tabs>
        <w:ind w:left="540" w:hanging="540"/>
        <w:jc w:val="both"/>
      </w:pPr>
      <w:r>
        <w:rPr>
          <w:rStyle w:val="Zkladntext"/>
        </w:rPr>
        <w:t>Podnájemce je povinen před každým užitím předmětu podnájmu zkontrolovat, že toto zařízení je bezvadné a netrpí poškozením, které by mohlo vést ke vzniku škody či újmy na zdraví. Každou závadu je podnájemce povinen bez zbytečného odkladu nahlásit nájemci prostřednictvím obsluhy sportoviště; v opačném případě platí, že za škodu či újmu odpovídá podnájemce se všemi důsledky.</w:t>
      </w:r>
    </w:p>
    <w:p w14:paraId="799A846C" w14:textId="77777777" w:rsidR="00036164" w:rsidRDefault="00973DA5">
      <w:pPr>
        <w:pStyle w:val="Zkladntext1"/>
        <w:framePr w:w="9149" w:h="13118" w:hRule="exact" w:wrap="none" w:vAnchor="page" w:hAnchor="page" w:x="1330" w:y="2133"/>
        <w:numPr>
          <w:ilvl w:val="0"/>
          <w:numId w:val="5"/>
        </w:numPr>
        <w:tabs>
          <w:tab w:val="left" w:pos="541"/>
        </w:tabs>
        <w:ind w:left="540" w:hanging="540"/>
        <w:jc w:val="both"/>
      </w:pPr>
      <w:r>
        <w:rPr>
          <w:rStyle w:val="Zkladntext"/>
        </w:rPr>
        <w:t>Podnájemce byl upozorněn a bere na vědomí, že je povinen dodržovat bezpečnostní, požární, hygienické a ekologické předpisy ve smyslu platné legislativy, zejména zákon č. 309/2006 Sb., nařízení vlády č. 362/2005 Sb., nařízení vlády č. 101/2005 Sb., nařízení vlády č. 495/2001 Sb., nařízení vlády č. 201/2010 Sb., Zákoník práce č. 262/2006 Sb., Zákon č. 251/2005 Sb., o inspekci práce. Zákon o PO č. 133/1985 Sb., v platném znění a další platné předpisy pro tyto oblasti.</w:t>
      </w:r>
    </w:p>
    <w:p w14:paraId="37D718CC" w14:textId="77777777" w:rsidR="00036164" w:rsidRDefault="00973DA5">
      <w:pPr>
        <w:pStyle w:val="Zkladntext1"/>
        <w:framePr w:w="9149" w:h="13118" w:hRule="exact" w:wrap="none" w:vAnchor="page" w:hAnchor="page" w:x="1330" w:y="2133"/>
        <w:numPr>
          <w:ilvl w:val="0"/>
          <w:numId w:val="5"/>
        </w:numPr>
        <w:tabs>
          <w:tab w:val="left" w:pos="541"/>
        </w:tabs>
        <w:ind w:left="540" w:hanging="540"/>
        <w:jc w:val="both"/>
      </w:pPr>
      <w:r>
        <w:rPr>
          <w:rStyle w:val="Zkladntext"/>
        </w:rPr>
        <w:t xml:space="preserve">Podnájemce svým podpisem této smlouvy prohlašuje, že byl seznámen s následujícími předpisy upravujícími činnost v areálu zimního </w:t>
      </w:r>
      <w:proofErr w:type="gramStart"/>
      <w:r>
        <w:rPr>
          <w:rStyle w:val="Zkladntext"/>
        </w:rPr>
        <w:t>stadionu - provozní</w:t>
      </w:r>
      <w:proofErr w:type="gramEnd"/>
      <w:r>
        <w:rPr>
          <w:rStyle w:val="Zkladntext"/>
        </w:rPr>
        <w:t xml:space="preserve"> a návštěvní řád; požární řád; požární evakuační plán; opatření v případě havárie amoniaku; požární poplachová směrnice.</w:t>
      </w:r>
    </w:p>
    <w:p w14:paraId="51DF23CC" w14:textId="77777777" w:rsidR="00036164" w:rsidRDefault="00973DA5">
      <w:pPr>
        <w:pStyle w:val="Zkladntext1"/>
        <w:framePr w:w="9149" w:h="13118" w:hRule="exact" w:wrap="none" w:vAnchor="page" w:hAnchor="page" w:x="1330" w:y="2133"/>
        <w:numPr>
          <w:ilvl w:val="0"/>
          <w:numId w:val="5"/>
        </w:numPr>
        <w:tabs>
          <w:tab w:val="left" w:pos="541"/>
        </w:tabs>
        <w:ind w:left="540" w:hanging="540"/>
        <w:jc w:val="both"/>
      </w:pPr>
      <w:r>
        <w:rPr>
          <w:rStyle w:val="Zkladntext"/>
        </w:rPr>
        <w:t>Podnájemce nesmí vstupovat bez souhlasu vedení společnosti SPORTOVNÍ AREÁLY MOST, a.s. do prostor, které nejsou předmětem podnájmu.</w:t>
      </w:r>
    </w:p>
    <w:p w14:paraId="786D3334" w14:textId="77777777" w:rsidR="00036164" w:rsidRDefault="00973DA5">
      <w:pPr>
        <w:pStyle w:val="Zkladntext1"/>
        <w:framePr w:w="9149" w:h="13118" w:hRule="exact" w:wrap="none" w:vAnchor="page" w:hAnchor="page" w:x="1330" w:y="2133"/>
        <w:numPr>
          <w:ilvl w:val="0"/>
          <w:numId w:val="5"/>
        </w:numPr>
        <w:tabs>
          <w:tab w:val="left" w:pos="541"/>
        </w:tabs>
        <w:spacing w:after="0"/>
        <w:ind w:left="540" w:hanging="540"/>
        <w:jc w:val="both"/>
      </w:pPr>
      <w:r>
        <w:rPr>
          <w:rStyle w:val="Zkladntext"/>
        </w:rPr>
        <w:t>Podnájemce, pokud zpozoruje nebezpečí, které by mohlo ohrozit zdraví nebo životy osob nebo způsobit provozní nehodu nebo poruchu technických zařízení nebo vést ke škodě na majetku nájemce či dalších osob, a hrozí-li toto bezprostředně z předmětu podnájmu, případně hrozí příznaky takového nebezpečí, je povinen ihned přerušit činnost, oznámit to neprodleně obsluze sportoviště a podle možnosti upozornit všechny osoby, které by mohly být tímto nebezpečím ohroženy.</w:t>
      </w:r>
    </w:p>
    <w:p w14:paraId="105259E4" w14:textId="77777777" w:rsidR="00036164" w:rsidRDefault="00036164">
      <w:pPr>
        <w:spacing w:line="1" w:lineRule="exact"/>
        <w:sectPr w:rsidR="00036164">
          <w:pgSz w:w="11906" w:h="16838"/>
          <w:pgMar w:top="360" w:right="360" w:bottom="360" w:left="360" w:header="0" w:footer="3" w:gutter="0"/>
          <w:cols w:space="720"/>
          <w:noEndnote/>
          <w:docGrid w:linePitch="360"/>
        </w:sectPr>
      </w:pPr>
    </w:p>
    <w:p w14:paraId="424F2704" w14:textId="77777777" w:rsidR="00036164" w:rsidRDefault="00036164">
      <w:pPr>
        <w:spacing w:line="1" w:lineRule="exact"/>
      </w:pPr>
    </w:p>
    <w:p w14:paraId="71989E37" w14:textId="77777777" w:rsidR="00036164" w:rsidRDefault="00973DA5">
      <w:pPr>
        <w:pStyle w:val="Zkladntext1"/>
        <w:framePr w:w="9149" w:h="5371" w:hRule="exact" w:wrap="none" w:vAnchor="page" w:hAnchor="page" w:x="1330" w:y="2124"/>
        <w:numPr>
          <w:ilvl w:val="0"/>
          <w:numId w:val="5"/>
        </w:numPr>
        <w:tabs>
          <w:tab w:val="left" w:pos="530"/>
        </w:tabs>
        <w:ind w:left="560" w:hanging="560"/>
        <w:jc w:val="both"/>
      </w:pPr>
      <w:r>
        <w:rPr>
          <w:rStyle w:val="Zkladntext"/>
        </w:rPr>
        <w:t>Podnájemce odpovídá za stav a čistotu předmětu podnájmu. Dále podnájemce odpovídá za škody, které vzniknou jeho zaviněním na předmětu podnájmu, či zařízení a vybavení.</w:t>
      </w:r>
    </w:p>
    <w:p w14:paraId="06FA950D" w14:textId="77777777" w:rsidR="00036164" w:rsidRDefault="00973DA5">
      <w:pPr>
        <w:pStyle w:val="Zkladntext1"/>
        <w:framePr w:w="9149" w:h="5371" w:hRule="exact" w:wrap="none" w:vAnchor="page" w:hAnchor="page" w:x="1330" w:y="2124"/>
        <w:numPr>
          <w:ilvl w:val="0"/>
          <w:numId w:val="5"/>
        </w:numPr>
        <w:tabs>
          <w:tab w:val="left" w:pos="530"/>
        </w:tabs>
        <w:ind w:left="560" w:hanging="560"/>
        <w:jc w:val="both"/>
      </w:pPr>
      <w:r>
        <w:rPr>
          <w:rStyle w:val="Zkladntext"/>
        </w:rPr>
        <w:t>Podnájemci není dovoleno poskytnout předmět nájmu k užívání jakékoliv třetí osobě bez předchozího písemného souhlasu nájemce.</w:t>
      </w:r>
    </w:p>
    <w:p w14:paraId="5634CAF2" w14:textId="77777777" w:rsidR="00036164" w:rsidRDefault="00973DA5">
      <w:pPr>
        <w:pStyle w:val="Zkladntext1"/>
        <w:framePr w:w="9149" w:h="5371" w:hRule="exact" w:wrap="none" w:vAnchor="page" w:hAnchor="page" w:x="1330" w:y="2124"/>
        <w:numPr>
          <w:ilvl w:val="0"/>
          <w:numId w:val="5"/>
        </w:numPr>
        <w:tabs>
          <w:tab w:val="left" w:pos="530"/>
        </w:tabs>
        <w:ind w:left="560" w:hanging="560"/>
        <w:jc w:val="both"/>
      </w:pPr>
      <w:r>
        <w:rPr>
          <w:rStyle w:val="Zkladntext"/>
        </w:rPr>
        <w:t>Podnájemce má za povinnost dohlížet a vyžadovat dodržování provozního řádu, s jehož obsahem byl seznámen, což podpisem této smlouvy potvrzuje.</w:t>
      </w:r>
    </w:p>
    <w:p w14:paraId="425A7ABC" w14:textId="77777777" w:rsidR="00036164" w:rsidRDefault="00973DA5">
      <w:pPr>
        <w:pStyle w:val="Zkladntext1"/>
        <w:framePr w:w="9149" w:h="5371" w:hRule="exact" w:wrap="none" w:vAnchor="page" w:hAnchor="page" w:x="1330" w:y="2124"/>
        <w:numPr>
          <w:ilvl w:val="0"/>
          <w:numId w:val="5"/>
        </w:numPr>
        <w:tabs>
          <w:tab w:val="left" w:pos="530"/>
        </w:tabs>
        <w:ind w:left="560" w:hanging="560"/>
        <w:jc w:val="both"/>
      </w:pPr>
      <w:r>
        <w:rPr>
          <w:rStyle w:val="Zkladntext"/>
        </w:rPr>
        <w:t>Podnájemce není oprávněn provádět žádné dodatečné úpravy předmětu nájmu, změny vnitřního vybavení, které patří nájemci. Toto je možné pouze po předchozím písemném souhlasu nájemce.</w:t>
      </w:r>
    </w:p>
    <w:p w14:paraId="24234974" w14:textId="77777777" w:rsidR="00036164" w:rsidRDefault="00973DA5">
      <w:pPr>
        <w:pStyle w:val="Zkladntext1"/>
        <w:framePr w:w="9149" w:h="5371" w:hRule="exact" w:wrap="none" w:vAnchor="page" w:hAnchor="page" w:x="1330" w:y="2124"/>
        <w:numPr>
          <w:ilvl w:val="0"/>
          <w:numId w:val="5"/>
        </w:numPr>
        <w:tabs>
          <w:tab w:val="left" w:pos="530"/>
        </w:tabs>
        <w:ind w:left="560" w:hanging="560"/>
        <w:jc w:val="both"/>
      </w:pPr>
      <w:r>
        <w:rPr>
          <w:rStyle w:val="Zkladntext"/>
        </w:rPr>
        <w:t xml:space="preserve">Podnájemce bere na vědomí, že je povinen snášet omezení v užívání </w:t>
      </w:r>
      <w:proofErr w:type="spellStart"/>
      <w:r>
        <w:rPr>
          <w:rStyle w:val="Zkladntext"/>
        </w:rPr>
        <w:t>podnajatého</w:t>
      </w:r>
      <w:proofErr w:type="spellEnd"/>
      <w:r>
        <w:rPr>
          <w:rStyle w:val="Zkladntext"/>
        </w:rPr>
        <w:t xml:space="preserve"> prostoru v rozsahu nutném pro provedení úprav, oprav a udržování </w:t>
      </w:r>
      <w:proofErr w:type="spellStart"/>
      <w:r>
        <w:rPr>
          <w:rStyle w:val="Zkladntext"/>
        </w:rPr>
        <w:t>podnajatých</w:t>
      </w:r>
      <w:proofErr w:type="spellEnd"/>
      <w:r>
        <w:rPr>
          <w:rStyle w:val="Zkladntext"/>
        </w:rPr>
        <w:t xml:space="preserve"> prostor, které budou prováděny nájemcem.</w:t>
      </w:r>
    </w:p>
    <w:p w14:paraId="78C5A1BB" w14:textId="77777777" w:rsidR="00036164" w:rsidRDefault="00973DA5">
      <w:pPr>
        <w:pStyle w:val="Zkladntext1"/>
        <w:framePr w:w="9149" w:h="5371" w:hRule="exact" w:wrap="none" w:vAnchor="page" w:hAnchor="page" w:x="1330" w:y="2124"/>
        <w:numPr>
          <w:ilvl w:val="0"/>
          <w:numId w:val="5"/>
        </w:numPr>
        <w:tabs>
          <w:tab w:val="left" w:pos="530"/>
        </w:tabs>
        <w:spacing w:after="0"/>
        <w:ind w:left="560" w:hanging="560"/>
        <w:jc w:val="both"/>
      </w:pPr>
      <w:r>
        <w:rPr>
          <w:rStyle w:val="Zkladntext"/>
        </w:rPr>
        <w:t>Podnájemce zajišťuje kontroly elektrospotřebičů sám na své náklady. Kopie dokladů o těchto kontrolách musí doložit nájemci. Podnájemce nesmí využívat takové spotřebiče, které by mohly ohrozit provoz, prostory a majetek nájemce.</w:t>
      </w:r>
    </w:p>
    <w:p w14:paraId="50DA84C9" w14:textId="77777777" w:rsidR="00036164" w:rsidRDefault="00973DA5">
      <w:pPr>
        <w:pStyle w:val="Nadpis20"/>
        <w:framePr w:w="9149" w:h="605" w:hRule="exact" w:wrap="none" w:vAnchor="page" w:hAnchor="page" w:x="1330" w:y="7836"/>
        <w:spacing w:after="0"/>
      </w:pPr>
      <w:bookmarkStart w:id="7" w:name="bookmark19"/>
      <w:r>
        <w:rPr>
          <w:rStyle w:val="Nadpis2"/>
          <w:b/>
          <w:bCs/>
        </w:rPr>
        <w:t>Článek VI.</w:t>
      </w:r>
      <w:bookmarkEnd w:id="7"/>
    </w:p>
    <w:p w14:paraId="6A24E49D" w14:textId="77777777" w:rsidR="00036164" w:rsidRDefault="00973DA5">
      <w:pPr>
        <w:pStyle w:val="Nadpis20"/>
        <w:framePr w:w="9149" w:h="605" w:hRule="exact" w:wrap="none" w:vAnchor="page" w:hAnchor="page" w:x="1330" w:y="7836"/>
        <w:spacing w:after="0"/>
      </w:pPr>
      <w:r>
        <w:rPr>
          <w:rStyle w:val="Nadpis2"/>
          <w:b/>
          <w:bCs/>
        </w:rPr>
        <w:t>Práva a povinnosti nájemce</w:t>
      </w:r>
    </w:p>
    <w:p w14:paraId="246353D2" w14:textId="77777777" w:rsidR="00036164" w:rsidRDefault="00973DA5">
      <w:pPr>
        <w:pStyle w:val="Zkladntext1"/>
        <w:framePr w:w="9149" w:h="4560" w:hRule="exact" w:wrap="none" w:vAnchor="page" w:hAnchor="page" w:x="1330" w:y="8647"/>
        <w:numPr>
          <w:ilvl w:val="0"/>
          <w:numId w:val="6"/>
        </w:numPr>
        <w:tabs>
          <w:tab w:val="left" w:pos="530"/>
        </w:tabs>
        <w:ind w:left="560" w:hanging="560"/>
        <w:jc w:val="both"/>
      </w:pPr>
      <w:r>
        <w:rPr>
          <w:rStyle w:val="Zkladntext"/>
        </w:rPr>
        <w:t xml:space="preserve">Nájemce seznámí podnájemce s riziky a místy ohrožení </w:t>
      </w:r>
      <w:proofErr w:type="spellStart"/>
      <w:r>
        <w:rPr>
          <w:rStyle w:val="Zkladntext"/>
        </w:rPr>
        <w:t>podnajatých</w:t>
      </w:r>
      <w:proofErr w:type="spellEnd"/>
      <w:r>
        <w:rPr>
          <w:rStyle w:val="Zkladntext"/>
        </w:rPr>
        <w:t xml:space="preserve"> prostor. Podnájemce seznámí s těmito skutečnostmi ostatní osoby, které s ním budou činnost uskutečňovat.</w:t>
      </w:r>
    </w:p>
    <w:p w14:paraId="119371A3" w14:textId="77777777" w:rsidR="00036164" w:rsidRDefault="00973DA5">
      <w:pPr>
        <w:pStyle w:val="Zkladntext1"/>
        <w:framePr w:w="9149" w:h="4560" w:hRule="exact" w:wrap="none" w:vAnchor="page" w:hAnchor="page" w:x="1330" w:y="8647"/>
        <w:numPr>
          <w:ilvl w:val="0"/>
          <w:numId w:val="6"/>
        </w:numPr>
        <w:tabs>
          <w:tab w:val="left" w:pos="530"/>
        </w:tabs>
        <w:ind w:left="560" w:hanging="560"/>
        <w:jc w:val="both"/>
      </w:pPr>
      <w:r>
        <w:rPr>
          <w:rStyle w:val="Zkladntext"/>
        </w:rPr>
        <w:t>Nájemce je povinen zajistit, aby předmět nájmu nevykazoval žádné vady, poškození či nedostatky a byl v řádném a provozuschopném stavu umožňujícím užívání ke sjednanému účelu.</w:t>
      </w:r>
    </w:p>
    <w:p w14:paraId="607B4597" w14:textId="77777777" w:rsidR="00036164" w:rsidRDefault="00973DA5">
      <w:pPr>
        <w:pStyle w:val="Zkladntext1"/>
        <w:framePr w:w="9149" w:h="4560" w:hRule="exact" w:wrap="none" w:vAnchor="page" w:hAnchor="page" w:x="1330" w:y="8647"/>
        <w:numPr>
          <w:ilvl w:val="0"/>
          <w:numId w:val="6"/>
        </w:numPr>
        <w:tabs>
          <w:tab w:val="left" w:pos="530"/>
        </w:tabs>
        <w:ind w:left="560" w:hanging="560"/>
        <w:jc w:val="both"/>
      </w:pPr>
      <w:r>
        <w:rPr>
          <w:rStyle w:val="Zkladntext"/>
        </w:rPr>
        <w:t>Nájemce bude včas informovat dotčené osoby v případě plánovaných oprav, kontrol, revizí a servisů.</w:t>
      </w:r>
    </w:p>
    <w:p w14:paraId="7429A7B7" w14:textId="77777777" w:rsidR="00036164" w:rsidRDefault="00973DA5">
      <w:pPr>
        <w:pStyle w:val="Zkladntext1"/>
        <w:framePr w:w="9149" w:h="4560" w:hRule="exact" w:wrap="none" w:vAnchor="page" w:hAnchor="page" w:x="1330" w:y="8647"/>
        <w:numPr>
          <w:ilvl w:val="0"/>
          <w:numId w:val="6"/>
        </w:numPr>
        <w:tabs>
          <w:tab w:val="left" w:pos="530"/>
        </w:tabs>
        <w:ind w:left="560" w:hanging="560"/>
        <w:jc w:val="both"/>
      </w:pPr>
      <w:r>
        <w:rPr>
          <w:rStyle w:val="Zkladntext"/>
        </w:rPr>
        <w:t>Nájemce seznámí podnájemce s hlavními uzávěry energií (voda, plyn, elektrická energie).</w:t>
      </w:r>
    </w:p>
    <w:p w14:paraId="7D140CF7" w14:textId="77777777" w:rsidR="00036164" w:rsidRDefault="00973DA5">
      <w:pPr>
        <w:pStyle w:val="Zkladntext1"/>
        <w:framePr w:w="9149" w:h="4560" w:hRule="exact" w:wrap="none" w:vAnchor="page" w:hAnchor="page" w:x="1330" w:y="8647"/>
        <w:numPr>
          <w:ilvl w:val="0"/>
          <w:numId w:val="6"/>
        </w:numPr>
        <w:tabs>
          <w:tab w:val="left" w:pos="530"/>
        </w:tabs>
        <w:spacing w:after="0"/>
        <w:ind w:left="560" w:hanging="560"/>
        <w:jc w:val="both"/>
      </w:pPr>
      <w:r>
        <w:rPr>
          <w:rStyle w:val="Zkladntext"/>
        </w:rPr>
        <w:t xml:space="preserve">Nájemce zajistí v prostorách, které jsou předmětem nájmu revize elektroinstalace, hromosvodů, požárně </w:t>
      </w:r>
      <w:proofErr w:type="spellStart"/>
      <w:r>
        <w:rPr>
          <w:rStyle w:val="Zkladntext"/>
        </w:rPr>
        <w:t>bezpečnostmch</w:t>
      </w:r>
      <w:proofErr w:type="spellEnd"/>
      <w:r>
        <w:rPr>
          <w:rStyle w:val="Zkladntext"/>
        </w:rPr>
        <w:t xml:space="preserve"> zařízení, hasících přístrojů, hydrantů, VZT, chladící </w:t>
      </w:r>
      <w:r>
        <w:rPr>
          <w:rStyle w:val="Zkladntext"/>
        </w:rPr>
        <w:t>technologie a dále.</w:t>
      </w:r>
    </w:p>
    <w:p w14:paraId="054258BE" w14:textId="77777777" w:rsidR="00036164" w:rsidRDefault="00973DA5">
      <w:pPr>
        <w:pStyle w:val="Nadpis20"/>
        <w:framePr w:w="9149" w:h="586" w:hRule="exact" w:wrap="none" w:vAnchor="page" w:hAnchor="page" w:x="1330" w:y="13456"/>
        <w:spacing w:after="0"/>
      </w:pPr>
      <w:bookmarkStart w:id="8" w:name="bookmark22"/>
      <w:r>
        <w:rPr>
          <w:rStyle w:val="Nadpis2"/>
          <w:b/>
          <w:bCs/>
        </w:rPr>
        <w:t>Článek VII.</w:t>
      </w:r>
      <w:bookmarkEnd w:id="8"/>
    </w:p>
    <w:p w14:paraId="5D5331FC" w14:textId="77777777" w:rsidR="00036164" w:rsidRDefault="00973DA5">
      <w:pPr>
        <w:pStyle w:val="Nadpis20"/>
        <w:framePr w:w="9149" w:h="586" w:hRule="exact" w:wrap="none" w:vAnchor="page" w:hAnchor="page" w:x="1330" w:y="13456"/>
        <w:spacing w:after="0"/>
      </w:pPr>
      <w:r>
        <w:rPr>
          <w:rStyle w:val="Nadpis2"/>
          <w:b/>
          <w:bCs/>
        </w:rPr>
        <w:t>Zánik podnájmu, předání a vrácení předmětu nájmu</w:t>
      </w:r>
    </w:p>
    <w:p w14:paraId="5BB17CE4" w14:textId="77777777" w:rsidR="00036164" w:rsidRDefault="00973DA5">
      <w:pPr>
        <w:pStyle w:val="Zkladntext1"/>
        <w:framePr w:w="9149" w:h="1406" w:hRule="exact" w:wrap="none" w:vAnchor="page" w:hAnchor="page" w:x="1330" w:y="14248"/>
        <w:numPr>
          <w:ilvl w:val="0"/>
          <w:numId w:val="7"/>
        </w:numPr>
        <w:tabs>
          <w:tab w:val="left" w:pos="530"/>
        </w:tabs>
        <w:spacing w:after="0"/>
        <w:ind w:left="560" w:hanging="560"/>
        <w:jc w:val="both"/>
      </w:pPr>
      <w:r>
        <w:rPr>
          <w:rStyle w:val="Zkladntext"/>
        </w:rPr>
        <w:t>Nejpozději do 15 dnů ode dne skončení podnájmu dle této Smlouvy je podnájemce povinen vrátit předmět nájmu nájemci, pokud se smluvní strany písemně nedohodnou jinak. Podnájemce je povinen předmět nájmu vrátit nájemci bez jakýchkoliv poškození v původním stavu, s přihlédnutím k běžnému opotřebení. Podnájemce je povinen vyzvat nájemce ke zpětnému převzetí předmětu nájmu alespoň jeden pracovní den před</w:t>
      </w:r>
    </w:p>
    <w:p w14:paraId="431129B1" w14:textId="77777777" w:rsidR="00036164" w:rsidRDefault="00036164">
      <w:pPr>
        <w:spacing w:line="1" w:lineRule="exact"/>
        <w:sectPr w:rsidR="00036164">
          <w:pgSz w:w="11906" w:h="16838"/>
          <w:pgMar w:top="360" w:right="360" w:bottom="360" w:left="360" w:header="0" w:footer="3" w:gutter="0"/>
          <w:cols w:space="720"/>
          <w:noEndnote/>
          <w:docGrid w:linePitch="360"/>
        </w:sectPr>
      </w:pPr>
    </w:p>
    <w:p w14:paraId="0479569A" w14:textId="77777777" w:rsidR="00036164" w:rsidRDefault="00036164">
      <w:pPr>
        <w:spacing w:line="1" w:lineRule="exact"/>
      </w:pPr>
    </w:p>
    <w:p w14:paraId="3DFC099E" w14:textId="77777777" w:rsidR="00036164" w:rsidRDefault="00973DA5">
      <w:pPr>
        <w:pStyle w:val="Zkladntext1"/>
        <w:framePr w:w="9149" w:h="13349" w:hRule="exact" w:wrap="none" w:vAnchor="page" w:hAnchor="page" w:x="1330" w:y="2172"/>
        <w:spacing w:after="240"/>
        <w:ind w:left="540" w:firstLine="20"/>
        <w:jc w:val="both"/>
      </w:pPr>
      <w:r>
        <w:rPr>
          <w:rStyle w:val="Zkladntext"/>
        </w:rPr>
        <w:t>plánovaným vrácením. O vrácení předmětu nájmu bude stranami sepsán předávací protokol, zachycující stav předmětu nájmu v době jeho vrácení nájemci.</w:t>
      </w:r>
    </w:p>
    <w:p w14:paraId="0909CAAB" w14:textId="77777777" w:rsidR="00036164" w:rsidRDefault="00973DA5">
      <w:pPr>
        <w:pStyle w:val="Zkladntext1"/>
        <w:framePr w:w="9149" w:h="13349" w:hRule="exact" w:wrap="none" w:vAnchor="page" w:hAnchor="page" w:x="1330" w:y="2172"/>
        <w:numPr>
          <w:ilvl w:val="0"/>
          <w:numId w:val="7"/>
        </w:numPr>
        <w:tabs>
          <w:tab w:val="left" w:pos="536"/>
        </w:tabs>
        <w:spacing w:after="100"/>
        <w:ind w:left="540" w:hanging="540"/>
        <w:jc w:val="both"/>
      </w:pPr>
      <w:r>
        <w:rPr>
          <w:rStyle w:val="Zkladntext"/>
        </w:rPr>
        <w:t>Nájem zaniká skončením nájemního vztahu mezi vlastníkem nemovitostí a nájemcem, dohodou smluvních stran nebo písemnou výpovědí, kterou může podat kterákoliv ze smluvních stran z jakéhokoli důvodu a dále pokud:</w:t>
      </w:r>
    </w:p>
    <w:p w14:paraId="57B0B48C" w14:textId="77777777" w:rsidR="00036164" w:rsidRDefault="00973DA5">
      <w:pPr>
        <w:pStyle w:val="Zkladntext1"/>
        <w:framePr w:w="9149" w:h="13349" w:hRule="exact" w:wrap="none" w:vAnchor="page" w:hAnchor="page" w:x="1330" w:y="2172"/>
        <w:numPr>
          <w:ilvl w:val="0"/>
          <w:numId w:val="8"/>
        </w:numPr>
        <w:tabs>
          <w:tab w:val="left" w:pos="1097"/>
        </w:tabs>
        <w:spacing w:after="100"/>
        <w:ind w:firstLine="540"/>
        <w:jc w:val="both"/>
      </w:pPr>
      <w:r>
        <w:rPr>
          <w:rStyle w:val="Zkladntext"/>
        </w:rPr>
        <w:t>podnájemce užívá předmět nájmu v rozporu se smlouvou,</w:t>
      </w:r>
    </w:p>
    <w:p w14:paraId="310B4211" w14:textId="77777777" w:rsidR="00036164" w:rsidRDefault="00973DA5">
      <w:pPr>
        <w:pStyle w:val="Zkladntext1"/>
        <w:framePr w:w="9149" w:h="13349" w:hRule="exact" w:wrap="none" w:vAnchor="page" w:hAnchor="page" w:x="1330" w:y="2172"/>
        <w:numPr>
          <w:ilvl w:val="0"/>
          <w:numId w:val="8"/>
        </w:numPr>
        <w:tabs>
          <w:tab w:val="left" w:pos="1117"/>
        </w:tabs>
        <w:spacing w:after="100"/>
        <w:ind w:left="1120" w:hanging="560"/>
        <w:jc w:val="both"/>
      </w:pPr>
      <w:r>
        <w:rPr>
          <w:rStyle w:val="Zkladntext"/>
        </w:rPr>
        <w:t xml:space="preserve">podnájemce je o více než jeden měsíc v prodlení s placením nájemného nebo úhrady za služby, </w:t>
      </w:r>
      <w:r>
        <w:rPr>
          <w:rStyle w:val="Zkladntext"/>
        </w:rPr>
        <w:t>jejichž poskytování je spojeno s nájmem,</w:t>
      </w:r>
    </w:p>
    <w:p w14:paraId="17F24C89" w14:textId="77777777" w:rsidR="00036164" w:rsidRDefault="00973DA5">
      <w:pPr>
        <w:pStyle w:val="Zkladntext1"/>
        <w:framePr w:w="9149" w:h="13349" w:hRule="exact" w:wrap="none" w:vAnchor="page" w:hAnchor="page" w:x="1330" w:y="2172"/>
        <w:numPr>
          <w:ilvl w:val="0"/>
          <w:numId w:val="8"/>
        </w:numPr>
        <w:tabs>
          <w:tab w:val="left" w:pos="1117"/>
        </w:tabs>
        <w:spacing w:after="100"/>
        <w:ind w:left="1120" w:hanging="560"/>
        <w:jc w:val="both"/>
      </w:pPr>
      <w:r>
        <w:rPr>
          <w:rStyle w:val="Zkladntext"/>
        </w:rPr>
        <w:t>podnájemce nebo osoby, které s ním užívají nebytový prostor, přes písemné upozornění porušují klid a pořádek,</w:t>
      </w:r>
    </w:p>
    <w:p w14:paraId="456EECC0" w14:textId="77777777" w:rsidR="00036164" w:rsidRDefault="00973DA5">
      <w:pPr>
        <w:pStyle w:val="Zkladntext1"/>
        <w:framePr w:w="9149" w:h="13349" w:hRule="exact" w:wrap="none" w:vAnchor="page" w:hAnchor="page" w:x="1330" w:y="2172"/>
        <w:numPr>
          <w:ilvl w:val="0"/>
          <w:numId w:val="8"/>
        </w:numPr>
        <w:tabs>
          <w:tab w:val="left" w:pos="1097"/>
        </w:tabs>
        <w:spacing w:after="100"/>
        <w:ind w:firstLine="540"/>
        <w:jc w:val="both"/>
      </w:pPr>
      <w:r>
        <w:rPr>
          <w:rStyle w:val="Zkladntext"/>
        </w:rPr>
        <w:t>bylo rozhodnuto o změnách stavby, jež brání užívám předmětu nájmu,</w:t>
      </w:r>
    </w:p>
    <w:p w14:paraId="4B7D5871" w14:textId="77777777" w:rsidR="00036164" w:rsidRDefault="00973DA5">
      <w:pPr>
        <w:pStyle w:val="Zkladntext1"/>
        <w:framePr w:w="9149" w:h="13349" w:hRule="exact" w:wrap="none" w:vAnchor="page" w:hAnchor="page" w:x="1330" w:y="2172"/>
        <w:numPr>
          <w:ilvl w:val="0"/>
          <w:numId w:val="8"/>
        </w:numPr>
        <w:tabs>
          <w:tab w:val="left" w:pos="1117"/>
        </w:tabs>
        <w:spacing w:after="240"/>
        <w:ind w:left="1120" w:hanging="560"/>
        <w:jc w:val="both"/>
      </w:pPr>
      <w:r>
        <w:rPr>
          <w:rStyle w:val="Zkladntext"/>
        </w:rPr>
        <w:t>podnájemce přenechá nebytový prostor nebo jeho část do podnájmu bez souhlasu nájemce.</w:t>
      </w:r>
    </w:p>
    <w:p w14:paraId="22B6C6F6" w14:textId="77777777" w:rsidR="00036164" w:rsidRDefault="00973DA5">
      <w:pPr>
        <w:pStyle w:val="Nadpis20"/>
        <w:framePr w:w="9149" w:h="13349" w:hRule="exact" w:wrap="none" w:vAnchor="page" w:hAnchor="page" w:x="1330" w:y="2172"/>
        <w:spacing w:after="0"/>
      </w:pPr>
      <w:bookmarkStart w:id="9" w:name="bookmark25"/>
      <w:r>
        <w:rPr>
          <w:rStyle w:val="Nadpis2"/>
          <w:b/>
          <w:bCs/>
        </w:rPr>
        <w:t>Článek VIII.</w:t>
      </w:r>
      <w:bookmarkEnd w:id="9"/>
    </w:p>
    <w:p w14:paraId="58FB9206" w14:textId="77777777" w:rsidR="00036164" w:rsidRDefault="00973DA5">
      <w:pPr>
        <w:pStyle w:val="Nadpis20"/>
        <w:framePr w:w="9149" w:h="13349" w:hRule="exact" w:wrap="none" w:vAnchor="page" w:hAnchor="page" w:x="1330" w:y="2172"/>
        <w:spacing w:after="240"/>
      </w:pPr>
      <w:r>
        <w:rPr>
          <w:rStyle w:val="Nadpis2"/>
          <w:b/>
          <w:bCs/>
        </w:rPr>
        <w:t>Sankce</w:t>
      </w:r>
    </w:p>
    <w:p w14:paraId="461DD508" w14:textId="77777777" w:rsidR="00036164" w:rsidRDefault="00973DA5">
      <w:pPr>
        <w:pStyle w:val="Zkladntext1"/>
        <w:framePr w:w="9149" w:h="13349" w:hRule="exact" w:wrap="none" w:vAnchor="page" w:hAnchor="page" w:x="1330" w:y="2172"/>
        <w:spacing w:after="240"/>
        <w:jc w:val="both"/>
      </w:pPr>
      <w:r>
        <w:rPr>
          <w:rStyle w:val="Zkladntext"/>
        </w:rPr>
        <w:t>Smluvní strany se dohodly na těchto dalších podmínkách:</w:t>
      </w:r>
    </w:p>
    <w:p w14:paraId="0182807B" w14:textId="77777777" w:rsidR="00036164" w:rsidRDefault="00973DA5">
      <w:pPr>
        <w:pStyle w:val="Zkladntext1"/>
        <w:framePr w:w="9149" w:h="13349" w:hRule="exact" w:wrap="none" w:vAnchor="page" w:hAnchor="page" w:x="1330" w:y="2172"/>
        <w:numPr>
          <w:ilvl w:val="0"/>
          <w:numId w:val="9"/>
        </w:numPr>
        <w:tabs>
          <w:tab w:val="left" w:pos="536"/>
        </w:tabs>
        <w:spacing w:after="240"/>
        <w:ind w:left="540" w:hanging="540"/>
        <w:jc w:val="both"/>
      </w:pPr>
      <w:r>
        <w:rPr>
          <w:rStyle w:val="Zkladntext"/>
        </w:rPr>
        <w:t>Podnájemce bude dodržovat a respektovat pravidla a nařízení nájemce prostřednictvím dodržování provozního řádu a dalších dotčených dokumentů. Podnájemce prohlašuje, že se s těmito dokumenty seznámil.</w:t>
      </w:r>
    </w:p>
    <w:p w14:paraId="0687A9BB" w14:textId="77777777" w:rsidR="00036164" w:rsidRDefault="00973DA5">
      <w:pPr>
        <w:pStyle w:val="Zkladntext1"/>
        <w:framePr w:w="9149" w:h="13349" w:hRule="exact" w:wrap="none" w:vAnchor="page" w:hAnchor="page" w:x="1330" w:y="2172"/>
        <w:spacing w:after="240"/>
        <w:ind w:left="540" w:firstLine="20"/>
        <w:jc w:val="both"/>
      </w:pPr>
      <w:r>
        <w:rPr>
          <w:rStyle w:val="Zkladntext"/>
        </w:rPr>
        <w:t xml:space="preserve">V případě nedodržení povinností stanovených dokumenty uvedenými v předcházející větě nebo v případě opakovaného porušení jiných povinnosti zaplatí podnájemce jednorázovou smluvní </w:t>
      </w:r>
      <w:r>
        <w:rPr>
          <w:rStyle w:val="Zkladntext"/>
        </w:rPr>
        <w:t>pokutu ve výši 20 000 Kč.</w:t>
      </w:r>
    </w:p>
    <w:p w14:paraId="1D872382" w14:textId="77777777" w:rsidR="00036164" w:rsidRDefault="00973DA5">
      <w:pPr>
        <w:pStyle w:val="Zkladntext1"/>
        <w:framePr w:w="9149" w:h="13349" w:hRule="exact" w:wrap="none" w:vAnchor="page" w:hAnchor="page" w:x="1330" w:y="2172"/>
        <w:numPr>
          <w:ilvl w:val="0"/>
          <w:numId w:val="9"/>
        </w:numPr>
        <w:tabs>
          <w:tab w:val="left" w:pos="536"/>
        </w:tabs>
        <w:spacing w:after="240"/>
        <w:ind w:left="540" w:hanging="540"/>
        <w:jc w:val="both"/>
      </w:pPr>
      <w:r>
        <w:rPr>
          <w:rStyle w:val="Zkladntext"/>
        </w:rPr>
        <w:t>Podnájemce bere na vědomí, že při nevrácení nebytového prostoru do původního stavu, zaplatí podnájemce nájemci jednorázovou smluvní pokutu ve výši 20 000 Kč.</w:t>
      </w:r>
    </w:p>
    <w:p w14:paraId="6469F684" w14:textId="77777777" w:rsidR="00036164" w:rsidRDefault="00973DA5">
      <w:pPr>
        <w:pStyle w:val="Zkladntext1"/>
        <w:framePr w:w="9149" w:h="13349" w:hRule="exact" w:wrap="none" w:vAnchor="page" w:hAnchor="page" w:x="1330" w:y="2172"/>
        <w:numPr>
          <w:ilvl w:val="0"/>
          <w:numId w:val="9"/>
        </w:numPr>
        <w:tabs>
          <w:tab w:val="left" w:pos="536"/>
        </w:tabs>
        <w:spacing w:after="240"/>
        <w:ind w:left="540" w:hanging="540"/>
        <w:jc w:val="both"/>
      </w:pPr>
      <w:r>
        <w:rPr>
          <w:rStyle w:val="Zkladntext"/>
        </w:rPr>
        <w:t>Podnájemce bere na vědomí, že v případě poškození předmětu podnájmu nebo jeho vybavení či zařízení uhradí veškeré náklady spojené s renovací tohoto prostoru a opravou či výměnou zařízení, zavazuje se zaplatit smluvní pokutu ve výši 0,4 % z částky představované způsobenou škodou (tj. částkou, kterou musí nájemce zaplatit k uvedení předmětu podnájmu do původního stavu vč. DPH) za každý den prodlení se splněním této povinnosti. Tím není dotčena jeho povinnost nahradit škodu.</w:t>
      </w:r>
    </w:p>
    <w:p w14:paraId="50232106" w14:textId="77777777" w:rsidR="00036164" w:rsidRDefault="00973DA5">
      <w:pPr>
        <w:pStyle w:val="Nadpis20"/>
        <w:framePr w:w="9149" w:h="13349" w:hRule="exact" w:wrap="none" w:vAnchor="page" w:hAnchor="page" w:x="1330" w:y="2172"/>
        <w:spacing w:after="0"/>
      </w:pPr>
      <w:bookmarkStart w:id="10" w:name="bookmark28"/>
      <w:r>
        <w:rPr>
          <w:rStyle w:val="Nadpis2"/>
          <w:b/>
          <w:bCs/>
        </w:rPr>
        <w:t>Článek IX.</w:t>
      </w:r>
      <w:bookmarkEnd w:id="10"/>
    </w:p>
    <w:p w14:paraId="6EB6B719" w14:textId="77777777" w:rsidR="00036164" w:rsidRDefault="00973DA5">
      <w:pPr>
        <w:pStyle w:val="Nadpis20"/>
        <w:framePr w:w="9149" w:h="13349" w:hRule="exact" w:wrap="none" w:vAnchor="page" w:hAnchor="page" w:x="1330" w:y="2172"/>
        <w:spacing w:after="100"/>
      </w:pPr>
      <w:r>
        <w:rPr>
          <w:rStyle w:val="Nadpis2"/>
          <w:b/>
          <w:bCs/>
        </w:rPr>
        <w:t>Další ujednání</w:t>
      </w:r>
    </w:p>
    <w:p w14:paraId="729B24B4" w14:textId="77777777" w:rsidR="00036164" w:rsidRDefault="00973DA5">
      <w:pPr>
        <w:pStyle w:val="Zkladntext1"/>
        <w:framePr w:w="9149" w:h="13349" w:hRule="exact" w:wrap="none" w:vAnchor="page" w:hAnchor="page" w:x="1330" w:y="2172"/>
        <w:numPr>
          <w:ilvl w:val="0"/>
          <w:numId w:val="10"/>
        </w:numPr>
        <w:tabs>
          <w:tab w:val="left" w:pos="536"/>
        </w:tabs>
        <w:spacing w:after="100"/>
        <w:ind w:left="540" w:hanging="540"/>
        <w:jc w:val="both"/>
      </w:pPr>
      <w:r>
        <w:rPr>
          <w:rStyle w:val="Zkladntext"/>
        </w:rPr>
        <w:t>Účastníci této smlouvy se dohodli, že tuto smlouvu je možno měnit a doplňovat pouze písemným dodatkem, avšak po vzájemném souhlasu obou smluvních stran.</w:t>
      </w:r>
    </w:p>
    <w:p w14:paraId="44DBF983" w14:textId="77777777" w:rsidR="00036164" w:rsidRDefault="00973DA5">
      <w:pPr>
        <w:pStyle w:val="Zkladntext1"/>
        <w:framePr w:w="9149" w:h="13349" w:hRule="exact" w:wrap="none" w:vAnchor="page" w:hAnchor="page" w:x="1330" w:y="2172"/>
        <w:numPr>
          <w:ilvl w:val="0"/>
          <w:numId w:val="10"/>
        </w:numPr>
        <w:tabs>
          <w:tab w:val="left" w:pos="536"/>
        </w:tabs>
        <w:spacing w:after="0"/>
        <w:ind w:left="540" w:hanging="540"/>
        <w:jc w:val="both"/>
      </w:pPr>
      <w:r>
        <w:rPr>
          <w:rStyle w:val="Zkladntext"/>
        </w:rPr>
        <w:t>Ostatní a další náležitosti podnájmu, které nebyly výslovně sjednány, se řídí závaznými platnými právními předpisy. Tato smlouva nabývá platnosti dnem podpisu obou smluvních stran a účinnosti dnem zveřejnění v registru smluv. Účastníci berou na vědomí, že praktické účinnosti nabývá ode dne určeného v článku IV. této smlouvy.</w:t>
      </w:r>
    </w:p>
    <w:p w14:paraId="45FFF4A0" w14:textId="77777777" w:rsidR="00036164" w:rsidRDefault="00036164">
      <w:pPr>
        <w:spacing w:line="1" w:lineRule="exact"/>
        <w:sectPr w:rsidR="00036164">
          <w:pgSz w:w="11906" w:h="16838"/>
          <w:pgMar w:top="360" w:right="360" w:bottom="360" w:left="360" w:header="0" w:footer="3" w:gutter="0"/>
          <w:cols w:space="720"/>
          <w:noEndnote/>
          <w:docGrid w:linePitch="360"/>
        </w:sectPr>
      </w:pPr>
    </w:p>
    <w:p w14:paraId="07587665" w14:textId="77777777" w:rsidR="00036164" w:rsidRDefault="00036164">
      <w:pPr>
        <w:spacing w:line="1" w:lineRule="exact"/>
      </w:pPr>
    </w:p>
    <w:p w14:paraId="67C2B31E" w14:textId="77777777" w:rsidR="00036164" w:rsidRDefault="00973DA5">
      <w:pPr>
        <w:pStyle w:val="Zkladntext1"/>
        <w:framePr w:w="9149" w:h="8400" w:hRule="exact" w:wrap="none" w:vAnchor="page" w:hAnchor="page" w:x="1330" w:y="2143"/>
        <w:numPr>
          <w:ilvl w:val="0"/>
          <w:numId w:val="10"/>
        </w:numPr>
        <w:tabs>
          <w:tab w:val="left" w:pos="520"/>
        </w:tabs>
        <w:spacing w:after="120"/>
        <w:ind w:left="560" w:hanging="560"/>
        <w:jc w:val="both"/>
      </w:pPr>
      <w:r>
        <w:rPr>
          <w:rStyle w:val="Zkladntext"/>
        </w:rPr>
        <w:t xml:space="preserve">Tato smlouva podléhá uveřejnění v registru smluv dle zákona č. 340/2015 Sb., o </w:t>
      </w:r>
      <w:r>
        <w:rPr>
          <w:rStyle w:val="Zkladntext"/>
        </w:rPr>
        <w:t>zvláštních podmínkách účinnosti některých smluv, uveřejňování těchto smluv a o registru smluv (zákon o registru smluv). Smluvní strany se dohodly, že smlouvu v souladu s tímto zákonem uveřejní nájemce v zákonné lhůtě.</w:t>
      </w:r>
    </w:p>
    <w:p w14:paraId="335E691B" w14:textId="77777777" w:rsidR="00036164" w:rsidRDefault="00973DA5">
      <w:pPr>
        <w:pStyle w:val="Zkladntext1"/>
        <w:framePr w:w="9149" w:h="8400" w:hRule="exact" w:wrap="none" w:vAnchor="page" w:hAnchor="page" w:x="1330" w:y="2143"/>
        <w:numPr>
          <w:ilvl w:val="0"/>
          <w:numId w:val="10"/>
        </w:numPr>
        <w:tabs>
          <w:tab w:val="left" w:pos="520"/>
        </w:tabs>
        <w:spacing w:after="120"/>
        <w:ind w:left="560" w:hanging="560"/>
        <w:jc w:val="both"/>
      </w:pPr>
      <w:r>
        <w:rPr>
          <w:rStyle w:val="Zkladntext"/>
        </w:rPr>
        <w:t>Tato smlouva byla sepsána ve dvou vyhotoveních, nájemce obdrží jedno vyhotovení a podnájemce obdrží jedno vyhotovení.</w:t>
      </w:r>
    </w:p>
    <w:p w14:paraId="47F2F72B" w14:textId="77777777" w:rsidR="00036164" w:rsidRDefault="00973DA5">
      <w:pPr>
        <w:pStyle w:val="Zkladntext1"/>
        <w:framePr w:w="9149" w:h="8400" w:hRule="exact" w:wrap="none" w:vAnchor="page" w:hAnchor="page" w:x="1330" w:y="2143"/>
        <w:numPr>
          <w:ilvl w:val="0"/>
          <w:numId w:val="10"/>
        </w:numPr>
        <w:tabs>
          <w:tab w:val="left" w:pos="520"/>
        </w:tabs>
        <w:spacing w:after="540"/>
        <w:jc w:val="both"/>
      </w:pPr>
      <w:r>
        <w:rPr>
          <w:rStyle w:val="Zkladntext"/>
        </w:rPr>
        <w:t>Strany sjednávají, že veškeré spory budou rozhodovány Okresním soudem v Mostě.</w:t>
      </w:r>
    </w:p>
    <w:p w14:paraId="4F00F59A" w14:textId="77777777" w:rsidR="00036164" w:rsidRDefault="00973DA5">
      <w:pPr>
        <w:pStyle w:val="Nadpis20"/>
        <w:framePr w:w="9149" w:h="8400" w:hRule="exact" w:wrap="none" w:vAnchor="page" w:hAnchor="page" w:x="1330" w:y="2143"/>
        <w:spacing w:after="0"/>
      </w:pPr>
      <w:bookmarkStart w:id="11" w:name="bookmark31"/>
      <w:r>
        <w:rPr>
          <w:rStyle w:val="Nadpis2"/>
          <w:b/>
          <w:bCs/>
        </w:rPr>
        <w:t>Článek X.</w:t>
      </w:r>
      <w:bookmarkEnd w:id="11"/>
    </w:p>
    <w:p w14:paraId="72DAEBA2" w14:textId="77777777" w:rsidR="00036164" w:rsidRDefault="00973DA5">
      <w:pPr>
        <w:pStyle w:val="Nadpis20"/>
        <w:framePr w:w="9149" w:h="8400" w:hRule="exact" w:wrap="none" w:vAnchor="page" w:hAnchor="page" w:x="1330" w:y="2143"/>
        <w:spacing w:after="220"/>
      </w:pPr>
      <w:r>
        <w:rPr>
          <w:rStyle w:val="Nadpis2"/>
          <w:b/>
          <w:bCs/>
        </w:rPr>
        <w:t>Ochrana osobních údajů</w:t>
      </w:r>
    </w:p>
    <w:p w14:paraId="538EAC1F" w14:textId="77777777" w:rsidR="00036164" w:rsidRDefault="00973DA5">
      <w:pPr>
        <w:pStyle w:val="Zkladntext1"/>
        <w:framePr w:w="9149" w:h="8400" w:hRule="exact" w:wrap="none" w:vAnchor="page" w:hAnchor="page" w:x="1330" w:y="2143"/>
        <w:numPr>
          <w:ilvl w:val="0"/>
          <w:numId w:val="11"/>
        </w:numPr>
        <w:tabs>
          <w:tab w:val="left" w:pos="520"/>
        </w:tabs>
        <w:ind w:left="560" w:hanging="560"/>
        <w:jc w:val="both"/>
      </w:pPr>
      <w:r>
        <w:rPr>
          <w:rStyle w:val="Zkladntext"/>
        </w:rPr>
        <w:t>Smluvní strany se zavazují zachovávat mlčenlivost o veškerých informacích obchodního, finančního a technického charakteru a druhé smluvní straně, se kterými se seznámily během trvání smluvního vztahu, a to po celou dobu tří let od ukončení smluvního vztahu.</w:t>
      </w:r>
    </w:p>
    <w:p w14:paraId="236E0E49" w14:textId="77777777" w:rsidR="00036164" w:rsidRDefault="00973DA5">
      <w:pPr>
        <w:pStyle w:val="Zkladntext1"/>
        <w:framePr w:w="9149" w:h="8400" w:hRule="exact" w:wrap="none" w:vAnchor="page" w:hAnchor="page" w:x="1330" w:y="2143"/>
        <w:numPr>
          <w:ilvl w:val="0"/>
          <w:numId w:val="11"/>
        </w:numPr>
        <w:tabs>
          <w:tab w:val="left" w:pos="520"/>
        </w:tabs>
        <w:spacing w:after="0"/>
        <w:jc w:val="both"/>
      </w:pPr>
      <w:r>
        <w:rPr>
          <w:rStyle w:val="Zkladntext"/>
        </w:rPr>
        <w:t>Povinnost mlčenlivosti smluvních stran je vymezena příslušnými ustanoveními platného</w:t>
      </w:r>
    </w:p>
    <w:p w14:paraId="5026C502" w14:textId="77777777" w:rsidR="00036164" w:rsidRDefault="00973DA5">
      <w:pPr>
        <w:pStyle w:val="Zkladntext1"/>
        <w:framePr w:w="9149" w:h="8400" w:hRule="exact" w:wrap="none" w:vAnchor="page" w:hAnchor="page" w:x="1330" w:y="2143"/>
        <w:ind w:firstLine="560"/>
        <w:jc w:val="both"/>
      </w:pPr>
      <w:r>
        <w:rPr>
          <w:rStyle w:val="Zkladntext"/>
        </w:rPr>
        <w:t>právního řádu ČR.</w:t>
      </w:r>
    </w:p>
    <w:p w14:paraId="7A60CA4B" w14:textId="77777777" w:rsidR="00036164" w:rsidRDefault="00973DA5">
      <w:pPr>
        <w:pStyle w:val="Zkladntext1"/>
        <w:framePr w:w="9149" w:h="8400" w:hRule="exact" w:wrap="none" w:vAnchor="page" w:hAnchor="page" w:x="1330" w:y="2143"/>
        <w:numPr>
          <w:ilvl w:val="0"/>
          <w:numId w:val="11"/>
        </w:numPr>
        <w:tabs>
          <w:tab w:val="left" w:pos="520"/>
        </w:tabs>
        <w:ind w:left="560" w:hanging="560"/>
        <w:jc w:val="both"/>
      </w:pPr>
      <w:r>
        <w:rPr>
          <w:rStyle w:val="Zkladntext"/>
        </w:rPr>
        <w:t>V souvislosti splněním smlouvy je nájemce oprávněn zpracovávat osobní, případně identifikační údaje podnájemce, jakožto i odpovídající provozní údaje, kdy účelem zpracování dat je jednak plném zákonných povinností, povinností převzatých touto smlouvou a z důvodu oprávněného zájmu nájemce. Podnájemce podpisem této smlouvy potvrzuje, že byl seznámen se svými právy, jež mu plynou z platných předpisů o ochraně osobních údajů (Nařízení Evropského parlamentu a Rady EU 2016/679 ze dne 27. dubna 2016 v platném zněn</w:t>
      </w:r>
      <w:r>
        <w:rPr>
          <w:rStyle w:val="Zkladntext"/>
        </w:rPr>
        <w:t>í).</w:t>
      </w:r>
    </w:p>
    <w:p w14:paraId="6E3DA703" w14:textId="77777777" w:rsidR="00036164" w:rsidRDefault="00973DA5">
      <w:pPr>
        <w:pStyle w:val="Zkladntext1"/>
        <w:framePr w:w="9149" w:h="8400" w:hRule="exact" w:wrap="none" w:vAnchor="page" w:hAnchor="page" w:x="1330" w:y="2143"/>
        <w:numPr>
          <w:ilvl w:val="0"/>
          <w:numId w:val="11"/>
        </w:numPr>
        <w:tabs>
          <w:tab w:val="left" w:pos="520"/>
        </w:tabs>
        <w:spacing w:after="0"/>
        <w:ind w:left="560" w:hanging="560"/>
        <w:jc w:val="both"/>
      </w:pPr>
      <w:r>
        <w:rPr>
          <w:rStyle w:val="Zkladntext"/>
        </w:rPr>
        <w:t>Nájemce je správcem osobních údajů a osobou oprávněnou nakládat s osobními údaji dle příslušných právních předpisů.</w:t>
      </w:r>
    </w:p>
    <w:p w14:paraId="4E3D2363" w14:textId="77777777" w:rsidR="00036164" w:rsidRDefault="00036164">
      <w:pPr>
        <w:spacing w:line="1" w:lineRule="exact"/>
        <w:sectPr w:rsidR="00036164">
          <w:pgSz w:w="11906" w:h="16838"/>
          <w:pgMar w:top="360" w:right="360" w:bottom="360" w:left="360" w:header="0" w:footer="3" w:gutter="0"/>
          <w:cols w:space="720"/>
          <w:noEndnote/>
          <w:docGrid w:linePitch="360"/>
        </w:sectPr>
      </w:pPr>
    </w:p>
    <w:p w14:paraId="1A836C34" w14:textId="77777777" w:rsidR="00036164" w:rsidRDefault="00036164">
      <w:pPr>
        <w:spacing w:line="1" w:lineRule="exact"/>
      </w:pPr>
    </w:p>
    <w:p w14:paraId="3EDAB532" w14:textId="77777777" w:rsidR="00036164" w:rsidRDefault="00973DA5">
      <w:pPr>
        <w:pStyle w:val="Zkladntext1"/>
        <w:framePr w:w="9125" w:h="2539" w:hRule="exact" w:wrap="none" w:vAnchor="page" w:hAnchor="page" w:x="1342" w:y="3499"/>
        <w:spacing w:after="260"/>
        <w:jc w:val="both"/>
      </w:pPr>
      <w:r>
        <w:rPr>
          <w:rStyle w:val="Zkladntext"/>
          <w:color w:val="000000"/>
        </w:rPr>
        <w:t xml:space="preserve">Účastníci této smlouvy výslovně prohlašují, že tuto smlouvu </w:t>
      </w:r>
      <w:r>
        <w:rPr>
          <w:rStyle w:val="Zkladntext"/>
          <w:color w:val="000000"/>
        </w:rPr>
        <w:t>uzavřeli dobrovolně, vážně a svobodně a že jim nejsou známy žádné překážky, které by jim bránily tuto smlouvu podepsat.</w:t>
      </w:r>
    </w:p>
    <w:p w14:paraId="676622BE" w14:textId="77777777" w:rsidR="00036164" w:rsidRDefault="00973DA5">
      <w:pPr>
        <w:pStyle w:val="Zkladntext1"/>
        <w:framePr w:w="9125" w:h="2539" w:hRule="exact" w:wrap="none" w:vAnchor="page" w:hAnchor="page" w:x="1342" w:y="3499"/>
        <w:spacing w:after="0"/>
        <w:jc w:val="both"/>
      </w:pPr>
      <w:r>
        <w:rPr>
          <w:rStyle w:val="Zkladntext"/>
          <w:color w:val="000000"/>
        </w:rPr>
        <w:t>Přílohy:</w:t>
      </w:r>
    </w:p>
    <w:p w14:paraId="544FBC39" w14:textId="77777777" w:rsidR="00036164" w:rsidRDefault="00973DA5">
      <w:pPr>
        <w:pStyle w:val="Zkladntext1"/>
        <w:framePr w:w="9125" w:h="2539" w:hRule="exact" w:wrap="none" w:vAnchor="page" w:hAnchor="page" w:x="1342" w:y="3499"/>
        <w:numPr>
          <w:ilvl w:val="0"/>
          <w:numId w:val="12"/>
        </w:numPr>
        <w:tabs>
          <w:tab w:val="left" w:pos="518"/>
        </w:tabs>
        <w:spacing w:after="0"/>
        <w:jc w:val="both"/>
      </w:pPr>
      <w:r>
        <w:rPr>
          <w:rStyle w:val="Zkladntext"/>
          <w:color w:val="000000"/>
        </w:rPr>
        <w:t>Předávací protokol</w:t>
      </w:r>
    </w:p>
    <w:p w14:paraId="11F4B173" w14:textId="77777777" w:rsidR="00036164" w:rsidRDefault="00973DA5">
      <w:pPr>
        <w:pStyle w:val="Zkladntext1"/>
        <w:framePr w:w="9125" w:h="2539" w:hRule="exact" w:wrap="none" w:vAnchor="page" w:hAnchor="page" w:x="1342" w:y="3499"/>
        <w:numPr>
          <w:ilvl w:val="0"/>
          <w:numId w:val="12"/>
        </w:numPr>
        <w:tabs>
          <w:tab w:val="left" w:pos="518"/>
        </w:tabs>
        <w:spacing w:after="0"/>
        <w:jc w:val="both"/>
      </w:pPr>
      <w:r>
        <w:rPr>
          <w:rStyle w:val="Zkladntext"/>
          <w:color w:val="000000"/>
        </w:rPr>
        <w:t>Výpočtový list</w:t>
      </w:r>
    </w:p>
    <w:p w14:paraId="73483AFA" w14:textId="77777777" w:rsidR="00036164" w:rsidRDefault="00973DA5">
      <w:pPr>
        <w:pStyle w:val="Zkladntext1"/>
        <w:framePr w:w="9125" w:h="2539" w:hRule="exact" w:wrap="none" w:vAnchor="page" w:hAnchor="page" w:x="1342" w:y="3499"/>
        <w:numPr>
          <w:ilvl w:val="0"/>
          <w:numId w:val="12"/>
        </w:numPr>
        <w:tabs>
          <w:tab w:val="left" w:pos="518"/>
        </w:tabs>
        <w:spacing w:after="0"/>
        <w:jc w:val="both"/>
      </w:pPr>
      <w:r>
        <w:rPr>
          <w:rStyle w:val="Zkladntext"/>
          <w:color w:val="000000"/>
        </w:rPr>
        <w:t>Výpis z katastru nemovitostí</w:t>
      </w:r>
    </w:p>
    <w:p w14:paraId="350B7D7C" w14:textId="77777777" w:rsidR="00036164" w:rsidRDefault="00973DA5">
      <w:pPr>
        <w:pStyle w:val="Zkladntext1"/>
        <w:framePr w:w="9125" w:h="2539" w:hRule="exact" w:wrap="none" w:vAnchor="page" w:hAnchor="page" w:x="1342" w:y="3499"/>
        <w:numPr>
          <w:ilvl w:val="0"/>
          <w:numId w:val="12"/>
        </w:numPr>
        <w:tabs>
          <w:tab w:val="left" w:pos="518"/>
        </w:tabs>
        <w:spacing w:after="0"/>
        <w:jc w:val="both"/>
      </w:pPr>
      <w:r>
        <w:rPr>
          <w:rStyle w:val="Zkladntext"/>
          <w:color w:val="000000"/>
        </w:rPr>
        <w:t>Vymezení předmětu nájmu</w:t>
      </w:r>
    </w:p>
    <w:p w14:paraId="14D9D0D8" w14:textId="6A0E609F" w:rsidR="00036164" w:rsidRDefault="00973DA5">
      <w:pPr>
        <w:pStyle w:val="Zkladntext1"/>
        <w:framePr w:wrap="none" w:vAnchor="page" w:hAnchor="page" w:x="1347" w:y="6787"/>
        <w:spacing w:after="0"/>
        <w:rPr>
          <w:sz w:val="28"/>
          <w:szCs w:val="28"/>
        </w:rPr>
      </w:pPr>
      <w:r>
        <w:rPr>
          <w:rStyle w:val="Zkladntext"/>
          <w:color w:val="000000"/>
        </w:rPr>
        <w:t xml:space="preserve">V Mostě, dne: </w:t>
      </w:r>
    </w:p>
    <w:p w14:paraId="032DBD4C" w14:textId="449DB563" w:rsidR="00036164" w:rsidRDefault="00973DA5">
      <w:pPr>
        <w:pStyle w:val="Zkladntext1"/>
        <w:framePr w:wrap="none" w:vAnchor="page" w:hAnchor="page" w:x="6728" w:y="6797"/>
        <w:spacing w:after="0"/>
        <w:rPr>
          <w:sz w:val="19"/>
          <w:szCs w:val="19"/>
        </w:rPr>
      </w:pPr>
      <w:r>
        <w:rPr>
          <w:rStyle w:val="Zkladntext"/>
          <w:color w:val="000000"/>
        </w:rPr>
        <w:t xml:space="preserve">V Mostě, dne: </w:t>
      </w:r>
    </w:p>
    <w:p w14:paraId="0CC3C363" w14:textId="77777777" w:rsidR="00036164" w:rsidRDefault="00973DA5">
      <w:pPr>
        <w:pStyle w:val="Zkladntext1"/>
        <w:framePr w:wrap="none" w:vAnchor="page" w:hAnchor="page" w:x="5456" w:y="7661"/>
        <w:spacing w:after="0"/>
        <w:ind w:left="1240"/>
      </w:pPr>
      <w:r>
        <w:rPr>
          <w:rStyle w:val="Zkladntext"/>
          <w:color w:val="000000"/>
        </w:rPr>
        <w:t>Podnájemce:</w:t>
      </w:r>
    </w:p>
    <w:p w14:paraId="4D2B57FA" w14:textId="77777777" w:rsidR="00036164" w:rsidRDefault="00973DA5">
      <w:pPr>
        <w:pStyle w:val="Titulekobrzku0"/>
        <w:framePr w:wrap="none" w:vAnchor="page" w:hAnchor="page" w:x="1352" w:y="7661"/>
      </w:pPr>
      <w:r>
        <w:rPr>
          <w:rStyle w:val="Titulekobrzku"/>
        </w:rPr>
        <w:t>Nájemce:</w:t>
      </w:r>
    </w:p>
    <w:p w14:paraId="12DAE655" w14:textId="38CC9870" w:rsidR="00036164" w:rsidRDefault="00043103">
      <w:pPr>
        <w:pStyle w:val="Titulekobrzku0"/>
        <w:framePr w:w="3542" w:h="850" w:hRule="exact" w:wrap="none" w:vAnchor="page" w:hAnchor="page" w:x="1356" w:y="9859"/>
      </w:pPr>
      <w:proofErr w:type="spellStart"/>
      <w:r>
        <w:rPr>
          <w:rStyle w:val="Titulekobrzku"/>
        </w:rPr>
        <w:t>xxx</w:t>
      </w:r>
      <w:proofErr w:type="spellEnd"/>
    </w:p>
    <w:p w14:paraId="72C3113C" w14:textId="77777777" w:rsidR="00036164" w:rsidRDefault="00973DA5">
      <w:pPr>
        <w:pStyle w:val="Titulekobrzku0"/>
        <w:framePr w:w="3542" w:h="850" w:hRule="exact" w:wrap="none" w:vAnchor="page" w:hAnchor="page" w:x="1356" w:y="9859"/>
      </w:pPr>
      <w:r>
        <w:rPr>
          <w:rStyle w:val="Titulekobrzku"/>
        </w:rPr>
        <w:t>předseda představenství;</w:t>
      </w:r>
    </w:p>
    <w:p w14:paraId="40791A24" w14:textId="77777777" w:rsidR="00036164" w:rsidRDefault="00973DA5">
      <w:pPr>
        <w:pStyle w:val="Titulekobrzku0"/>
        <w:framePr w:w="3542" w:h="850" w:hRule="exact" w:wrap="none" w:vAnchor="page" w:hAnchor="page" w:x="1356" w:y="9859"/>
      </w:pPr>
      <w:r>
        <w:rPr>
          <w:rStyle w:val="Titulekobrzku"/>
        </w:rPr>
        <w:t>SPORTOVNÍ AREÁLY MOST, a.s</w:t>
      </w:r>
    </w:p>
    <w:p w14:paraId="39144EE2" w14:textId="6EAB3B89" w:rsidR="00043103" w:rsidRDefault="00043103">
      <w:pPr>
        <w:pStyle w:val="Titulekobrzku0"/>
        <w:framePr w:w="3586" w:h="845" w:hRule="exact" w:wrap="none" w:vAnchor="page" w:hAnchor="page" w:x="1361" w:y="12345"/>
        <w:rPr>
          <w:rStyle w:val="Titulekobrzku"/>
        </w:rPr>
      </w:pPr>
      <w:proofErr w:type="spellStart"/>
      <w:r>
        <w:rPr>
          <w:rStyle w:val="Titulekobrzku"/>
        </w:rPr>
        <w:t>xxx</w:t>
      </w:r>
      <w:proofErr w:type="spellEnd"/>
    </w:p>
    <w:p w14:paraId="16C8CB95" w14:textId="1881728D" w:rsidR="00036164" w:rsidRDefault="00973DA5">
      <w:pPr>
        <w:pStyle w:val="Titulekobrzku0"/>
        <w:framePr w:w="3586" w:h="845" w:hRule="exact" w:wrap="none" w:vAnchor="page" w:hAnchor="page" w:x="1361" w:y="12345"/>
      </w:pPr>
      <w:r>
        <w:rPr>
          <w:rStyle w:val="Titulekobrzku"/>
        </w:rPr>
        <w:t xml:space="preserve"> představenstva SPORTOVNÍ AREÁLY </w:t>
      </w:r>
      <w:r>
        <w:rPr>
          <w:rStyle w:val="Titulekobrzku"/>
        </w:rPr>
        <w:t>MOST, a.s.</w:t>
      </w:r>
    </w:p>
    <w:p w14:paraId="02B1EB92" w14:textId="30352E0C" w:rsidR="00043103" w:rsidRDefault="00043103">
      <w:pPr>
        <w:pStyle w:val="Zkladntext1"/>
        <w:framePr w:w="5011" w:h="859" w:hRule="exact" w:wrap="none" w:vAnchor="page" w:hAnchor="page" w:x="5456" w:y="9854"/>
        <w:spacing w:after="0"/>
        <w:ind w:left="1240" w:firstLine="20"/>
        <w:rPr>
          <w:rStyle w:val="Zkladntext"/>
          <w:color w:val="000000"/>
        </w:rPr>
      </w:pPr>
      <w:proofErr w:type="spellStart"/>
      <w:r>
        <w:rPr>
          <w:rStyle w:val="Zkladntext"/>
          <w:color w:val="000000"/>
        </w:rPr>
        <w:t>xxx</w:t>
      </w:r>
      <w:proofErr w:type="spellEnd"/>
    </w:p>
    <w:p w14:paraId="3036E0F1" w14:textId="03345682" w:rsidR="00036164" w:rsidRDefault="00973DA5">
      <w:pPr>
        <w:pStyle w:val="Zkladntext1"/>
        <w:framePr w:w="5011" w:h="859" w:hRule="exact" w:wrap="none" w:vAnchor="page" w:hAnchor="page" w:x="5456" w:y="9854"/>
        <w:spacing w:after="0"/>
        <w:ind w:left="1240" w:firstLine="20"/>
      </w:pPr>
      <w:r>
        <w:rPr>
          <w:rStyle w:val="Zkladntext"/>
          <w:color w:val="000000"/>
        </w:rPr>
        <w:t>společnosti Zahradnictví Dvořák a syn s.r.o.</w:t>
      </w:r>
    </w:p>
    <w:p w14:paraId="44605C86" w14:textId="77777777" w:rsidR="00036164" w:rsidRDefault="00036164">
      <w:pPr>
        <w:spacing w:line="1" w:lineRule="exact"/>
        <w:sectPr w:rsidR="00036164">
          <w:pgSz w:w="11906" w:h="16838"/>
          <w:pgMar w:top="360" w:right="360" w:bottom="360" w:left="360" w:header="0" w:footer="3" w:gutter="0"/>
          <w:cols w:space="720"/>
          <w:noEndnote/>
          <w:docGrid w:linePitch="360"/>
        </w:sectPr>
      </w:pPr>
    </w:p>
    <w:p w14:paraId="3FCA5024" w14:textId="77777777" w:rsidR="00036164" w:rsidRDefault="00036164">
      <w:pPr>
        <w:spacing w:line="1" w:lineRule="exact"/>
      </w:pPr>
    </w:p>
    <w:sectPr w:rsidR="00036164">
      <w:pgSz w:w="11906"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1B4B" w14:textId="77777777" w:rsidR="00973DA5" w:rsidRDefault="00973DA5">
      <w:r>
        <w:separator/>
      </w:r>
    </w:p>
  </w:endnote>
  <w:endnote w:type="continuationSeparator" w:id="0">
    <w:p w14:paraId="13306D89" w14:textId="77777777" w:rsidR="00973DA5" w:rsidRDefault="0097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F661" w14:textId="77777777" w:rsidR="00036164" w:rsidRDefault="00036164"/>
  </w:footnote>
  <w:footnote w:type="continuationSeparator" w:id="0">
    <w:p w14:paraId="55B55BC6" w14:textId="77777777" w:rsidR="00036164" w:rsidRDefault="000361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1F68"/>
    <w:multiLevelType w:val="multilevel"/>
    <w:tmpl w:val="3A6EF454"/>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01C2E"/>
    <w:multiLevelType w:val="multilevel"/>
    <w:tmpl w:val="78AAA47C"/>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23F2D"/>
    <w:multiLevelType w:val="multilevel"/>
    <w:tmpl w:val="D2524ACC"/>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818ED"/>
    <w:multiLevelType w:val="multilevel"/>
    <w:tmpl w:val="06228300"/>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94DC5"/>
    <w:multiLevelType w:val="multilevel"/>
    <w:tmpl w:val="6F30DC40"/>
    <w:lvl w:ilvl="0">
      <w:start w:val="1"/>
      <w:numFmt w:val="bullet"/>
      <w:lvlText w:val="-"/>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E2539"/>
    <w:multiLevelType w:val="multilevel"/>
    <w:tmpl w:val="6E52DA4E"/>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5777EB"/>
    <w:multiLevelType w:val="multilevel"/>
    <w:tmpl w:val="758E6162"/>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69012F"/>
    <w:multiLevelType w:val="multilevel"/>
    <w:tmpl w:val="07500A6C"/>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611A70"/>
    <w:multiLevelType w:val="multilevel"/>
    <w:tmpl w:val="D1C05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C63DAD"/>
    <w:multiLevelType w:val="multilevel"/>
    <w:tmpl w:val="A84CFD76"/>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A94027"/>
    <w:multiLevelType w:val="multilevel"/>
    <w:tmpl w:val="C388CBDA"/>
    <w:lvl w:ilvl="0">
      <w:start w:val="1"/>
      <w:numFmt w:val="decimal"/>
      <w:lvlText w:val="%1."/>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D16F5B"/>
    <w:multiLevelType w:val="multilevel"/>
    <w:tmpl w:val="6BD07AA0"/>
    <w:lvl w:ilvl="0">
      <w:start w:val="1"/>
      <w:numFmt w:val="bullet"/>
      <w:lvlText w:val="-"/>
      <w:lvlJc w:val="left"/>
      <w:rPr>
        <w:rFonts w:ascii="Times New Roman" w:eastAsia="Times New Roman" w:hAnsi="Times New Roman" w:cs="Times New Roman"/>
        <w:b w:val="0"/>
        <w:bCs w:val="0"/>
        <w:i w:val="0"/>
        <w:iCs w:val="0"/>
        <w:smallCaps w:val="0"/>
        <w:strike w:val="0"/>
        <w:color w:val="272727"/>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2924829">
    <w:abstractNumId w:val="11"/>
  </w:num>
  <w:num w:numId="2" w16cid:durableId="1013796852">
    <w:abstractNumId w:val="6"/>
  </w:num>
  <w:num w:numId="3" w16cid:durableId="1299455279">
    <w:abstractNumId w:val="0"/>
  </w:num>
  <w:num w:numId="4" w16cid:durableId="758327390">
    <w:abstractNumId w:val="5"/>
  </w:num>
  <w:num w:numId="5" w16cid:durableId="1109663913">
    <w:abstractNumId w:val="2"/>
  </w:num>
  <w:num w:numId="6" w16cid:durableId="965813416">
    <w:abstractNumId w:val="3"/>
  </w:num>
  <w:num w:numId="7" w16cid:durableId="1312173455">
    <w:abstractNumId w:val="10"/>
  </w:num>
  <w:num w:numId="8" w16cid:durableId="2127194788">
    <w:abstractNumId w:val="4"/>
  </w:num>
  <w:num w:numId="9" w16cid:durableId="1237276762">
    <w:abstractNumId w:val="9"/>
  </w:num>
  <w:num w:numId="10" w16cid:durableId="1344089167">
    <w:abstractNumId w:val="1"/>
  </w:num>
  <w:num w:numId="11" w16cid:durableId="1795514966">
    <w:abstractNumId w:val="7"/>
  </w:num>
  <w:num w:numId="12" w16cid:durableId="201529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64"/>
    <w:rsid w:val="00036164"/>
    <w:rsid w:val="00043103"/>
    <w:rsid w:val="00270B91"/>
    <w:rsid w:val="00973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54C7"/>
  <w15:docId w15:val="{AFF3122F-3553-4709-9701-E1F19583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272727"/>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color w:val="272727"/>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color w:val="272727"/>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color w:val="272727"/>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272727"/>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Nadpis10">
    <w:name w:val="Nadpis #1"/>
    <w:basedOn w:val="Normln"/>
    <w:link w:val="Nadpis1"/>
    <w:pPr>
      <w:spacing w:before="260" w:after="140"/>
      <w:jc w:val="center"/>
      <w:outlineLvl w:val="0"/>
    </w:pPr>
    <w:rPr>
      <w:rFonts w:ascii="Times New Roman" w:eastAsia="Times New Roman" w:hAnsi="Times New Roman" w:cs="Times New Roman"/>
      <w:b/>
      <w:bCs/>
      <w:color w:val="272727"/>
      <w:sz w:val="32"/>
      <w:szCs w:val="32"/>
    </w:rPr>
  </w:style>
  <w:style w:type="paragraph" w:customStyle="1" w:styleId="Zkladntext1">
    <w:name w:val="Základní text1"/>
    <w:basedOn w:val="Normln"/>
    <w:link w:val="Zkladntext"/>
    <w:pPr>
      <w:spacing w:after="220"/>
    </w:pPr>
    <w:rPr>
      <w:rFonts w:ascii="Times New Roman" w:eastAsia="Times New Roman" w:hAnsi="Times New Roman" w:cs="Times New Roman"/>
      <w:color w:val="272727"/>
    </w:rPr>
  </w:style>
  <w:style w:type="paragraph" w:customStyle="1" w:styleId="Titulektabulky0">
    <w:name w:val="Titulek tabulky"/>
    <w:basedOn w:val="Normln"/>
    <w:link w:val="Titulektabulky"/>
    <w:rPr>
      <w:rFonts w:ascii="Times New Roman" w:eastAsia="Times New Roman" w:hAnsi="Times New Roman" w:cs="Times New Roman"/>
      <w:b/>
      <w:bCs/>
      <w:color w:val="272727"/>
    </w:rPr>
  </w:style>
  <w:style w:type="paragraph" w:customStyle="1" w:styleId="Jin0">
    <w:name w:val="Jiné"/>
    <w:basedOn w:val="Normln"/>
    <w:link w:val="Jin"/>
    <w:pPr>
      <w:spacing w:after="220"/>
    </w:pPr>
    <w:rPr>
      <w:rFonts w:ascii="Times New Roman" w:eastAsia="Times New Roman" w:hAnsi="Times New Roman" w:cs="Times New Roman"/>
      <w:color w:val="272727"/>
    </w:rPr>
  </w:style>
  <w:style w:type="paragraph" w:customStyle="1" w:styleId="Nadpis20">
    <w:name w:val="Nadpis #2"/>
    <w:basedOn w:val="Normln"/>
    <w:link w:val="Nadpis2"/>
    <w:pPr>
      <w:spacing w:after="50"/>
      <w:jc w:val="center"/>
      <w:outlineLvl w:val="1"/>
    </w:pPr>
    <w:rPr>
      <w:rFonts w:ascii="Times New Roman" w:eastAsia="Times New Roman" w:hAnsi="Times New Roman" w:cs="Times New Roman"/>
      <w:b/>
      <w:bCs/>
      <w:color w:val="272727"/>
    </w:rPr>
  </w:style>
  <w:style w:type="paragraph" w:customStyle="1" w:styleId="Titulekobrzku0">
    <w:name w:val="Titulek obrázku"/>
    <w:basedOn w:val="Normln"/>
    <w:link w:val="Titulekobrzku"/>
    <w:rPr>
      <w:rFonts w:ascii="Times New Roman" w:eastAsia="Times New Roman" w:hAnsi="Times New Roman" w:cs="Times New Roman"/>
    </w:rPr>
  </w:style>
  <w:style w:type="character" w:styleId="Hypertextovodkaz">
    <w:name w:val="Hyperlink"/>
    <w:basedOn w:val="Standardnpsmoodstavce"/>
    <w:uiPriority w:val="99"/>
    <w:unhideWhenUsed/>
    <w:rsid w:val="00043103"/>
    <w:rPr>
      <w:color w:val="0563C1" w:themeColor="hyperlink"/>
      <w:u w:val="single"/>
    </w:rPr>
  </w:style>
  <w:style w:type="character" w:styleId="Nevyeenzmnka">
    <w:name w:val="Unresolved Mention"/>
    <w:basedOn w:val="Standardnpsmoodstavce"/>
    <w:uiPriority w:val="99"/>
    <w:semiHidden/>
    <w:unhideWhenUsed/>
    <w:rsid w:val="0004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dvorakasvn.cz" TargetMode="External"/><Relationship Id="rId3" Type="http://schemas.openxmlformats.org/officeDocument/2006/relationships/settings" Target="settings.xml"/><Relationship Id="rId7" Type="http://schemas.openxmlformats.org/officeDocument/2006/relationships/hyperlink" Target="mailto:xxx@samos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1853</Words>
  <Characters>10934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S25C-0i25030610210</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S25C-0i25030610210</dc:title>
  <dc:subject/>
  <dc:creator/>
  <cp:keywords/>
  <cp:lastModifiedBy>Petr Formánek</cp:lastModifiedBy>
  <cp:revision>2</cp:revision>
  <dcterms:created xsi:type="dcterms:W3CDTF">2025-03-06T10:37:00Z</dcterms:created>
  <dcterms:modified xsi:type="dcterms:W3CDTF">2025-03-06T11:17:00Z</dcterms:modified>
</cp:coreProperties>
</file>