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136" w:h="326" w:wrap="none" w:hAnchor="page" w:x="4892" w:y="7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SMLOUVA O DÍLO</w:t>
      </w:r>
      <w:bookmarkEnd w:id="0"/>
    </w:p>
    <w:p>
      <w:pPr>
        <w:pStyle w:val="Style4"/>
        <w:keepNext w:val="0"/>
        <w:keepLines w:val="0"/>
        <w:framePr w:w="931" w:h="206" w:wrap="none" w:hAnchor="page" w:x="8645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2025001242</w:t>
      </w:r>
    </w:p>
    <w:p>
      <w:pPr>
        <w:widowControl w:val="0"/>
        <w:spacing w:after="330" w:line="1" w:lineRule="exact"/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342" w:right="1206" w:bottom="919" w:left="1382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11"/>
        </w:rPr>
        <w:t>podle ustanovení § 2586 a násl. zákona č. 89/2012 Sb občanského zákoníku (dáte jen „smlouva“),</w:t>
        <w:br/>
        <w:t>uzavřená mezi</w:t>
      </w:r>
    </w:p>
    <w:tbl>
      <w:tblPr>
        <w:tblOverlap w:val="never"/>
        <w:jc w:val="left"/>
        <w:tblLayout w:type="fixed"/>
      </w:tblPr>
      <w:tblGrid>
        <w:gridCol w:w="2746"/>
        <w:gridCol w:w="5621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Kamenice 798/1 d, 625 00 Brno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MUDr. Hana Albrechtová, ředitelka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2"/>
                <w:spacing w:val="9"/>
                <w:shd w:val="clear" w:color="auto" w:fill="000000"/>
              </w:rPr>
              <w:t>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4"/>
                <w:shd w:val="clear" w:color="auto" w:fill="000000"/>
              </w:rPr>
              <w:t>....</w:t>
            </w:r>
            <w:r>
              <w:rPr>
                <w:rStyle w:val="CharStyle22"/>
                <w:spacing w:val="5"/>
                <w:shd w:val="clear" w:color="auto" w:fill="000000"/>
              </w:rPr>
              <w:t>...</w:t>
            </w:r>
            <w:r>
              <w:rPr>
                <w:rStyle w:val="CharStyle22"/>
                <w:shd w:val="clear" w:color="auto" w:fill="000000"/>
              </w:rPr>
              <w:t>​......</w:t>
            </w:r>
            <w:r>
              <w:rPr>
                <w:rStyle w:val="CharStyle22"/>
                <w:spacing w:val="1"/>
                <w:shd w:val="clear" w:color="auto" w:fill="000000"/>
              </w:rPr>
              <w:t>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......</w:t>
            </w:r>
            <w:r>
              <w:rPr>
                <w:rStyle w:val="CharStyle22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2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2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2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2"/>
                <w:shd w:val="clear" w:color="auto" w:fill="000000"/>
              </w:rPr>
              <w:t>..​</w:t>
            </w:r>
            <w:r>
              <w:rPr>
                <w:rStyle w:val="CharStyle22"/>
                <w:spacing w:val="8"/>
                <w:shd w:val="clear" w:color="auto" w:fill="000000"/>
              </w:rPr>
              <w:t>..</w:t>
            </w:r>
            <w:r>
              <w:rPr>
                <w:rStyle w:val="CharStyle22"/>
                <w:spacing w:val="9"/>
                <w:shd w:val="clear" w:color="auto" w:fill="000000"/>
              </w:rPr>
              <w:t>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8"/>
                <w:shd w:val="clear" w:color="auto" w:fill="000000"/>
              </w:rPr>
              <w:t>.</w:t>
            </w:r>
            <w:r>
              <w:rPr>
                <w:rStyle w:val="CharStyle22"/>
                <w:spacing w:val="9"/>
                <w:shd w:val="clear" w:color="auto" w:fill="000000"/>
              </w:rPr>
              <w:t>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8"/>
                <w:shd w:val="clear" w:color="auto" w:fill="000000"/>
              </w:rPr>
              <w:t>.</w:t>
            </w:r>
            <w:r>
              <w:rPr>
                <w:rStyle w:val="CharStyle22"/>
                <w:spacing w:val="9"/>
                <w:shd w:val="clear" w:color="auto" w:fill="000000"/>
              </w:rPr>
              <w:t>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10"/>
                <w:shd w:val="clear" w:color="auto" w:fill="000000"/>
              </w:rPr>
              <w:t>..</w:t>
            </w:r>
            <w:r>
              <w:rPr>
                <w:rStyle w:val="CharStyle22"/>
                <w:spacing w:val="11"/>
                <w:shd w:val="clear" w:color="auto" w:fill="000000"/>
              </w:rPr>
              <w:t>...</w:t>
            </w:r>
            <w:r>
              <w:rPr>
                <w:rStyle w:val="CharStyle22"/>
              </w:rPr>
              <w:t xml:space="preserve"> 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CZ00346292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MONETA Money Bank, a s., č. ú. 117203514/0600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9"/>
          <w:szCs w:val="19"/>
        </w:rPr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9"/>
          <w:szCs w:val="19"/>
        </w:rPr>
        <w:t>„objednatel 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6"/>
        <w:gridCol w:w="5616"/>
      </w:tblGrid>
      <w:tr>
        <w:trPr>
          <w:trHeight w:val="61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Tomáš Berger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Jezeřany-Maršovice 289, 67175 Jezeřany-Maršovice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Tomáš Berger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spacing w:val="2"/>
                <w:shd w:val="clear" w:color="auto" w:fill="000000"/>
              </w:rPr>
              <w:t>....</w:t>
            </w:r>
            <w:r>
              <w:rPr>
                <w:rStyle w:val="CharStyle22"/>
                <w:spacing w:val="3"/>
                <w:shd w:val="clear" w:color="auto" w:fill="000000"/>
              </w:rPr>
              <w:t>.......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4"/>
                <w:shd w:val="clear" w:color="auto" w:fill="000000"/>
              </w:rPr>
              <w:t>..........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74784889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CZ8703145209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Zápis v OR: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6"/>
        <w:gridCol w:w="5616"/>
      </w:tblGrid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670100-2205400269/6210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9"/>
          <w:szCs w:val="19"/>
        </w:rPr>
        <w:t>„zhotovitel )</w:t>
      </w:r>
    </w:p>
    <w:p>
      <w:pPr>
        <w:widowControl w:val="0"/>
        <w:spacing w:after="107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Zhotovitel se zavazuje, že pro objednatele provede dílo, spočívající v dodání a montáži klimatizačních jednotek v objektu objednatele na adrese Kamenice 798/1 d, 625 00 Brno, a to vše způsobem a v rozsahu dle soupisu prací, který je jako příloha nedílnou součástí této smlouvy. Součástí díla je přitom vše, čeho je třeba provést, zapracovat či jinak vynaložit k dosažení výsledné podoby díla, jak vyplývá z této přílohy. Součástí díla je rovněž likvidace vzniklého odpadu, a průběžný a závěrečný úklid.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Při provádění díla se pak zhotovitel zavazuje postupovat tak, aby nebyl narušen provoz zdravotnického zařízení objednatele v místě plnění.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left"/>
      </w:pPr>
      <w:r>
        <w:rPr>
          <w:rStyle w:val="CharStyle11"/>
        </w:rPr>
        <w:t xml:space="preserve">Zhotovitel se zavazuje provést dílo podle čl. 1 této smlouvy ve lhůtě nejpozději do </w:t>
      </w:r>
      <w:r>
        <w:rPr>
          <w:rStyle w:val="CharStyle11"/>
          <w:b/>
          <w:bCs/>
        </w:rPr>
        <w:t>31. 5. 2025.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prodlení se splněním svého závazku podle čl. 1 této smlouvy ve lhůtě podle čl. 3 této smlouvy se zhotovitel zavazuje zaplatit objednateli smluvní pokutu ve výši 0,1 % z celkové ceny díla podle čl. 6 této smlouvy za každý započatý den tohoto prodlení. Zaplacením této smluvní pokuty není dotčen nárok objednatele na případnou náhradu škody v plné výši.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 xml:space="preserve">Objednatel se zavazuje zaplatit zhotoviteli za dílo podle čl. 1 této smlouvy cenu díla ve výši: </w:t>
      </w:r>
      <w:r>
        <w:rPr>
          <w:rStyle w:val="CharStyle11"/>
          <w:b/>
          <w:bCs/>
        </w:rPr>
        <w:t xml:space="preserve">172300,- </w:t>
      </w:r>
      <w:r>
        <w:rPr>
          <w:rStyle w:val="CharStyle11"/>
        </w:rPr>
        <w:t xml:space="preserve">Kč bez DPH, tj. </w:t>
      </w:r>
      <w:r>
        <w:rPr>
          <w:rStyle w:val="CharStyle11"/>
          <w:b/>
          <w:bCs/>
        </w:rPr>
        <w:t xml:space="preserve">208483,- </w:t>
      </w:r>
      <w:r>
        <w:rPr>
          <w:rStyle w:val="CharStyle11"/>
        </w:rPr>
        <w:t>Kč včetně DPH. Součástí této ceny jsou veškeré náklady zhotovitele, spojené se splněním závazku zhotovitele podle čl. 1 této smlouvy. Změna ceny je možná pouze v případě zákonné změny sazby DPH.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 xml:space="preserve">Cena díla podle čl. 6. této smlouvy je splatná po splnění závazku k provedení díla způsobem podle čl. 4 této smlouvy ve lhůtě do 30 dnů od předložení jeho písemného vyhotovení (faktury/daňového dokladu). Faktura bude doručena elektronicky na email: 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55"/>
          <w:shd w:val="clear" w:color="auto" w:fill="000000"/>
        </w:rPr>
        <w:t>.</w:t>
      </w:r>
      <w:r>
        <w:rPr>
          <w:rStyle w:val="CharStyle11"/>
        </w:rPr>
        <w:t xml:space="preserve"> 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color w:val="6E98C8"/>
          <w:lang w:val="en-US" w:eastAsia="en-US" w:bidi="en-US"/>
        </w:rPr>
        <w:t xml:space="preserve"> </w:t>
      </w:r>
      <w:r>
        <w:rPr>
          <w:rStyle w:val="CharStyle11"/>
        </w:rPr>
        <w:t xml:space="preserve">Na faktuře musí být mimo jiné uvedeno toto číslo veřejné zakázky, ke které se faktura vztahuje. </w:t>
      </w:r>
      <w:r>
        <w:rPr>
          <w:rStyle w:val="CharStyle11"/>
          <w:b/>
          <w:bCs/>
        </w:rPr>
        <w:t xml:space="preserve">P25V00000348. </w:t>
      </w:r>
      <w:r>
        <w:rPr>
          <w:rStyle w:val="CharStyle11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rStyle w:val="CharStyle11"/>
        </w:rPr>
        <w:t>Pro případ prodlení s úhradou ceny díla ve lhůtě podle čl. 7 této smlouvy se objednatel zavazuje zaplatit zhotoviteli úrok z prodlení ve výši dle zákona.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Zhotovitel se zavazuje rozhodovat o písemných reklamacích objednatele v období po dokončení díla písemně ve lhůtě do 10 dnů od jejich doručení, a ve stejné lhůtě provést odstranění vad z oprávněných reklamací, nebude-li mezi oběma stranami v jednotlivém případě dohodnuto jinak.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Nepřikročí-li zhotovitel k odstranění vady ve lhůtě podle čl. 10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prodlení zhotovitele se splněním jeho povinností podle čl. 9 této smlouvy ve lhůtě podle čl. 10 této smlouvy se zhotovitel zavazuje zaplatit objednateli smluvní pokutu ve výši 500,- Kč za každý započatý den tohoto prodlení.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Zaplacením smluvní pokuty podle této smlouvy není dotčeno právo objednatele na náhradu případné škody v plné výši.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rStyle w:val="CharStyle11"/>
        </w:rPr>
        <w:t>Není-li touto smlouvou ujednáno jinak, řídí se vzájemný právní vztah mezi zhotovitelem a objednatelem ust. § 2586 a násl.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Předpokladem uzavření této smlouvy je její písemná forma a dohoda o jejích podstatných náležitostech, čímž se rozumí celý obsah této smlouvy, jak je uveden v čl. 1 až 21 této smlouvy. Objednatel přitom předem vylučuje přijetí tohoto návrhu s dodatkem nebo odchylkou ve smyslu ust. § 1740 odst. 3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r>
        <w:rPr>
          <w:rStyle w:val="CharStyle11"/>
        </w:rPr>
        <w:t>Tuto smlouvu lze změnit nebo zrušit pouze jinou písemnou dohodu obou smluvních stran.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Tato smlouva nabývá platnosti dnem jejího uzavření a účinnosti dnem jejího uveřejnění v registru smluv dle příslušných ustanovení zákona č. 340/2015 Sb. o registru smluv. Smluvní strany se dohodly, že uveřejnění v registru smluv (ISRS) včetně uvedení metadat provede objednatel.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Tato smlouva se vyhotovuje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720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635000</wp:posOffset>
                </wp:positionV>
                <wp:extent cx="670560" cy="1587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299999999999997pt;margin-top:50.pt;width:52.800000000000004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1"/>
        </w:rPr>
        <w:t>Nedílnou součástí této smlouvy je příloha č. 1 Soupis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5220" w:right="0" w:hanging="1240"/>
        <w:jc w:val="left"/>
      </w:pPr>
      <w:r>
        <w:drawing>
          <wp:anchor distT="426720" distB="0" distL="245110" distR="547370" simplePos="0" relativeHeight="125829380" behindDoc="0" locked="0" layoutInCell="1" allowOverlap="1">
            <wp:simplePos x="0" y="0"/>
            <wp:positionH relativeFrom="page">
              <wp:posOffset>1465580</wp:posOffset>
            </wp:positionH>
            <wp:positionV relativeFrom="paragraph">
              <wp:posOffset>756920</wp:posOffset>
            </wp:positionV>
            <wp:extent cx="1073150" cy="58547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73150" cy="585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330200</wp:posOffset>
                </wp:positionV>
                <wp:extent cx="1637030" cy="42354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Kamenice 788/1 d,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05.10000000000001pt;margin-top:26.pt;width:128.90000000000001pt;height:33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</w:rPr>
                        <w:t>Kamenice 788/1 d, 625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646430" distB="472440" distL="144780" distR="114300" simplePos="0" relativeHeight="125829381" behindDoc="0" locked="0" layoutInCell="1" allowOverlap="1">
            <wp:simplePos x="0" y="0"/>
            <wp:positionH relativeFrom="page">
              <wp:posOffset>4211955</wp:posOffset>
            </wp:positionH>
            <wp:positionV relativeFrom="paragraph">
              <wp:posOffset>1027430</wp:posOffset>
            </wp:positionV>
            <wp:extent cx="2103120" cy="347345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0312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381000</wp:posOffset>
                </wp:positionV>
                <wp:extent cx="1874520" cy="61849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4520" cy="618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Tomáš Berger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2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KLIMATIZACE BERGER </w:t>
                            </w:r>
                            <w:r>
                              <w:rPr>
                                <w:rStyle w:val="CharStyle13"/>
                                <w:color w:val="000000"/>
                                <w:sz w:val="15"/>
                                <w:szCs w:val="15"/>
                              </w:rPr>
                              <w:t>671 75 Jezeřany - Maršovice 289 1Č: 74784889, DIČ: CZ8703145209 Tel.: 739 313 941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9.5pt;margin-top:30.pt;width:147.59999999999999pt;height:48.7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3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Tomáš Berger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2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3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KLIMATIZACE BERGER </w:t>
                      </w:r>
                      <w:r>
                        <w:rPr>
                          <w:rStyle w:val="CharStyle13"/>
                          <w:color w:val="000000"/>
                          <w:sz w:val="15"/>
                          <w:szCs w:val="15"/>
                        </w:rPr>
                        <w:t>671 75 Jezeřany - Maršovice 289 1Č: 74784889, DIČ: CZ8703145209 Tel.: 739 313 941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1350645</wp:posOffset>
                </wp:positionV>
                <wp:extent cx="844550" cy="16446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13"/>
                                <w:color w:val="000000"/>
                                <w:sz w:val="20"/>
                                <w:szCs w:val="20"/>
                              </w:rPr>
                              <w:t>Tomáš Berger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9.5pt;margin-top:106.35000000000001pt;width:66.5pt;height:12.9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3"/>
                          <w:color w:val="000000"/>
                          <w:sz w:val="20"/>
                          <w:szCs w:val="20"/>
                        </w:rPr>
                        <w:t>Tomáš Berger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304290" distB="0" distL="114300" distR="1376045" simplePos="0" relativeHeight="125829382" behindDoc="0" locked="0" layoutInCell="1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1685290</wp:posOffset>
                </wp:positionV>
                <wp:extent cx="868680" cy="15875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9.25pt;margin-top:132.69999999999999pt;width:68.400000000000006pt;height:12.5pt;z-index:-125829371;mso-wrap-distance-left:9.pt;mso-wrap-distance-top:102.7pt;mso-wrap-distance-right:108.3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</w:rPr>
        <w:t>V Jezeřanech-Maršovicích dne 10.2.2025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1"/>
        </w:rPr>
        <w:t>MUDr. Hana Albrechtová ' ředitelka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9" w:right="1384" w:bottom="1500" w:left="1386" w:header="0" w:footer="3" w:gutter="0"/>
          <w:cols w:space="720"/>
          <w:noEndnote/>
          <w:rtlGutter w:val="0"/>
          <w:docGrid w:linePitch="360"/>
        </w:sectPr>
      </w:pPr>
      <w:r>
        <w:rPr>
          <w:rStyle w:val="CharStyle11"/>
          <w:b/>
          <w:bCs/>
        </w:rPr>
        <w:t>za objednatele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11"/>
          <w:b/>
          <w:bCs/>
        </w:rPr>
        <w:t>Příloha č. 1 Soupis prací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44"/>
        </w:rPr>
        <w:t>Klimatizace Fujitsu klimatizace dispečink zázemí + IT kancelář</w:t>
      </w:r>
    </w:p>
    <w:tbl>
      <w:tblPr>
        <w:tblOverlap w:val="never"/>
        <w:jc w:val="center"/>
        <w:tblLayout w:type="fixed"/>
      </w:tblPr>
      <w:tblGrid>
        <w:gridCol w:w="2251"/>
        <w:gridCol w:w="1464"/>
        <w:gridCol w:w="869"/>
        <w:gridCol w:w="778"/>
        <w:gridCol w:w="989"/>
        <w:gridCol w:w="648"/>
        <w:gridCol w:w="970"/>
        <w:gridCol w:w="1142"/>
      </w:tblGrid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2"/>
                <w:sz w:val="15"/>
                <w:szCs w:val="15"/>
              </w:rPr>
              <w:t>Označení dodávky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J cena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Sleva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Cena '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%DPH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22"/>
                <w:sz w:val="13"/>
                <w:szCs w:val="13"/>
              </w:rPr>
              <w:t>Kč Cetkem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AOYG3OKBTA4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1 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89 700.00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89 700.00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18837.00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108 537 00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ASEH07KMCG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4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11 300 00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4520000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9492.00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54 692 00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ASEH07KMCGAOEH0ZKMCG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1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2760000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27 600.00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5 796.00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33 396.00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Cu potrubí 6/10 s komunikaci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70 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35000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60,00%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9800.00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2058.00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11 858 00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Pomocní montážní malenál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1 kpl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1500.00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100.00%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Podlahová konzole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2 p*y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850.00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100.00%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Doprava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1 kpl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3 000.00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100.00%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Prače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b/>
                <w:bCs/>
                <w:sz w:val="12"/>
                <w:szCs w:val="12"/>
              </w:rPr>
              <w:t>1 kpl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20 000 00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100.00%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0.00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Součet poožek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2"/>
                <w:sz w:val="17"/>
                <w:szCs w:val="17"/>
              </w:rPr>
              <w:t>CELKEM K ÚHRADĚ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172 300.00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36 183.00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22"/>
                <w:sz w:val="12"/>
                <w:szCs w:val="12"/>
              </w:rPr>
              <w:t>208 483.00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rStyle w:val="CharStyle22"/>
                <w:sz w:val="17"/>
                <w:szCs w:val="17"/>
              </w:rPr>
              <w:t>206 483 00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375" w:right="1370" w:bottom="1375" w:left="14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10191750</wp:posOffset>
              </wp:positionV>
              <wp:extent cx="3935095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50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07_2025: Doplnění klimatizačních jednotek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950000000000003pt;margin-top:802.5pt;width:309.85000000000002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07_2025: Doplnění klimatizačních jednotek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10173335</wp:posOffset>
              </wp:positionV>
              <wp:extent cx="393827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82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07_2025. Doplnění klimatizačních jednotek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5pt;margin-top:801.05000000000007pt;width:310.10000000000002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07_2025. Doplnění klimatizačních jednotek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5339715</wp:posOffset>
              </wp:positionH>
              <wp:positionV relativeFrom="page">
                <wp:posOffset>447040</wp:posOffset>
              </wp:positionV>
              <wp:extent cx="1450975" cy="3416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5097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w w:val="50"/>
                              <w:sz w:val="42"/>
                              <w:szCs w:val="42"/>
                            </w:rPr>
                            <w:t>1111111111111111111111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20.44999999999999pt;margin-top:35.200000000000003pt;width:114.25pt;height:26.9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w w:val="50"/>
                        <w:sz w:val="42"/>
                        <w:szCs w:val="42"/>
                      </w:rPr>
                      <w:t>1111111111111111111111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6E98C8"/>
      <w:sz w:val="18"/>
      <w:szCs w:val="18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Základní text (2)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6E98C8"/>
      <w:sz w:val="17"/>
      <w:szCs w:val="17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  <w:ind w:left="2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98C8"/>
      <w:sz w:val="18"/>
      <w:szCs w:val="18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3">
    <w:name w:val="Základní text (2)"/>
    <w:basedOn w:val="Normal"/>
    <w:link w:val="CharStyle44"/>
    <w:pPr>
      <w:widowControl w:val="0"/>
      <w:shd w:val="clear" w:color="auto" w:fill="auto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98C8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/Relationships>
</file>