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2EF0" w14:textId="43F7C76D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 xml:space="preserve">Č.j.: </w:t>
      </w:r>
      <w:r w:rsidR="0011336F" w:rsidRPr="0011336F">
        <w:rPr>
          <w:rFonts w:ascii="Times New Roman" w:eastAsia="TimesNewRomanPSMT" w:hAnsi="Times New Roman" w:cs="Times New Roman"/>
          <w:sz w:val="24"/>
          <w:szCs w:val="24"/>
        </w:rPr>
        <w:t>280287/2025</w:t>
      </w:r>
      <w:r w:rsidR="00DD37F5" w:rsidRPr="00D31578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="0011336F" w:rsidRPr="0011336F">
        <w:rPr>
          <w:rFonts w:ascii="Times New Roman" w:eastAsia="TimesNewRomanPSMT" w:hAnsi="Times New Roman" w:cs="Times New Roman"/>
          <w:sz w:val="24"/>
          <w:szCs w:val="24"/>
        </w:rPr>
        <w:t>ČRA</w:t>
      </w:r>
    </w:p>
    <w:p w14:paraId="371B7C2A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34771BF8" w14:textId="514B4F53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 xml:space="preserve">Č.j.: </w:t>
      </w:r>
      <w:r w:rsidR="00571F99">
        <w:rPr>
          <w:rFonts w:ascii="Times New Roman" w:eastAsia="TimesNewRomanPSMT" w:hAnsi="Times New Roman" w:cs="Times New Roman"/>
          <w:sz w:val="24"/>
          <w:szCs w:val="24"/>
        </w:rPr>
        <w:t>278129</w:t>
      </w:r>
      <w:r w:rsidRPr="00D31578">
        <w:rPr>
          <w:rFonts w:ascii="Times New Roman" w:eastAsia="TimesNewRomanPSMT" w:hAnsi="Times New Roman" w:cs="Times New Roman"/>
          <w:sz w:val="24"/>
          <w:szCs w:val="24"/>
        </w:rPr>
        <w:t>/2025 – ÚMV</w:t>
      </w:r>
    </w:p>
    <w:p w14:paraId="5878C239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2BBFE956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7C675FE8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b/>
          <w:bCs/>
          <w:caps/>
          <w:sz w:val="24"/>
          <w:szCs w:val="24"/>
        </w:rPr>
        <w:t>Dodatek č. 1 ke</w:t>
      </w:r>
      <w:r w:rsidRPr="00D3157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SMLOUVĚ</w:t>
      </w:r>
      <w:r w:rsidRPr="00D3157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O POSKYTOVÁNÍ SLUŽEB</w:t>
      </w:r>
    </w:p>
    <w:p w14:paraId="24D7350E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>(dále jen „smlouva“)</w:t>
      </w:r>
    </w:p>
    <w:p w14:paraId="6F1B119B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7C7F57FF" w14:textId="77777777" w:rsidR="00D31578" w:rsidRPr="00D31578" w:rsidRDefault="00D31578" w:rsidP="00D3157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b/>
          <w:bCs/>
          <w:sz w:val="24"/>
          <w:szCs w:val="24"/>
        </w:rPr>
        <w:t>Smluvní strany:</w:t>
      </w:r>
    </w:p>
    <w:p w14:paraId="3C5FD908" w14:textId="77777777" w:rsidR="00D31578" w:rsidRPr="00D31578" w:rsidRDefault="00D31578" w:rsidP="00D3157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415EA70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1.1. Žadatel: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ab/>
      </w:r>
      <w:r w:rsidRPr="00D31578">
        <w:rPr>
          <w:rFonts w:ascii="Times New Roman" w:eastAsia="TimesNewRomanPSMT" w:hAnsi="Times New Roman" w:cs="Times New Roman"/>
          <w:b/>
          <w:bCs/>
          <w:sz w:val="24"/>
          <w:szCs w:val="24"/>
        </w:rPr>
        <w:t>Česká republika – Česká rozvojová agentura</w:t>
      </w:r>
    </w:p>
    <w:p w14:paraId="17CF9F0F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>se sídlem Nerudova 3, 118 50 Praha 1</w:t>
      </w:r>
    </w:p>
    <w:p w14:paraId="1315CA29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>IČO: 75123924</w:t>
      </w:r>
    </w:p>
    <w:p w14:paraId="45F933DA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>Bankovní spojení: Česká národní banka</w:t>
      </w:r>
    </w:p>
    <w:p w14:paraId="04470B70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>Číslo účtu: 72929011/0710</w:t>
      </w:r>
    </w:p>
    <w:p w14:paraId="348E87FA" w14:textId="77777777" w:rsidR="00D31578" w:rsidRPr="00D31578" w:rsidRDefault="00BA3635" w:rsidP="00D3157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</w:t>
      </w:r>
      <w:r w:rsidR="00D31578" w:rsidRPr="00D31578">
        <w:rPr>
          <w:rFonts w:ascii="Times New Roman" w:eastAsia="TimesNewRomanPSMT" w:hAnsi="Times New Roman" w:cs="Times New Roman"/>
          <w:sz w:val="24"/>
          <w:szCs w:val="24"/>
        </w:rPr>
        <w:t>astoupená: Ing. Michalem Minčevem, MBA, ředitelem České rozvojové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a</w:t>
      </w:r>
      <w:r w:rsidR="00D31578" w:rsidRPr="00D31578">
        <w:rPr>
          <w:rFonts w:ascii="Times New Roman" w:eastAsia="TimesNewRomanPSMT" w:hAnsi="Times New Roman" w:cs="Times New Roman"/>
          <w:sz w:val="24"/>
          <w:szCs w:val="24"/>
        </w:rPr>
        <w:t>gentury</w:t>
      </w:r>
    </w:p>
    <w:p w14:paraId="5B0355D0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29FFFE28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1.2. Poskytovatel: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ab/>
      </w:r>
      <w:r w:rsidRPr="00D31578">
        <w:rPr>
          <w:rFonts w:ascii="Times New Roman" w:eastAsia="TimesNewRomanPSMT" w:hAnsi="Times New Roman" w:cs="Times New Roman"/>
          <w:b/>
          <w:bCs/>
          <w:sz w:val="24"/>
          <w:szCs w:val="24"/>
        </w:rPr>
        <w:t>Ústav mezinárodních vztahů, v.v.i.</w:t>
      </w:r>
    </w:p>
    <w:p w14:paraId="5CC60618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>se sídlem Nerudova 3, 118 50 Praha 1</w:t>
      </w:r>
    </w:p>
    <w:p w14:paraId="33E49E16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>IČO: 48546054</w:t>
      </w:r>
    </w:p>
    <w:p w14:paraId="649183E3" w14:textId="77777777" w:rsidR="00BA3635" w:rsidRDefault="00D31578" w:rsidP="00D3157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 xml:space="preserve">Bankovní spojení: Komerční banka, Malostranské náměstí 23/37, </w:t>
      </w:r>
    </w:p>
    <w:p w14:paraId="3D7D89C3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>Praha 1</w:t>
      </w:r>
    </w:p>
    <w:p w14:paraId="141ABFB4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>Číslo účtu: 35633051/0100</w:t>
      </w:r>
    </w:p>
    <w:p w14:paraId="61392944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>Zastoupený: doc. Matsem Rickardem Braunem, Ph.D., M.A. ředitelem</w:t>
      </w:r>
    </w:p>
    <w:p w14:paraId="68F0FD7A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NewRomanPSMT" w:hAnsi="Times New Roman" w:cs="Times New Roman"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sz w:val="24"/>
          <w:szCs w:val="24"/>
        </w:rPr>
        <w:t>Ústavu mezinárodních vztahů, v.v.i.</w:t>
      </w:r>
    </w:p>
    <w:p w14:paraId="0039211E" w14:textId="77777777" w:rsidR="00D31578" w:rsidRPr="00D31578" w:rsidRDefault="00D31578" w:rsidP="00D3157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2AB82FAD" w14:textId="77777777" w:rsidR="008A6919" w:rsidRDefault="00D31578" w:rsidP="00D31578">
      <w:pPr>
        <w:pStyle w:val="Odstavecseseznamem"/>
        <w:numPr>
          <w:ilvl w:val="0"/>
          <w:numId w:val="1"/>
        </w:numPr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b/>
          <w:bCs/>
          <w:sz w:val="24"/>
          <w:szCs w:val="24"/>
        </w:rPr>
        <w:t>Úvodní ustanovení:</w:t>
      </w:r>
    </w:p>
    <w:p w14:paraId="7709C707" w14:textId="77777777" w:rsidR="00D31578" w:rsidRPr="00D31578" w:rsidRDefault="00D31578" w:rsidP="00D31578">
      <w:pPr>
        <w:pStyle w:val="Odstavecseseznamem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D255532" w14:textId="77777777" w:rsidR="00D31578" w:rsidRDefault="00D31578" w:rsidP="00D31578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Smluvní strany společně uzavřely dne 13.1.2025 smlouvu o poskytování služeb (dále jen ,,smlouva o poskytování služeb“). Za účelem podrobnějšího vymezení služeb poskytovaných žadateli poskytovatelem, jakož i vzájemných práv a povinností, smluvní strany uzavírají tento dodatek.</w:t>
      </w:r>
    </w:p>
    <w:p w14:paraId="2C425088" w14:textId="77777777" w:rsidR="00D31578" w:rsidRDefault="00D31578" w:rsidP="00D3157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18446E" w14:textId="77777777" w:rsidR="00D31578" w:rsidRPr="00D31578" w:rsidRDefault="00D31578" w:rsidP="00D31578">
      <w:pPr>
        <w:pStyle w:val="Odstavecseseznamem"/>
        <w:numPr>
          <w:ilvl w:val="0"/>
          <w:numId w:val="1"/>
        </w:numPr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31578">
        <w:rPr>
          <w:rFonts w:ascii="Times New Roman" w:eastAsia="TimesNewRomanPSMT" w:hAnsi="Times New Roman" w:cs="Times New Roman"/>
          <w:b/>
          <w:bCs/>
          <w:sz w:val="24"/>
          <w:szCs w:val="24"/>
        </w:rPr>
        <w:t>Předmět dodatku:</w:t>
      </w:r>
    </w:p>
    <w:p w14:paraId="4905ED54" w14:textId="2333818C" w:rsidR="00D31578" w:rsidRPr="0080614A" w:rsidRDefault="00D31578" w:rsidP="0080614A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si ujednaly v ustanovení 2.1. smlouvy o poskytování služeb, že poskytovatelem budou žadateli mimo jiné poskytovány i recepční služby. Smluvní strany tímto společně prohlašují, že recepční služby poskytovatele zahrnují i</w:t>
      </w:r>
      <w:r w:rsidR="005D7554"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poskytnutí přístupu do</w:t>
      </w:r>
      <w:r w:rsidR="00BA3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budovy na adrese</w:t>
      </w:r>
      <w:r w:rsidR="005D7554"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Nerudova 3, 118 50 Praha prostřednictvím elektronických prostředků a</w:t>
      </w: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evidence docházky zaměstnanců žadatele a jiných osob, </w:t>
      </w:r>
      <w:r w:rsidR="007546B2"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poskytujících žadateli služby, </w:t>
      </w: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kterým bude přístup do budovy</w:t>
      </w:r>
      <w:r w:rsidR="00BA3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adrese</w:t>
      </w: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Nerudova 3, 118 50 Praha 1,</w:t>
      </w:r>
      <w:r w:rsidR="00965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,,budova“)</w:t>
      </w: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umožněn na základě </w:t>
      </w:r>
      <w:r w:rsidR="009659F7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</w:t>
      </w: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žadatele a </w:t>
      </w:r>
      <w:r w:rsidR="009E14AB"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poskytnutí RFID </w:t>
      </w:r>
      <w:r w:rsidR="008A6919">
        <w:rPr>
          <w:rFonts w:ascii="Times New Roman" w:eastAsia="Times New Roman" w:hAnsi="Times New Roman" w:cs="Times New Roman"/>
          <w:sz w:val="24"/>
          <w:szCs w:val="24"/>
          <w:lang w:eastAsia="cs-CZ"/>
        </w:rPr>
        <w:t>čipu</w:t>
      </w:r>
      <w:r w:rsidR="009E14AB"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přístupu na základě otisku prstu v rámci Systému FINGERA, (dále jen společně ,,</w:t>
      </w:r>
      <w:r w:rsidR="006D0A00"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oprávněné osoby</w:t>
      </w:r>
      <w:r w:rsidR="009E14AB"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862670"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včetně evidence pracovní doby</w:t>
      </w:r>
      <w:r w:rsidR="009E14AB"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36E804B" w14:textId="77777777" w:rsidR="007546B2" w:rsidRPr="0080614A" w:rsidRDefault="007546B2" w:rsidP="0080614A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se zavazuje poskytnout žadateli </w:t>
      </w:r>
      <w:r w:rsidR="00965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administrátorský </w:t>
      </w: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přístup do evidence docházky za účelem vedení evidence pracovní doby</w:t>
      </w:r>
      <w:r w:rsidR="00BA3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0A00"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oprávněných osob</w:t>
      </w:r>
      <w:r w:rsidR="00BA3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</w:t>
      </w: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kontroly poskytování služeb</w:t>
      </w:r>
      <w:r w:rsidR="00BA3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strany </w:t>
      </w:r>
      <w:r w:rsidR="006D0A00"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oprávněných osob</w:t>
      </w: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65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Zadávání osob oprávněných na základě rozhodnutí žadatele k přístupu do budovy do Systému FINGERA bude provádět žadatel.</w:t>
      </w:r>
    </w:p>
    <w:p w14:paraId="413C6961" w14:textId="48E30F85" w:rsidR="007546B2" w:rsidRPr="0080614A" w:rsidRDefault="007546B2" w:rsidP="0080614A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Při plnění smlouvy o poskytování služeb, zejména při zajišťování evidence docházky a přístupu do budovy </w:t>
      </w:r>
      <w:r w:rsidR="00BA3635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poskytovatel ve vztahu k ž</w:t>
      </w:r>
      <w:r w:rsidR="007D2289"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 v pozici zpracovatele osobních údajů</w:t>
      </w: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smyslu </w:t>
      </w:r>
      <w:hyperlink r:id="rId7" w:tgtFrame="_blank" w:tooltip=" [nové okno]" w:history="1">
        <w:r w:rsidRPr="0080614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Nařízení</w:t>
        </w:r>
      </w:hyperlink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Evropského parlamentu a Rady (EU) 2016/679 ze dne 27. dubna 2016 o ochraně fyzických osob v souvislosti se zpracováním osobních údajů a o volném pohybu těchto údajů a o zrušení směrnice 95/46/ES, (dále jen ,,GDPR“). Osobní údaje předávané </w:t>
      </w:r>
      <w:r w:rsidR="00BA363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7D2289"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>oskytovateli</w:t>
      </w: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blíže specifikovány v příloze č. 1, která tvoří nedílnou součást této </w:t>
      </w:r>
      <w:r w:rsidR="0011336F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D2289"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Poskytovatel bude osobní údaje zpracovávat osobně. Je oprávněn využít dalšího zpracovatele</w:t>
      </w:r>
      <w:r w:rsidR="00BA3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písemného souhlasu ž</w:t>
      </w:r>
      <w:r w:rsidR="007D2289"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adatele. Žadatel tímto uděluje </w:t>
      </w:r>
      <w:r w:rsidR="00BA363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7D2289" w:rsidRPr="0080614A">
        <w:rPr>
          <w:rFonts w:ascii="Times New Roman" w:eastAsia="Times New Roman" w:hAnsi="Times New Roman" w:cs="Times New Roman"/>
          <w:sz w:val="24"/>
          <w:szCs w:val="24"/>
          <w:lang w:eastAsia="cs-CZ"/>
        </w:rPr>
        <w:t>oskytovateli souhlas se zapojením dalšího zpracovatele společnosti Innovatrics, s.r.o. IČO: 283 96 847, se sídlem Rybná 716/24, 110 00 Praha 1, v případě využívání Systému FINGERA a cloudového serveru pro systém Fingera.</w:t>
      </w:r>
    </w:p>
    <w:p w14:paraId="45A3878E" w14:textId="77777777" w:rsidR="007546B2" w:rsidRPr="00862670" w:rsidRDefault="007546B2" w:rsidP="0086267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</w:rPr>
        <w:t xml:space="preserve">Osobní údaje budou </w:t>
      </w:r>
      <w:r w:rsidR="00BA3635">
        <w:rPr>
          <w:rFonts w:ascii="Times New Roman" w:hAnsi="Times New Roman" w:cs="Times New Roman"/>
          <w:sz w:val="24"/>
          <w:szCs w:val="24"/>
        </w:rPr>
        <w:t>p</w:t>
      </w:r>
      <w:r w:rsidR="007D2289" w:rsidRPr="00862670">
        <w:rPr>
          <w:rFonts w:ascii="Times New Roman" w:hAnsi="Times New Roman" w:cs="Times New Roman"/>
          <w:sz w:val="24"/>
          <w:szCs w:val="24"/>
        </w:rPr>
        <w:t>oskytovatelem</w:t>
      </w:r>
      <w:r w:rsidRPr="00862670">
        <w:rPr>
          <w:rFonts w:ascii="Times New Roman" w:hAnsi="Times New Roman" w:cs="Times New Roman"/>
          <w:sz w:val="24"/>
          <w:szCs w:val="24"/>
        </w:rPr>
        <w:t xml:space="preserve"> zpracovávány pouze po dobu </w:t>
      </w:r>
      <w:r w:rsidR="007D2289" w:rsidRPr="00862670">
        <w:rPr>
          <w:rFonts w:ascii="Times New Roman" w:hAnsi="Times New Roman" w:cs="Times New Roman"/>
          <w:sz w:val="24"/>
          <w:szCs w:val="24"/>
        </w:rPr>
        <w:t>poskytování služeb</w:t>
      </w:r>
      <w:r w:rsidRPr="00862670">
        <w:rPr>
          <w:rFonts w:ascii="Times New Roman" w:hAnsi="Times New Roman" w:cs="Times New Roman"/>
          <w:sz w:val="24"/>
          <w:szCs w:val="24"/>
        </w:rPr>
        <w:t>.</w:t>
      </w:r>
    </w:p>
    <w:p w14:paraId="2D9419D8" w14:textId="77777777" w:rsidR="007546B2" w:rsidRPr="00862670" w:rsidRDefault="007D2289" w:rsidP="0086267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  <w:shd w:val="clear" w:color="auto" w:fill="FFFFFF"/>
        </w:rPr>
        <w:t>Poskytovatel se zavazuje dodržovat veškeré povinnosti stanovené mu</w:t>
      </w:r>
      <w:r w:rsidR="007546B2" w:rsidRPr="00862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právními předpisy upravujícími ochranu osobních údajů, zejména pak </w:t>
      </w:r>
      <w:r w:rsidR="007546B2" w:rsidRPr="00862670">
        <w:rPr>
          <w:rFonts w:ascii="Times New Roman" w:hAnsi="Times New Roman" w:cs="Times New Roman"/>
          <w:sz w:val="24"/>
          <w:szCs w:val="24"/>
        </w:rPr>
        <w:t xml:space="preserve">GDPR, a zachovávat mlčenlivost ohledně osobních údajů získaných od </w:t>
      </w:r>
      <w:r w:rsidR="00BA3635">
        <w:rPr>
          <w:rFonts w:ascii="Times New Roman" w:hAnsi="Times New Roman" w:cs="Times New Roman"/>
          <w:sz w:val="24"/>
          <w:szCs w:val="24"/>
        </w:rPr>
        <w:t>ž</w:t>
      </w:r>
      <w:r w:rsidRPr="00862670">
        <w:rPr>
          <w:rFonts w:ascii="Times New Roman" w:hAnsi="Times New Roman" w:cs="Times New Roman"/>
          <w:sz w:val="24"/>
          <w:szCs w:val="24"/>
        </w:rPr>
        <w:t>adatele</w:t>
      </w:r>
      <w:r w:rsidR="007546B2" w:rsidRPr="00862670">
        <w:rPr>
          <w:rFonts w:ascii="Times New Roman" w:hAnsi="Times New Roman" w:cs="Times New Roman"/>
          <w:sz w:val="24"/>
          <w:szCs w:val="24"/>
        </w:rPr>
        <w:t xml:space="preserve"> a zachovávat mlčenlivost o dalších skutečnostech, které se v rámci </w:t>
      </w:r>
      <w:r w:rsidR="00B51ADA">
        <w:rPr>
          <w:rFonts w:ascii="Times New Roman" w:hAnsi="Times New Roman" w:cs="Times New Roman"/>
          <w:sz w:val="24"/>
          <w:szCs w:val="24"/>
        </w:rPr>
        <w:t>plnění smlouvy</w:t>
      </w:r>
      <w:r w:rsidR="007546B2" w:rsidRPr="00862670">
        <w:rPr>
          <w:rFonts w:ascii="Times New Roman" w:hAnsi="Times New Roman" w:cs="Times New Roman"/>
          <w:sz w:val="24"/>
          <w:szCs w:val="24"/>
        </w:rPr>
        <w:t xml:space="preserve"> dozvěděl.</w:t>
      </w:r>
      <w:r w:rsidR="00B51ADA">
        <w:rPr>
          <w:rFonts w:ascii="Times New Roman" w:hAnsi="Times New Roman" w:cs="Times New Roman"/>
          <w:sz w:val="24"/>
          <w:szCs w:val="24"/>
        </w:rPr>
        <w:t xml:space="preserve"> Poskytovatel je rovněž povinen mlčenlivostí vázat své zaměstnance a další osoby, které pro něj budou osobní údaje zpracovávat.</w:t>
      </w:r>
    </w:p>
    <w:p w14:paraId="25B04358" w14:textId="77777777" w:rsidR="007546B2" w:rsidRPr="00862670" w:rsidRDefault="007D2289" w:rsidP="0086267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7546B2" w:rsidRPr="00862670">
        <w:rPr>
          <w:rFonts w:ascii="Times New Roman" w:hAnsi="Times New Roman" w:cs="Times New Roman"/>
          <w:sz w:val="24"/>
          <w:szCs w:val="24"/>
        </w:rPr>
        <w:t xml:space="preserve">se zavazuje, že bude zpracovávat </w:t>
      </w:r>
      <w:r w:rsidR="007546B2"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údaje pouze na základě doložených pokynů </w:t>
      </w:r>
      <w:r w:rsidR="00BA3635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adatele</w:t>
      </w:r>
      <w:r w:rsidR="007546B2"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informuje </w:t>
      </w:r>
      <w:r w:rsidR="00BA3635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adatele </w:t>
      </w:r>
      <w:r w:rsidR="007546B2"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>o případných požadavcích na předání osobních údajů do třetí země nebo mezinárodní organizaci, pokud právní předpisy nestanoví, že toto informování z důležitých důvodů veřejného zájmu není možné.</w:t>
      </w:r>
    </w:p>
    <w:p w14:paraId="76145292" w14:textId="77777777" w:rsidR="007546B2" w:rsidRPr="00862670" w:rsidRDefault="007D2289" w:rsidP="0086267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</w:t>
      </w:r>
      <w:r w:rsidR="007546B2"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zavazuje, že poskytne součinnost </w:t>
      </w:r>
      <w:r w:rsidR="00BA3635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</w:t>
      </w:r>
      <w:r w:rsidR="007546B2"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splnění jeho povinnosti vyřídit žádost subjektu údajů vztahující se k výkonu jeho práv a k jednáním s dozorovým orgánem.</w:t>
      </w:r>
    </w:p>
    <w:p w14:paraId="04B08F72" w14:textId="77777777" w:rsidR="007546B2" w:rsidRPr="00862670" w:rsidRDefault="007D2289" w:rsidP="0086267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</w:rPr>
        <w:t>Poskytovatel</w:t>
      </w:r>
      <w:r w:rsidR="007546B2" w:rsidRPr="00862670">
        <w:rPr>
          <w:rFonts w:ascii="Times New Roman" w:hAnsi="Times New Roman" w:cs="Times New Roman"/>
          <w:sz w:val="24"/>
          <w:szCs w:val="24"/>
        </w:rPr>
        <w:t xml:space="preserve"> se zavazu</w:t>
      </w:r>
      <w:r w:rsidR="00BA3635">
        <w:rPr>
          <w:rFonts w:ascii="Times New Roman" w:hAnsi="Times New Roman" w:cs="Times New Roman"/>
          <w:sz w:val="24"/>
          <w:szCs w:val="24"/>
        </w:rPr>
        <w:t>je, že osobní údaje získané od ž</w:t>
      </w:r>
      <w:r w:rsidRPr="00862670">
        <w:rPr>
          <w:rFonts w:ascii="Times New Roman" w:hAnsi="Times New Roman" w:cs="Times New Roman"/>
          <w:sz w:val="24"/>
          <w:szCs w:val="24"/>
        </w:rPr>
        <w:t>adatele</w:t>
      </w:r>
      <w:r w:rsidR="007546B2" w:rsidRPr="00862670">
        <w:rPr>
          <w:rFonts w:ascii="Times New Roman" w:hAnsi="Times New Roman" w:cs="Times New Roman"/>
          <w:sz w:val="24"/>
          <w:szCs w:val="24"/>
        </w:rPr>
        <w:t xml:space="preserve"> nijak nezneužije pro svůj prospěch nebo ve prospěch třetí osoby.</w:t>
      </w:r>
    </w:p>
    <w:p w14:paraId="047BCB2E" w14:textId="77777777" w:rsidR="007546B2" w:rsidRPr="00862670" w:rsidRDefault="007D2289" w:rsidP="0086267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</w:rPr>
        <w:t>Poskytovatel</w:t>
      </w:r>
      <w:r w:rsidR="007546B2" w:rsidRPr="00862670">
        <w:rPr>
          <w:rFonts w:ascii="Times New Roman" w:hAnsi="Times New Roman" w:cs="Times New Roman"/>
          <w:sz w:val="24"/>
          <w:szCs w:val="24"/>
        </w:rPr>
        <w:t xml:space="preserve"> prohlašuje, že osobní údaje získané od </w:t>
      </w:r>
      <w:r w:rsidR="00BA3635">
        <w:rPr>
          <w:rFonts w:ascii="Times New Roman" w:hAnsi="Times New Roman" w:cs="Times New Roman"/>
          <w:sz w:val="24"/>
          <w:szCs w:val="24"/>
        </w:rPr>
        <w:t>ž</w:t>
      </w:r>
      <w:r w:rsidRPr="00862670">
        <w:rPr>
          <w:rFonts w:ascii="Times New Roman" w:hAnsi="Times New Roman" w:cs="Times New Roman"/>
          <w:sz w:val="24"/>
          <w:szCs w:val="24"/>
        </w:rPr>
        <w:t>adatele</w:t>
      </w:r>
      <w:r w:rsidR="007546B2" w:rsidRPr="00862670">
        <w:rPr>
          <w:rFonts w:ascii="Times New Roman" w:hAnsi="Times New Roman" w:cs="Times New Roman"/>
          <w:sz w:val="24"/>
          <w:szCs w:val="24"/>
        </w:rPr>
        <w:t xml:space="preserve"> budou dostatečně chráněny jeho systémem technických a organizačních opatření. Tento systém ochrany se zavazuje pravidelně kontrolovat. V rámci těchto opatření bude </w:t>
      </w:r>
      <w:r w:rsidR="00BA3635">
        <w:rPr>
          <w:rFonts w:ascii="Times New Roman" w:hAnsi="Times New Roman" w:cs="Times New Roman"/>
          <w:sz w:val="24"/>
          <w:szCs w:val="24"/>
        </w:rPr>
        <w:t>p</w:t>
      </w:r>
      <w:r w:rsidRPr="00862670">
        <w:rPr>
          <w:rFonts w:ascii="Times New Roman" w:hAnsi="Times New Roman" w:cs="Times New Roman"/>
          <w:sz w:val="24"/>
          <w:szCs w:val="24"/>
        </w:rPr>
        <w:t>oskytovatel</w:t>
      </w:r>
      <w:r w:rsidR="00C74A15" w:rsidRPr="00862670">
        <w:rPr>
          <w:rFonts w:ascii="Times New Roman" w:hAnsi="Times New Roman" w:cs="Times New Roman"/>
          <w:sz w:val="24"/>
          <w:szCs w:val="24"/>
        </w:rPr>
        <w:t xml:space="preserve"> ze</w:t>
      </w:r>
      <w:r w:rsidR="007546B2" w:rsidRPr="00862670">
        <w:rPr>
          <w:rFonts w:ascii="Times New Roman" w:hAnsi="Times New Roman" w:cs="Times New Roman"/>
          <w:sz w:val="24"/>
          <w:szCs w:val="24"/>
        </w:rPr>
        <w:t>jména nakládat s osobními údaji tak, aby nebyly zpřístupněny nepovolaným osobám, tj. osobní údaje v listinné podobě, na výměnných a vyjímatelných datových médiích bude ukládat mimo dosah třetích osob v uzamykatelných prostorech nebo skříních a výpočetní techniku zabezpečí přístupovým heslem.</w:t>
      </w:r>
    </w:p>
    <w:p w14:paraId="1C2E511F" w14:textId="77777777" w:rsidR="007546B2" w:rsidRPr="00862670" w:rsidRDefault="007D2289" w:rsidP="0086267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</w:rPr>
        <w:t>Poskytovatel</w:t>
      </w:r>
      <w:r w:rsidR="007546B2" w:rsidRPr="00862670">
        <w:rPr>
          <w:rFonts w:ascii="Times New Roman" w:hAnsi="Times New Roman" w:cs="Times New Roman"/>
          <w:sz w:val="24"/>
          <w:szCs w:val="24"/>
        </w:rPr>
        <w:t xml:space="preserve"> se zavazuje přijmout taková technická a organizační opatření, aby dosáhl stejné nebo vyšší úrovně ochrany jako </w:t>
      </w:r>
      <w:r w:rsidR="009E131B">
        <w:rPr>
          <w:rFonts w:ascii="Times New Roman" w:hAnsi="Times New Roman" w:cs="Times New Roman"/>
          <w:sz w:val="24"/>
          <w:szCs w:val="24"/>
        </w:rPr>
        <w:t>ž</w:t>
      </w:r>
      <w:r w:rsidRPr="00862670">
        <w:rPr>
          <w:rFonts w:ascii="Times New Roman" w:hAnsi="Times New Roman" w:cs="Times New Roman"/>
          <w:sz w:val="24"/>
          <w:szCs w:val="24"/>
        </w:rPr>
        <w:t>adatel</w:t>
      </w:r>
      <w:r w:rsidR="007546B2" w:rsidRPr="00862670">
        <w:rPr>
          <w:rFonts w:ascii="Times New Roman" w:hAnsi="Times New Roman" w:cs="Times New Roman"/>
          <w:sz w:val="24"/>
          <w:szCs w:val="24"/>
        </w:rPr>
        <w:t>, pokud to po něm lze spravedlivě požadovat s ohledem na výši nákladů, kterou na tato opatření bude muset vynaložit.</w:t>
      </w:r>
    </w:p>
    <w:p w14:paraId="37EAC896" w14:textId="77777777" w:rsidR="007546B2" w:rsidRPr="00862670" w:rsidRDefault="007D2289" w:rsidP="0086267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</w:rPr>
        <w:t>Poskytovatel</w:t>
      </w:r>
      <w:r w:rsidR="007546B2" w:rsidRPr="00862670">
        <w:rPr>
          <w:rFonts w:ascii="Times New Roman" w:hAnsi="Times New Roman" w:cs="Times New Roman"/>
          <w:sz w:val="24"/>
          <w:szCs w:val="24"/>
        </w:rPr>
        <w:t xml:space="preserve"> se zavazuje, že </w:t>
      </w:r>
      <w:r w:rsidR="007546B2"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9E131B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adatelem</w:t>
      </w:r>
      <w:r w:rsidR="007546B2"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spolupracovat při posuzování vlivu na ochranu osobních údajů a v otázkách zabezpečení osobních údajů a ohlašování porušení tohoto zabezpečení.</w:t>
      </w:r>
    </w:p>
    <w:p w14:paraId="451DF06B" w14:textId="77777777" w:rsidR="007546B2" w:rsidRPr="00862670" w:rsidRDefault="007546B2" w:rsidP="0086267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</w:rPr>
        <w:t xml:space="preserve">Dojde-li k porušení zabezpečení osobních údajů je </w:t>
      </w:r>
      <w:r w:rsidR="009E131B">
        <w:rPr>
          <w:rFonts w:ascii="Times New Roman" w:hAnsi="Times New Roman" w:cs="Times New Roman"/>
          <w:sz w:val="24"/>
          <w:szCs w:val="24"/>
        </w:rPr>
        <w:t>p</w:t>
      </w:r>
      <w:r w:rsidR="007D2289" w:rsidRPr="00862670">
        <w:rPr>
          <w:rFonts w:ascii="Times New Roman" w:hAnsi="Times New Roman" w:cs="Times New Roman"/>
          <w:sz w:val="24"/>
          <w:szCs w:val="24"/>
        </w:rPr>
        <w:t xml:space="preserve">oskytovatel </w:t>
      </w:r>
      <w:r w:rsidRPr="00862670">
        <w:rPr>
          <w:rFonts w:ascii="Times New Roman" w:hAnsi="Times New Roman" w:cs="Times New Roman"/>
          <w:sz w:val="24"/>
          <w:szCs w:val="24"/>
        </w:rPr>
        <w:t xml:space="preserve">povinen tuto skutečnost </w:t>
      </w:r>
      <w:r w:rsidR="009E131B">
        <w:rPr>
          <w:rFonts w:ascii="Times New Roman" w:hAnsi="Times New Roman" w:cs="Times New Roman"/>
          <w:sz w:val="24"/>
          <w:szCs w:val="24"/>
        </w:rPr>
        <w:t>bez zbytečného odkladu ohlásit ž</w:t>
      </w:r>
      <w:r w:rsidR="007D2289" w:rsidRPr="00862670">
        <w:rPr>
          <w:rFonts w:ascii="Times New Roman" w:hAnsi="Times New Roman" w:cs="Times New Roman"/>
          <w:sz w:val="24"/>
          <w:szCs w:val="24"/>
        </w:rPr>
        <w:t>adateli</w:t>
      </w:r>
      <w:r w:rsidRPr="00862670">
        <w:rPr>
          <w:rFonts w:ascii="Times New Roman" w:hAnsi="Times New Roman" w:cs="Times New Roman"/>
          <w:sz w:val="24"/>
          <w:szCs w:val="24"/>
        </w:rPr>
        <w:t>, nejpozději pak do 48 hodin</w:t>
      </w:r>
      <w:r w:rsidR="006E756B">
        <w:rPr>
          <w:rFonts w:ascii="Times New Roman" w:hAnsi="Times New Roman" w:cs="Times New Roman"/>
          <w:sz w:val="24"/>
          <w:szCs w:val="24"/>
        </w:rPr>
        <w:t xml:space="preserve"> od zjištění skutečnosti</w:t>
      </w:r>
      <w:r w:rsidRPr="00862670">
        <w:rPr>
          <w:rFonts w:ascii="Times New Roman" w:hAnsi="Times New Roman" w:cs="Times New Roman"/>
          <w:sz w:val="24"/>
          <w:szCs w:val="24"/>
        </w:rPr>
        <w:t>.</w:t>
      </w:r>
    </w:p>
    <w:p w14:paraId="289D0F1E" w14:textId="77777777" w:rsidR="007546B2" w:rsidRPr="00862670" w:rsidRDefault="007D2289" w:rsidP="0086267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</w:t>
      </w:r>
      <w:r w:rsidR="007546B2"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zavazuje, že poskytne </w:t>
      </w:r>
      <w:r w:rsidR="009E131B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</w:t>
      </w:r>
      <w:r w:rsidR="007546B2"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veškeré informace nutné k doložení plnění všech povinností zpracovatele při zpracování osobních údajů a umožní </w:t>
      </w:r>
      <w:r w:rsidR="009E131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žadateli</w:t>
      </w:r>
      <w:r w:rsidR="007546B2"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provádění kontroly.</w:t>
      </w:r>
    </w:p>
    <w:p w14:paraId="2C59A800" w14:textId="77777777" w:rsidR="007546B2" w:rsidRPr="00862670" w:rsidRDefault="007546B2" w:rsidP="0086267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má </w:t>
      </w:r>
      <w:r w:rsidR="009E131B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74A15"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>oskytovatel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to, že určitý pokyn </w:t>
      </w:r>
      <w:r w:rsidR="009E131B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C74A15"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adatele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 rozporu s GDPR nebo jinými právními předpisy týkajícími se ochrany osobních údajů, neprodleně na to </w:t>
      </w:r>
      <w:r w:rsidR="009E131B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C74A15"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adatele</w:t>
      </w:r>
      <w:r w:rsidRPr="00862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upozorní.</w:t>
      </w:r>
    </w:p>
    <w:p w14:paraId="068EC106" w14:textId="77777777" w:rsidR="007546B2" w:rsidRDefault="007546B2" w:rsidP="0086267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</w:rPr>
        <w:t xml:space="preserve">Po skončení </w:t>
      </w:r>
      <w:r w:rsidR="00C74A15" w:rsidRPr="00862670">
        <w:rPr>
          <w:rFonts w:ascii="Times New Roman" w:hAnsi="Times New Roman" w:cs="Times New Roman"/>
          <w:sz w:val="24"/>
          <w:szCs w:val="24"/>
        </w:rPr>
        <w:t xml:space="preserve">smlouvy o poskytování služeb </w:t>
      </w:r>
      <w:r w:rsidR="009E131B">
        <w:rPr>
          <w:rFonts w:ascii="Times New Roman" w:hAnsi="Times New Roman" w:cs="Times New Roman"/>
          <w:sz w:val="24"/>
          <w:szCs w:val="24"/>
        </w:rPr>
        <w:t>p</w:t>
      </w:r>
      <w:r w:rsidR="00C74A15" w:rsidRPr="00862670">
        <w:rPr>
          <w:rFonts w:ascii="Times New Roman" w:hAnsi="Times New Roman" w:cs="Times New Roman"/>
          <w:sz w:val="24"/>
          <w:szCs w:val="24"/>
        </w:rPr>
        <w:t>oskytovatel</w:t>
      </w:r>
      <w:r w:rsidRPr="00862670">
        <w:rPr>
          <w:rFonts w:ascii="Times New Roman" w:hAnsi="Times New Roman" w:cs="Times New Roman"/>
          <w:sz w:val="24"/>
          <w:szCs w:val="24"/>
        </w:rPr>
        <w:t xml:space="preserve"> provede likvidaci všech osobních údajů zpracovaných pro </w:t>
      </w:r>
      <w:r w:rsidR="009E131B">
        <w:rPr>
          <w:rFonts w:ascii="Times New Roman" w:hAnsi="Times New Roman" w:cs="Times New Roman"/>
          <w:sz w:val="24"/>
          <w:szCs w:val="24"/>
        </w:rPr>
        <w:t>ž</w:t>
      </w:r>
      <w:r w:rsidR="00C74A15" w:rsidRPr="00862670">
        <w:rPr>
          <w:rFonts w:ascii="Times New Roman" w:hAnsi="Times New Roman" w:cs="Times New Roman"/>
          <w:sz w:val="24"/>
          <w:szCs w:val="24"/>
        </w:rPr>
        <w:t>adatele</w:t>
      </w:r>
      <w:r w:rsidRPr="00862670">
        <w:rPr>
          <w:rFonts w:ascii="Times New Roman" w:hAnsi="Times New Roman" w:cs="Times New Roman"/>
          <w:sz w:val="24"/>
          <w:szCs w:val="24"/>
        </w:rPr>
        <w:t xml:space="preserve"> s výjimkou těch osobních údajů, které si </w:t>
      </w:r>
      <w:r w:rsidR="009E131B">
        <w:rPr>
          <w:rFonts w:ascii="Times New Roman" w:hAnsi="Times New Roman" w:cs="Times New Roman"/>
          <w:sz w:val="24"/>
          <w:szCs w:val="24"/>
        </w:rPr>
        <w:t>ž</w:t>
      </w:r>
      <w:r w:rsidR="00C74A15" w:rsidRPr="00862670">
        <w:rPr>
          <w:rFonts w:ascii="Times New Roman" w:hAnsi="Times New Roman" w:cs="Times New Roman"/>
          <w:sz w:val="24"/>
          <w:szCs w:val="24"/>
        </w:rPr>
        <w:t>adatel</w:t>
      </w:r>
      <w:r w:rsidRPr="00862670">
        <w:rPr>
          <w:rFonts w:ascii="Times New Roman" w:hAnsi="Times New Roman" w:cs="Times New Roman"/>
          <w:sz w:val="24"/>
          <w:szCs w:val="24"/>
        </w:rPr>
        <w:t xml:space="preserve"> </w:t>
      </w:r>
      <w:r w:rsidRPr="00862670">
        <w:rPr>
          <w:rFonts w:ascii="Times New Roman" w:hAnsi="Times New Roman" w:cs="Times New Roman"/>
          <w:sz w:val="24"/>
          <w:szCs w:val="24"/>
        </w:rPr>
        <w:lastRenderedPageBreak/>
        <w:t>vyžádá zpět.</w:t>
      </w:r>
      <w:r w:rsidR="009659F7">
        <w:rPr>
          <w:rFonts w:ascii="Times New Roman" w:hAnsi="Times New Roman" w:cs="Times New Roman"/>
          <w:sz w:val="24"/>
          <w:szCs w:val="24"/>
        </w:rPr>
        <w:t xml:space="preserve"> V případě, že má poskytovatel důvodné očekávání se domnívat, že v časovém období 2 měsíců od skončení smlouvy o poskytování služeb dojde k uzavření smlouvy o poskytování služeb na další období, je oprávněn k výmazu přistoupit až v případě, že smlouva o poskytování služeb do 2 měsíců uzavřena nebude.</w:t>
      </w:r>
      <w:r w:rsidR="00070D37">
        <w:rPr>
          <w:rFonts w:ascii="Times New Roman" w:hAnsi="Times New Roman" w:cs="Times New Roman"/>
          <w:sz w:val="24"/>
          <w:szCs w:val="24"/>
        </w:rPr>
        <w:t xml:space="preserve"> Jestliže bude do 2 měsíců od skončení smlouvy o poskytování služeb uzavřena nová smlouva o poskytování služeb na další období, poskytovatel k výmazu nepřistoupí.</w:t>
      </w:r>
    </w:p>
    <w:p w14:paraId="2D8FBF6C" w14:textId="4BEDFFD9" w:rsidR="001B16C7" w:rsidRPr="00862670" w:rsidRDefault="001B16C7" w:rsidP="0086267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 se zavazuje zaplatit poskytovateli náklady na </w:t>
      </w:r>
      <w:r w:rsidR="00CE5A08">
        <w:rPr>
          <w:rFonts w:ascii="Times New Roman" w:hAnsi="Times New Roman" w:cs="Times New Roman"/>
          <w:sz w:val="24"/>
          <w:szCs w:val="24"/>
        </w:rPr>
        <w:t xml:space="preserve">RFID čipy, </w:t>
      </w:r>
      <w:r>
        <w:rPr>
          <w:rFonts w:ascii="Times New Roman" w:hAnsi="Times New Roman" w:cs="Times New Roman"/>
          <w:sz w:val="24"/>
          <w:szCs w:val="24"/>
        </w:rPr>
        <w:t>licen</w:t>
      </w:r>
      <w:r w:rsidR="00D94F9A">
        <w:rPr>
          <w:rFonts w:ascii="Times New Roman" w:hAnsi="Times New Roman" w:cs="Times New Roman"/>
          <w:sz w:val="24"/>
          <w:szCs w:val="24"/>
        </w:rPr>
        <w:t>ční oprávnění</w:t>
      </w:r>
      <w:r>
        <w:rPr>
          <w:rFonts w:ascii="Times New Roman" w:hAnsi="Times New Roman" w:cs="Times New Roman"/>
          <w:sz w:val="24"/>
          <w:szCs w:val="24"/>
        </w:rPr>
        <w:t xml:space="preserve"> a další služby spojené </w:t>
      </w:r>
      <w:r w:rsidR="00CE5A08">
        <w:rPr>
          <w:rFonts w:ascii="Times New Roman" w:hAnsi="Times New Roman" w:cs="Times New Roman"/>
          <w:sz w:val="24"/>
          <w:szCs w:val="24"/>
        </w:rPr>
        <w:t xml:space="preserve">se zajištěním </w:t>
      </w:r>
      <w:r w:rsidR="00F94F05">
        <w:rPr>
          <w:rFonts w:ascii="Times New Roman" w:hAnsi="Times New Roman" w:cs="Times New Roman"/>
          <w:sz w:val="24"/>
          <w:szCs w:val="24"/>
        </w:rPr>
        <w:t xml:space="preserve">přístupu </w:t>
      </w:r>
      <w:r w:rsidR="00CE5A08">
        <w:rPr>
          <w:rFonts w:ascii="Times New Roman" w:hAnsi="Times New Roman" w:cs="Times New Roman"/>
          <w:sz w:val="24"/>
          <w:szCs w:val="24"/>
        </w:rPr>
        <w:t>oprávněných osob do budovy</w:t>
      </w:r>
      <w:r w:rsidR="00D94F9A">
        <w:rPr>
          <w:rFonts w:ascii="Times New Roman" w:hAnsi="Times New Roman" w:cs="Times New Roman"/>
          <w:sz w:val="24"/>
          <w:szCs w:val="24"/>
        </w:rPr>
        <w:t xml:space="preserve"> pomocí elektronických prostředků</w:t>
      </w:r>
      <w:r w:rsidR="00CE5A08">
        <w:rPr>
          <w:rFonts w:ascii="Times New Roman" w:hAnsi="Times New Roman" w:cs="Times New Roman"/>
          <w:sz w:val="24"/>
          <w:szCs w:val="24"/>
        </w:rPr>
        <w:t xml:space="preserve"> a administrátorského přístupu do </w:t>
      </w:r>
      <w:r w:rsidR="00F94F05">
        <w:rPr>
          <w:rFonts w:ascii="Times New Roman" w:hAnsi="Times New Roman" w:cs="Times New Roman"/>
          <w:sz w:val="24"/>
          <w:szCs w:val="24"/>
        </w:rPr>
        <w:t>Systému FINGERA dle počtu oprávněných osob a</w:t>
      </w:r>
      <w:r w:rsidR="004A3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A3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požadavky žadatele dle </w:t>
      </w:r>
      <w:r w:rsidR="009959E9">
        <w:rPr>
          <w:rFonts w:ascii="Times New Roman" w:hAnsi="Times New Roman" w:cs="Times New Roman"/>
          <w:sz w:val="24"/>
          <w:szCs w:val="24"/>
        </w:rPr>
        <w:t>nákladů uhrazených poskytovatelem</w:t>
      </w:r>
      <w:r>
        <w:rPr>
          <w:rFonts w:ascii="Times New Roman" w:hAnsi="Times New Roman" w:cs="Times New Roman"/>
          <w:sz w:val="24"/>
          <w:szCs w:val="24"/>
        </w:rPr>
        <w:t xml:space="preserve"> dodavatel</w:t>
      </w:r>
      <w:r w:rsidR="009959E9">
        <w:rPr>
          <w:rFonts w:ascii="Times New Roman" w:hAnsi="Times New Roman" w:cs="Times New Roman"/>
          <w:sz w:val="24"/>
          <w:szCs w:val="24"/>
        </w:rPr>
        <w:t>i na základě jím vystaveného daňového dokladu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AF6D92" w14:textId="77777777" w:rsidR="00C74A15" w:rsidRPr="00862670" w:rsidRDefault="00C74A15" w:rsidP="00C74A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B63FD" w14:textId="77777777" w:rsidR="007546B2" w:rsidRPr="00862670" w:rsidRDefault="00C74A15" w:rsidP="00C74A15">
      <w:pPr>
        <w:pStyle w:val="Odstavecseseznamem"/>
        <w:numPr>
          <w:ilvl w:val="0"/>
          <w:numId w:val="1"/>
        </w:numPr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62670">
        <w:rPr>
          <w:rFonts w:ascii="Times New Roman" w:eastAsia="TimesNewRomanPSMT" w:hAnsi="Times New Roman" w:cs="Times New Roman"/>
          <w:b/>
          <w:bCs/>
          <w:sz w:val="24"/>
          <w:szCs w:val="24"/>
        </w:rPr>
        <w:t>Závěrečná ustanovení</w:t>
      </w:r>
    </w:p>
    <w:p w14:paraId="6F07B4C1" w14:textId="77777777" w:rsidR="00C74A15" w:rsidRPr="009E131B" w:rsidRDefault="00C74A15" w:rsidP="0086267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31B">
        <w:rPr>
          <w:rFonts w:ascii="Times New Roman" w:hAnsi="Times New Roman" w:cs="Times New Roman"/>
          <w:sz w:val="24"/>
          <w:szCs w:val="24"/>
        </w:rPr>
        <w:t>Obě smluvní strany potvrzují autentičnost tohoto dodatku podpisy svých oprávněných zástupců, kteří prohlašují, že jej pozorně přečetli a nesjednali v tísni ani za jinak jednostranně</w:t>
      </w:r>
      <w:r w:rsidR="009E131B" w:rsidRPr="009E131B">
        <w:rPr>
          <w:rFonts w:ascii="Times New Roman" w:hAnsi="Times New Roman" w:cs="Times New Roman"/>
          <w:sz w:val="24"/>
          <w:szCs w:val="24"/>
        </w:rPr>
        <w:t xml:space="preserve"> </w:t>
      </w:r>
      <w:r w:rsidRPr="009E131B">
        <w:rPr>
          <w:rFonts w:ascii="Times New Roman" w:hAnsi="Times New Roman" w:cs="Times New Roman"/>
          <w:sz w:val="24"/>
          <w:szCs w:val="24"/>
        </w:rPr>
        <w:t>nevýhodných podmínek.</w:t>
      </w:r>
    </w:p>
    <w:p w14:paraId="15AE33C5" w14:textId="77777777" w:rsidR="00C74A15" w:rsidRPr="00862670" w:rsidRDefault="00C74A15" w:rsidP="0086267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</w:rPr>
        <w:t>Smluvní strany berou na vědomí, že tento dodatek bude zveřejněn v registru smluv dle zákona č. 340/2015 Sb., o registru smluv, jelikož je poskytovatel i žadatel povinnou osobou ve smyslu tohoto zákona a s jejím zveřejněním souhlasí. Zveřejnění se zavazuje zajistit poskytovatel do 30 dnů od podpisu této smlouvy oběma smluvními stranami.</w:t>
      </w:r>
    </w:p>
    <w:p w14:paraId="5704D685" w14:textId="77777777" w:rsidR="003F162F" w:rsidRDefault="00C74A15" w:rsidP="00C74A1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62F">
        <w:rPr>
          <w:rFonts w:ascii="Times New Roman" w:hAnsi="Times New Roman" w:cs="Times New Roman"/>
          <w:sz w:val="24"/>
          <w:szCs w:val="24"/>
        </w:rPr>
        <w:t xml:space="preserve">Nedílnou součástí tohoto dodatku je příloha č. 1 </w:t>
      </w:r>
      <w:r w:rsidR="006D0A00">
        <w:rPr>
          <w:rFonts w:ascii="Times New Roman" w:hAnsi="Times New Roman" w:cs="Times New Roman"/>
          <w:sz w:val="24"/>
          <w:szCs w:val="24"/>
        </w:rPr>
        <w:t xml:space="preserve">- </w:t>
      </w:r>
      <w:r w:rsidRPr="003F162F">
        <w:rPr>
          <w:rFonts w:ascii="Times New Roman" w:hAnsi="Times New Roman" w:cs="Times New Roman"/>
          <w:sz w:val="24"/>
          <w:szCs w:val="24"/>
        </w:rPr>
        <w:t xml:space="preserve"> specifikace osobních údajů</w:t>
      </w:r>
      <w:r w:rsidR="003F162F" w:rsidRPr="003F162F">
        <w:rPr>
          <w:rFonts w:ascii="Times New Roman" w:hAnsi="Times New Roman" w:cs="Times New Roman"/>
          <w:sz w:val="24"/>
          <w:szCs w:val="24"/>
        </w:rPr>
        <w:t>.</w:t>
      </w:r>
    </w:p>
    <w:p w14:paraId="6FA690DE" w14:textId="77777777" w:rsidR="00C74A15" w:rsidRPr="003F162F" w:rsidRDefault="00C74A15" w:rsidP="00C74A1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62F">
        <w:rPr>
          <w:rFonts w:ascii="Times New Roman" w:hAnsi="Times New Roman" w:cs="Times New Roman"/>
          <w:sz w:val="24"/>
          <w:szCs w:val="24"/>
        </w:rPr>
        <w:t>Tento dodatek je sepsán ve dvou výtiscích. Každá ze smluvních stran obdrží po jednom výtisku.</w:t>
      </w:r>
    </w:p>
    <w:p w14:paraId="64108BB5" w14:textId="77777777" w:rsidR="00C74A15" w:rsidRPr="00862670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C90B8" w14:textId="13AA77E4" w:rsidR="00C74A15" w:rsidRPr="00862670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</w:rPr>
        <w:t xml:space="preserve">V Praze </w:t>
      </w:r>
    </w:p>
    <w:p w14:paraId="67D8C73F" w14:textId="77777777" w:rsidR="00C74A15" w:rsidRPr="00862670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0A504" w14:textId="77777777" w:rsidR="00C74A15" w:rsidRPr="00862670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737DC" w14:textId="77777777" w:rsidR="00C74A15" w:rsidRPr="00862670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6CF9C" w14:textId="77777777" w:rsidR="00C74A15" w:rsidRPr="00862670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7789A" w14:textId="77777777" w:rsidR="00C74A15" w:rsidRPr="00862670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</w:rPr>
        <w:t xml:space="preserve">Oprávněný zástupce žadatele </w:t>
      </w:r>
      <w:r w:rsidRPr="00862670">
        <w:rPr>
          <w:rFonts w:ascii="Times New Roman" w:hAnsi="Times New Roman" w:cs="Times New Roman"/>
          <w:sz w:val="24"/>
          <w:szCs w:val="24"/>
        </w:rPr>
        <w:tab/>
      </w:r>
      <w:r w:rsidRPr="00862670">
        <w:rPr>
          <w:rFonts w:ascii="Times New Roman" w:hAnsi="Times New Roman" w:cs="Times New Roman"/>
          <w:sz w:val="24"/>
          <w:szCs w:val="24"/>
        </w:rPr>
        <w:tab/>
      </w:r>
      <w:r w:rsidRPr="00862670">
        <w:rPr>
          <w:rFonts w:ascii="Times New Roman" w:hAnsi="Times New Roman" w:cs="Times New Roman"/>
          <w:sz w:val="24"/>
          <w:szCs w:val="24"/>
        </w:rPr>
        <w:tab/>
        <w:t>Oprávněný zástupce poskytovatele</w:t>
      </w:r>
    </w:p>
    <w:p w14:paraId="3D4A791F" w14:textId="77777777" w:rsidR="00C74A15" w:rsidRPr="00862670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</w:rPr>
        <w:t xml:space="preserve">Ing. Michal Minčev, MBA </w:t>
      </w:r>
      <w:r w:rsidRPr="00862670">
        <w:rPr>
          <w:rFonts w:ascii="Times New Roman" w:hAnsi="Times New Roman" w:cs="Times New Roman"/>
          <w:sz w:val="24"/>
          <w:szCs w:val="24"/>
        </w:rPr>
        <w:tab/>
      </w:r>
      <w:r w:rsidRPr="00862670">
        <w:rPr>
          <w:rFonts w:ascii="Times New Roman" w:hAnsi="Times New Roman" w:cs="Times New Roman"/>
          <w:sz w:val="24"/>
          <w:szCs w:val="24"/>
        </w:rPr>
        <w:tab/>
      </w:r>
      <w:r w:rsidRPr="00862670">
        <w:rPr>
          <w:rFonts w:ascii="Times New Roman" w:hAnsi="Times New Roman" w:cs="Times New Roman"/>
          <w:sz w:val="24"/>
          <w:szCs w:val="24"/>
        </w:rPr>
        <w:tab/>
      </w:r>
      <w:r w:rsidRPr="00862670">
        <w:rPr>
          <w:rFonts w:ascii="Times New Roman" w:hAnsi="Times New Roman" w:cs="Times New Roman"/>
          <w:sz w:val="24"/>
          <w:szCs w:val="24"/>
        </w:rPr>
        <w:tab/>
        <w:t>doc. Mats Rickard Braun, Ph.D., M.A..</w:t>
      </w:r>
    </w:p>
    <w:p w14:paraId="6D15778C" w14:textId="77777777" w:rsidR="00C74A15" w:rsidRPr="00862670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  <w:r w:rsidRPr="00862670">
        <w:rPr>
          <w:rFonts w:ascii="Times New Roman" w:hAnsi="Times New Roman" w:cs="Times New Roman"/>
          <w:sz w:val="24"/>
          <w:szCs w:val="24"/>
        </w:rPr>
        <w:t xml:space="preserve">ředitel České rozvojové agentury </w:t>
      </w:r>
      <w:r w:rsidRPr="00862670">
        <w:rPr>
          <w:rFonts w:ascii="Times New Roman" w:hAnsi="Times New Roman" w:cs="Times New Roman"/>
          <w:sz w:val="24"/>
          <w:szCs w:val="24"/>
        </w:rPr>
        <w:tab/>
      </w:r>
      <w:r w:rsidRPr="00862670">
        <w:rPr>
          <w:rFonts w:ascii="Times New Roman" w:hAnsi="Times New Roman" w:cs="Times New Roman"/>
          <w:sz w:val="24"/>
          <w:szCs w:val="24"/>
        </w:rPr>
        <w:tab/>
      </w:r>
      <w:r w:rsidRPr="00862670">
        <w:rPr>
          <w:rFonts w:ascii="Times New Roman" w:hAnsi="Times New Roman" w:cs="Times New Roman"/>
          <w:sz w:val="24"/>
          <w:szCs w:val="24"/>
        </w:rPr>
        <w:tab/>
        <w:t>ředitel Ústavu mezinárodních vztahů, v.v.i.</w:t>
      </w:r>
    </w:p>
    <w:p w14:paraId="6B98152A" w14:textId="77777777" w:rsidR="00C74A15" w:rsidRPr="00862670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0EE42" w14:textId="77777777" w:rsidR="00C74A15" w:rsidRPr="00862670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13983" w14:textId="77777777" w:rsidR="00C74A15" w:rsidRPr="00862670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820C6" w14:textId="77777777" w:rsidR="00C74A15" w:rsidRPr="00862670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9BFBD" w14:textId="77777777" w:rsidR="00A41E62" w:rsidRDefault="00A41E62" w:rsidP="00C74A1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14:paraId="4D760091" w14:textId="77777777" w:rsidR="00A41E62" w:rsidRDefault="00A41E62" w:rsidP="00C74A1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14:paraId="068B11EF" w14:textId="77777777" w:rsidR="00A41E62" w:rsidRDefault="00A41E62" w:rsidP="00C74A1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14:paraId="2B465042" w14:textId="430088C0" w:rsidR="00C74A15" w:rsidRPr="00862670" w:rsidRDefault="00C74A15" w:rsidP="00C74A1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862670">
        <w:rPr>
          <w:rFonts w:ascii="Times New Roman" w:hAnsi="Times New Roman" w:cs="Times New Roman"/>
          <w:b/>
          <w:sz w:val="24"/>
          <w:szCs w:val="24"/>
        </w:rPr>
        <w:lastRenderedPageBreak/>
        <w:t>Příloha č. 1 – Specifikace osobních údajů</w:t>
      </w:r>
    </w:p>
    <w:p w14:paraId="4381C75F" w14:textId="77777777" w:rsidR="00C74A15" w:rsidRPr="00862670" w:rsidRDefault="00C74A15" w:rsidP="00C74A15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14:paraId="64CA67B8" w14:textId="77777777" w:rsidR="00C74A15" w:rsidRPr="00862670" w:rsidRDefault="00C74A15" w:rsidP="00C74A15">
      <w:pPr>
        <w:pStyle w:val="Prosttext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74A15" w:rsidRPr="00862670" w14:paraId="6421973E" w14:textId="77777777" w:rsidTr="009659F7">
        <w:trPr>
          <w:trHeight w:val="458"/>
          <w:jc w:val="center"/>
        </w:trPr>
        <w:tc>
          <w:tcPr>
            <w:tcW w:w="8931" w:type="dxa"/>
            <w:shd w:val="clear" w:color="auto" w:fill="D9D9D9"/>
          </w:tcPr>
          <w:p w14:paraId="43F9E060" w14:textId="77777777" w:rsidR="00C74A15" w:rsidRPr="00862670" w:rsidRDefault="00C74A15" w:rsidP="009659F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70">
              <w:rPr>
                <w:rFonts w:ascii="Times New Roman" w:hAnsi="Times New Roman" w:cs="Times New Roman"/>
                <w:b/>
                <w:sz w:val="24"/>
                <w:szCs w:val="24"/>
              </w:rPr>
              <w:t>Účel zpracování:</w:t>
            </w:r>
          </w:p>
        </w:tc>
      </w:tr>
      <w:tr w:rsidR="00C74A15" w:rsidRPr="00862670" w14:paraId="1C55772A" w14:textId="77777777" w:rsidTr="009659F7">
        <w:trPr>
          <w:trHeight w:val="298"/>
          <w:jc w:val="center"/>
        </w:trPr>
        <w:tc>
          <w:tcPr>
            <w:tcW w:w="8931" w:type="dxa"/>
            <w:shd w:val="clear" w:color="auto" w:fill="auto"/>
          </w:tcPr>
          <w:p w14:paraId="77B41397" w14:textId="77777777" w:rsidR="00C74A15" w:rsidRPr="00862670" w:rsidRDefault="00C74A15" w:rsidP="009659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Zpracování podle ustanovení čl. 6 odst. 1 písm. </w:t>
            </w:r>
            <w:r w:rsidR="006D0A00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862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hyperlink r:id="rId8" w:tgtFrame="_blank" w:tooltip=" [nové okno]" w:history="1">
              <w:r w:rsidRPr="00862670">
                <w:rPr>
                  <w:rFonts w:ascii="Times New Roman" w:hAnsi="Times New Roman" w:cs="Times New Roman"/>
                  <w:i/>
                  <w:sz w:val="24"/>
                  <w:szCs w:val="24"/>
                </w:rPr>
                <w:t>Nařízení (EU) 2016/679 (GDPR)</w:t>
              </w:r>
            </w:hyperlink>
          </w:p>
          <w:p w14:paraId="5260818A" w14:textId="77777777" w:rsidR="00C74A15" w:rsidRPr="00862670" w:rsidRDefault="006D0A00" w:rsidP="0096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F162F">
              <w:rPr>
                <w:rFonts w:ascii="Times New Roman" w:hAnsi="Times New Roman" w:cs="Times New Roman"/>
                <w:sz w:val="24"/>
                <w:szCs w:val="24"/>
              </w:rPr>
              <w:t>pracování je nezbytné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účely zajištění vstupu do budovy na adrese Nerudova 3, Praha 1, pomocí elektronických prostředků a vedení evidence příchodů a odchodů</w:t>
            </w:r>
          </w:p>
          <w:p w14:paraId="5B56645F" w14:textId="77777777" w:rsidR="00C74A15" w:rsidRPr="00862670" w:rsidRDefault="00C74A15" w:rsidP="0096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15" w:rsidRPr="00862670" w14:paraId="68983AD7" w14:textId="77777777" w:rsidTr="009659F7">
        <w:trPr>
          <w:jc w:val="center"/>
        </w:trPr>
        <w:tc>
          <w:tcPr>
            <w:tcW w:w="8931" w:type="dxa"/>
            <w:shd w:val="clear" w:color="auto" w:fill="D9D9D9"/>
          </w:tcPr>
          <w:p w14:paraId="15C95A41" w14:textId="77777777" w:rsidR="00C74A15" w:rsidRPr="00862670" w:rsidRDefault="00C74A15" w:rsidP="009659F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70">
              <w:rPr>
                <w:rFonts w:ascii="Times New Roman" w:hAnsi="Times New Roman" w:cs="Times New Roman"/>
                <w:b/>
                <w:sz w:val="24"/>
                <w:szCs w:val="24"/>
              </w:rPr>
              <w:t>Kategorie subjektů údajů:</w:t>
            </w:r>
          </w:p>
        </w:tc>
      </w:tr>
      <w:tr w:rsidR="00C74A15" w:rsidRPr="00862670" w14:paraId="52043353" w14:textId="77777777" w:rsidTr="009659F7">
        <w:trPr>
          <w:jc w:val="center"/>
        </w:trPr>
        <w:tc>
          <w:tcPr>
            <w:tcW w:w="8931" w:type="dxa"/>
            <w:shd w:val="clear" w:color="auto" w:fill="auto"/>
          </w:tcPr>
          <w:p w14:paraId="33163208" w14:textId="77777777" w:rsidR="00C74A15" w:rsidRPr="00862670" w:rsidRDefault="00C74A15" w:rsidP="0096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A3445" w14:textId="77777777" w:rsidR="00C74A15" w:rsidRPr="00862670" w:rsidRDefault="00C74A15" w:rsidP="00C7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70">
              <w:rPr>
                <w:rFonts w:ascii="Times New Roman" w:hAnsi="Times New Roman" w:cs="Times New Roman"/>
                <w:sz w:val="24"/>
                <w:szCs w:val="24"/>
              </w:rPr>
              <w:t>zaměstnanci žadatele, poskytovatelé služeb žadatele</w:t>
            </w:r>
          </w:p>
        </w:tc>
      </w:tr>
      <w:tr w:rsidR="00C74A15" w:rsidRPr="00862670" w14:paraId="433F0E83" w14:textId="77777777" w:rsidTr="009659F7">
        <w:trPr>
          <w:jc w:val="center"/>
        </w:trPr>
        <w:tc>
          <w:tcPr>
            <w:tcW w:w="8931" w:type="dxa"/>
            <w:shd w:val="clear" w:color="auto" w:fill="D9D9D9"/>
          </w:tcPr>
          <w:p w14:paraId="0631E587" w14:textId="77777777" w:rsidR="00C74A15" w:rsidRPr="00862670" w:rsidRDefault="00C74A15" w:rsidP="009659F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70">
              <w:rPr>
                <w:rFonts w:ascii="Times New Roman" w:hAnsi="Times New Roman" w:cs="Times New Roman"/>
                <w:b/>
                <w:sz w:val="24"/>
                <w:szCs w:val="24"/>
              </w:rPr>
              <w:t>Kategorie osobních údajů:</w:t>
            </w:r>
          </w:p>
        </w:tc>
      </w:tr>
      <w:tr w:rsidR="00C74A15" w:rsidRPr="00862670" w14:paraId="370C9485" w14:textId="77777777" w:rsidTr="009659F7">
        <w:trPr>
          <w:jc w:val="center"/>
        </w:trPr>
        <w:tc>
          <w:tcPr>
            <w:tcW w:w="8931" w:type="dxa"/>
            <w:shd w:val="clear" w:color="auto" w:fill="auto"/>
          </w:tcPr>
          <w:p w14:paraId="651C8058" w14:textId="77777777" w:rsidR="00C74A15" w:rsidRPr="00862670" w:rsidRDefault="00C74A15" w:rsidP="009659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74981F" w14:textId="77777777" w:rsidR="00C74A15" w:rsidRPr="00862670" w:rsidRDefault="00C74A15" w:rsidP="009659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2670">
              <w:rPr>
                <w:rFonts w:ascii="Times New Roman" w:hAnsi="Times New Roman" w:cs="Times New Roman"/>
                <w:sz w:val="24"/>
                <w:szCs w:val="24"/>
              </w:rPr>
              <w:t>jméno, příjmení, pracovní pozice či jiná funkce, osobní číslo, otisk prstu</w:t>
            </w:r>
          </w:p>
          <w:p w14:paraId="40FCA32C" w14:textId="77777777" w:rsidR="00C74A15" w:rsidRPr="00862670" w:rsidRDefault="00C74A15" w:rsidP="009659F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AA7B5E" w14:textId="77777777" w:rsidR="00C74A15" w:rsidRPr="00862670" w:rsidRDefault="00C74A15" w:rsidP="00C74A15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F4BC92C" w14:textId="77777777" w:rsidR="00C74A15" w:rsidRPr="00D31578" w:rsidRDefault="00C74A15" w:rsidP="00C74A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4A15" w:rsidRPr="00D31578" w:rsidSect="00D20293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9A42" w14:textId="77777777" w:rsidR="00B04A6A" w:rsidRDefault="00B04A6A" w:rsidP="007D2289">
      <w:pPr>
        <w:spacing w:after="0" w:line="240" w:lineRule="auto"/>
      </w:pPr>
      <w:r>
        <w:separator/>
      </w:r>
    </w:p>
  </w:endnote>
  <w:endnote w:type="continuationSeparator" w:id="0">
    <w:p w14:paraId="1BA610B9" w14:textId="77777777" w:rsidR="00B04A6A" w:rsidRDefault="00B04A6A" w:rsidP="007D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4A9B9" w14:textId="77777777" w:rsidR="009659F7" w:rsidRDefault="00D62163">
    <w:pPr>
      <w:pStyle w:val="Zpat"/>
      <w:jc w:val="right"/>
    </w:pPr>
    <w:r>
      <w:rPr>
        <w:rFonts w:cs="Georgia"/>
      </w:rPr>
      <w:fldChar w:fldCharType="begin"/>
    </w:r>
    <w:r w:rsidR="009659F7">
      <w:rPr>
        <w:rFonts w:cs="Georgia"/>
      </w:rPr>
      <w:instrText xml:space="preserve"> PAGE </w:instrText>
    </w:r>
    <w:r>
      <w:rPr>
        <w:rFonts w:cs="Georgia"/>
      </w:rPr>
      <w:fldChar w:fldCharType="separate"/>
    </w:r>
    <w:r w:rsidR="009959E9">
      <w:rPr>
        <w:rFonts w:cs="Georgia"/>
        <w:noProof/>
      </w:rPr>
      <w:t>3</w:t>
    </w:r>
    <w:r>
      <w:rPr>
        <w:rFonts w:cs="Georgia"/>
      </w:rPr>
      <w:fldChar w:fldCharType="end"/>
    </w:r>
  </w:p>
  <w:p w14:paraId="19EFFECB" w14:textId="77777777" w:rsidR="009659F7" w:rsidRDefault="009659F7">
    <w:pPr>
      <w:pStyle w:val="Zpat"/>
    </w:pPr>
  </w:p>
  <w:p w14:paraId="270E6A65" w14:textId="77777777" w:rsidR="009659F7" w:rsidRDefault="00965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2192D" w14:textId="77777777" w:rsidR="00B04A6A" w:rsidRDefault="00B04A6A" w:rsidP="007D2289">
      <w:pPr>
        <w:spacing w:after="0" w:line="240" w:lineRule="auto"/>
      </w:pPr>
      <w:r>
        <w:separator/>
      </w:r>
    </w:p>
  </w:footnote>
  <w:footnote w:type="continuationSeparator" w:id="0">
    <w:p w14:paraId="5DA8B29C" w14:textId="77777777" w:rsidR="00B04A6A" w:rsidRDefault="00B04A6A" w:rsidP="007D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EA615" w14:textId="77777777" w:rsidR="009659F7" w:rsidRDefault="009659F7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 wp14:anchorId="3DE342F9" wp14:editId="528D0FC4">
          <wp:simplePos x="0" y="0"/>
          <wp:positionH relativeFrom="margin">
            <wp:posOffset>-1186180</wp:posOffset>
          </wp:positionH>
          <wp:positionV relativeFrom="margin">
            <wp:posOffset>-803910</wp:posOffset>
          </wp:positionV>
          <wp:extent cx="7559675" cy="124714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47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17BD"/>
    <w:multiLevelType w:val="hybridMultilevel"/>
    <w:tmpl w:val="B3B48FD8"/>
    <w:lvl w:ilvl="0" w:tplc="5614C34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177B"/>
    <w:multiLevelType w:val="hybridMultilevel"/>
    <w:tmpl w:val="DB5614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384DC6"/>
    <w:multiLevelType w:val="hybridMultilevel"/>
    <w:tmpl w:val="C6EA92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1111F"/>
    <w:multiLevelType w:val="multilevel"/>
    <w:tmpl w:val="9AC03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970057F"/>
    <w:multiLevelType w:val="hybridMultilevel"/>
    <w:tmpl w:val="15D85CBE"/>
    <w:lvl w:ilvl="0" w:tplc="DF74FCD0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759153">
    <w:abstractNumId w:val="3"/>
  </w:num>
  <w:num w:numId="2" w16cid:durableId="1569729512">
    <w:abstractNumId w:val="1"/>
  </w:num>
  <w:num w:numId="3" w16cid:durableId="311182133">
    <w:abstractNumId w:val="2"/>
  </w:num>
  <w:num w:numId="4" w16cid:durableId="148788674">
    <w:abstractNumId w:val="4"/>
  </w:num>
  <w:num w:numId="5" w16cid:durableId="64312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78"/>
    <w:rsid w:val="00026DF4"/>
    <w:rsid w:val="00053B1B"/>
    <w:rsid w:val="00070D37"/>
    <w:rsid w:val="0011336F"/>
    <w:rsid w:val="001B16C7"/>
    <w:rsid w:val="00220074"/>
    <w:rsid w:val="0026429C"/>
    <w:rsid w:val="003E6808"/>
    <w:rsid w:val="003F162F"/>
    <w:rsid w:val="004A3977"/>
    <w:rsid w:val="0054633F"/>
    <w:rsid w:val="00571F99"/>
    <w:rsid w:val="005D7554"/>
    <w:rsid w:val="006018E8"/>
    <w:rsid w:val="00675485"/>
    <w:rsid w:val="006D0A00"/>
    <w:rsid w:val="006E756B"/>
    <w:rsid w:val="006F0189"/>
    <w:rsid w:val="00736F7A"/>
    <w:rsid w:val="007546B2"/>
    <w:rsid w:val="007A71A6"/>
    <w:rsid w:val="007D2289"/>
    <w:rsid w:val="0080614A"/>
    <w:rsid w:val="00862670"/>
    <w:rsid w:val="008A6919"/>
    <w:rsid w:val="009659F7"/>
    <w:rsid w:val="009959E9"/>
    <w:rsid w:val="009E131B"/>
    <w:rsid w:val="009E14AB"/>
    <w:rsid w:val="009E66C6"/>
    <w:rsid w:val="00A15C93"/>
    <w:rsid w:val="00A41E62"/>
    <w:rsid w:val="00B04A6A"/>
    <w:rsid w:val="00B50221"/>
    <w:rsid w:val="00B51ADA"/>
    <w:rsid w:val="00BA351A"/>
    <w:rsid w:val="00BA3635"/>
    <w:rsid w:val="00BC3159"/>
    <w:rsid w:val="00C20D14"/>
    <w:rsid w:val="00C37BF5"/>
    <w:rsid w:val="00C60729"/>
    <w:rsid w:val="00C74A15"/>
    <w:rsid w:val="00CC60E1"/>
    <w:rsid w:val="00CE5A08"/>
    <w:rsid w:val="00D057C7"/>
    <w:rsid w:val="00D20293"/>
    <w:rsid w:val="00D31578"/>
    <w:rsid w:val="00D62163"/>
    <w:rsid w:val="00D677B0"/>
    <w:rsid w:val="00D94F9A"/>
    <w:rsid w:val="00DD37F5"/>
    <w:rsid w:val="00E954D0"/>
    <w:rsid w:val="00F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2C2FF"/>
  <w15:docId w15:val="{22C2F2F4-9F26-46F6-8ACC-213CDD69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2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1578"/>
    <w:pPr>
      <w:ind w:left="720"/>
      <w:contextualSpacing/>
    </w:pPr>
  </w:style>
  <w:style w:type="paragraph" w:styleId="Zhlav">
    <w:name w:val="header"/>
    <w:basedOn w:val="Normln"/>
    <w:link w:val="ZhlavChar"/>
    <w:rsid w:val="007546B2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7546B2"/>
    <w:rPr>
      <w:rFonts w:ascii="Cambria" w:eastAsia="MS Mincho" w:hAnsi="Cambria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546B2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7546B2"/>
    <w:rPr>
      <w:rFonts w:ascii="Cambria" w:eastAsia="MS Mincho" w:hAnsi="Cambria" w:cs="Times New Roma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C74A15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74A15"/>
    <w:rPr>
      <w:rFonts w:ascii="Calibri" w:eastAsia="Calibri" w:hAnsi="Calibri" w:cs="Consolas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C37B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7B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7B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B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BF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E75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PDF/?uri=CELEX:32016R0679&amp;from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CS/TXT/PDF/?uri=CELEX:32016R0679&amp;from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vachalova</dc:creator>
  <cp:lastModifiedBy>Bergerova Linda</cp:lastModifiedBy>
  <cp:revision>3</cp:revision>
  <dcterms:created xsi:type="dcterms:W3CDTF">2025-03-04T08:36:00Z</dcterms:created>
  <dcterms:modified xsi:type="dcterms:W3CDTF">2025-03-04T08:36:00Z</dcterms:modified>
</cp:coreProperties>
</file>