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7221300845</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Křtomil</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Křtomil,</w:t>
      </w:r>
      <w:r>
        <w:rPr>
          <w:spacing w:val="-4"/>
        </w:rPr>
        <w:t> </w:t>
      </w:r>
      <w:r>
        <w:rPr/>
        <w:t>č.p.</w:t>
      </w:r>
      <w:r>
        <w:rPr>
          <w:spacing w:val="-4"/>
        </w:rPr>
        <w:t> </w:t>
      </w:r>
      <w:r>
        <w:rPr/>
        <w:t>60,</w:t>
      </w:r>
      <w:r>
        <w:rPr>
          <w:spacing w:val="-6"/>
        </w:rPr>
        <w:t> </w:t>
      </w:r>
      <w:r>
        <w:rPr/>
        <w:t>751</w:t>
      </w:r>
      <w:r>
        <w:rPr>
          <w:spacing w:val="-2"/>
        </w:rPr>
        <w:t> </w:t>
      </w:r>
      <w:r>
        <w:rPr/>
        <w:t>14</w:t>
      </w:r>
      <w:r>
        <w:rPr>
          <w:spacing w:val="-5"/>
        </w:rPr>
        <w:t> </w:t>
      </w:r>
      <w:r>
        <w:rPr>
          <w:spacing w:val="-2"/>
        </w:rPr>
        <w:t>Křtomil</w:t>
      </w:r>
    </w:p>
    <w:p>
      <w:pPr>
        <w:pStyle w:val="BodyText"/>
        <w:tabs>
          <w:tab w:pos="2982" w:val="left" w:leader="none"/>
        </w:tabs>
        <w:spacing w:line="265" w:lineRule="exact"/>
        <w:ind w:left="102"/>
      </w:pPr>
      <w:r>
        <w:rPr>
          <w:spacing w:val="-4"/>
        </w:rPr>
        <w:t>IČO:</w:t>
      </w:r>
      <w:r>
        <w:rPr/>
        <w:tab/>
      </w:r>
      <w:r>
        <w:rPr>
          <w:spacing w:val="-2"/>
        </w:rPr>
        <w:t>00636312</w:t>
      </w:r>
    </w:p>
    <w:p>
      <w:pPr>
        <w:pStyle w:val="BodyText"/>
        <w:tabs>
          <w:tab w:pos="2982" w:val="left" w:leader="none"/>
        </w:tabs>
        <w:spacing w:line="265" w:lineRule="exact"/>
        <w:ind w:left="102"/>
      </w:pPr>
      <w:r>
        <w:rPr>
          <w:spacing w:val="-2"/>
        </w:rPr>
        <w:t>zastoupená:</w:t>
      </w:r>
      <w:r>
        <w:rPr/>
        <w:tab/>
        <w:t>Mgr.</w:t>
      </w:r>
      <w:r>
        <w:rPr>
          <w:spacing w:val="-2"/>
        </w:rPr>
        <w:t> </w:t>
      </w:r>
      <w:r>
        <w:rPr/>
        <w:t>Evou</w:t>
      </w:r>
      <w:r>
        <w:rPr>
          <w:spacing w:val="-1"/>
        </w:rPr>
        <w:t> </w:t>
      </w:r>
      <w:r>
        <w:rPr/>
        <w:t>K</w:t>
      </w:r>
      <w:r>
        <w:rPr>
          <w:spacing w:val="-2"/>
        </w:rPr>
        <w:t> </w:t>
      </w:r>
      <w:r>
        <w:rPr/>
        <w:t>u</w:t>
      </w:r>
      <w:r>
        <w:rPr>
          <w:spacing w:val="-1"/>
        </w:rPr>
        <w:t> </w:t>
      </w:r>
      <w:r>
        <w:rPr/>
        <w:t>b</w:t>
      </w:r>
      <w:r>
        <w:rPr>
          <w:spacing w:val="-2"/>
        </w:rPr>
        <w:t> </w:t>
      </w:r>
      <w:r>
        <w:rPr/>
        <w:t>í</w:t>
      </w:r>
      <w:r>
        <w:rPr>
          <w:spacing w:val="-1"/>
        </w:rPr>
        <w:t> </w:t>
      </w:r>
      <w:r>
        <w:rPr/>
        <w:t>č</w:t>
      </w:r>
      <w:r>
        <w:rPr>
          <w:spacing w:val="-2"/>
        </w:rPr>
        <w:t> </w:t>
      </w:r>
      <w:r>
        <w:rPr/>
        <w:t>k</w:t>
      </w:r>
      <w:r>
        <w:rPr>
          <w:spacing w:val="-3"/>
        </w:rPr>
        <w:t> </w:t>
      </w:r>
      <w:r>
        <w:rPr/>
        <w:t>o v</w:t>
      </w:r>
      <w:r>
        <w:rPr>
          <w:spacing w:val="-1"/>
        </w:rPr>
        <w:t> </w:t>
      </w:r>
      <w:r>
        <w:rPr/>
        <w:t>o</w:t>
      </w:r>
      <w:r>
        <w:rPr>
          <w:spacing w:val="-3"/>
        </w:rPr>
        <w:t> </w:t>
      </w:r>
      <w:r>
        <w:rPr/>
        <w:t>u,</w:t>
      </w:r>
      <w:r>
        <w:rPr>
          <w:spacing w:val="-2"/>
        </w:rPr>
        <w:t> 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7917831/0710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7221300845 o poskytnutí finančních prostředků ze Státního fondu životního prostředí ČR ze dne 21.03.2024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1"/>
      </w:pPr>
      <w:r>
        <w:rPr/>
        <w:t>„FVE</w:t>
      </w:r>
      <w:r>
        <w:rPr>
          <w:spacing w:val="-8"/>
        </w:rPr>
        <w:t> </w:t>
      </w:r>
      <w:r>
        <w:rPr/>
        <w:t>obce</w:t>
      </w:r>
      <w:r>
        <w:rPr>
          <w:spacing w:val="-6"/>
        </w:rPr>
        <w:t> </w:t>
      </w:r>
      <w:r>
        <w:rPr>
          <w:spacing w:val="-2"/>
        </w:rPr>
        <w:t>Křtomil“</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123" w:hanging="284"/>
        <w:jc w:val="both"/>
        <w:rPr>
          <w:sz w:val="20"/>
        </w:rPr>
      </w:pPr>
      <w:r>
        <w:rPr>
          <w:sz w:val="20"/>
        </w:rPr>
        <w:t>Podpora je poskytována v souladu s Nařízením Komise 2023/2831 ze dne 13. prosince 2023 o použití článků 107 a 108 Smlouvy o fungování Evropské unie na podporu de minimis, zveřejněném v Úředním věstníku EU dne 15. 12. 2023.</w:t>
      </w:r>
    </w:p>
    <w:p>
      <w:pPr>
        <w:pStyle w:val="BodyText"/>
        <w:spacing w:before="12"/>
        <w:rPr>
          <w:sz w:val="19"/>
        </w:rPr>
      </w:pPr>
    </w:p>
    <w:p>
      <w:pPr>
        <w:pStyle w:val="Heading1"/>
        <w:ind w:right="39"/>
      </w:pPr>
      <w:r>
        <w:rPr>
          <w:spacing w:val="-5"/>
        </w:rPr>
        <w:t>II.</w:t>
      </w:r>
    </w:p>
    <w:p>
      <w:pPr>
        <w:pStyle w:val="Heading2"/>
        <w:spacing w:before="1"/>
        <w:ind w:right="3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4"/>
          <w:sz w:val="20"/>
        </w:rPr>
        <w:t> </w:t>
      </w:r>
      <w:r>
        <w:rPr>
          <w:sz w:val="20"/>
        </w:rPr>
        <w:t>ve</w:t>
      </w:r>
      <w:r>
        <w:rPr>
          <w:spacing w:val="-4"/>
          <w:sz w:val="20"/>
        </w:rPr>
        <w:t> </w:t>
      </w:r>
      <w:r>
        <w:rPr>
          <w:sz w:val="20"/>
        </w:rPr>
        <w:t>výši</w:t>
      </w:r>
      <w:r>
        <w:rPr>
          <w:spacing w:val="-2"/>
          <w:sz w:val="20"/>
        </w:rPr>
        <w:t> </w:t>
      </w:r>
      <w:r>
        <w:rPr>
          <w:b/>
          <w:sz w:val="20"/>
        </w:rPr>
        <w:t>267</w:t>
      </w:r>
      <w:r>
        <w:rPr>
          <w:b/>
          <w:spacing w:val="-3"/>
          <w:sz w:val="20"/>
        </w:rPr>
        <w:t> </w:t>
      </w:r>
      <w:r>
        <w:rPr>
          <w:b/>
          <w:sz w:val="20"/>
        </w:rPr>
        <w:t>319,44</w:t>
      </w:r>
      <w:r>
        <w:rPr>
          <w:b/>
          <w:spacing w:val="-2"/>
          <w:sz w:val="20"/>
        </w:rPr>
        <w:t> </w:t>
      </w:r>
      <w:r>
        <w:rPr>
          <w:b/>
          <w:sz w:val="20"/>
        </w:rPr>
        <w:t>Kč</w:t>
      </w:r>
      <w:r>
        <w:rPr>
          <w:b/>
          <w:spacing w:val="-3"/>
          <w:sz w:val="20"/>
        </w:rPr>
        <w:t> </w:t>
      </w:r>
      <w:r>
        <w:rPr>
          <w:sz w:val="20"/>
        </w:rPr>
        <w:t>(slovy:</w:t>
      </w:r>
      <w:r>
        <w:rPr>
          <w:spacing w:val="-3"/>
          <w:sz w:val="20"/>
        </w:rPr>
        <w:t> </w:t>
      </w:r>
      <w:r>
        <w:rPr>
          <w:sz w:val="20"/>
        </w:rPr>
        <w:t>dvě</w:t>
      </w:r>
      <w:r>
        <w:rPr>
          <w:spacing w:val="-4"/>
          <w:sz w:val="20"/>
        </w:rPr>
        <w:t> </w:t>
      </w:r>
      <w:r>
        <w:rPr>
          <w:sz w:val="20"/>
        </w:rPr>
        <w:t>stě</w:t>
      </w:r>
      <w:r>
        <w:rPr>
          <w:spacing w:val="-4"/>
          <w:sz w:val="20"/>
        </w:rPr>
        <w:t> </w:t>
      </w:r>
      <w:r>
        <w:rPr>
          <w:sz w:val="20"/>
        </w:rPr>
        <w:t>šedesát</w:t>
      </w:r>
      <w:r>
        <w:rPr>
          <w:spacing w:val="-4"/>
          <w:sz w:val="20"/>
        </w:rPr>
        <w:t> </w:t>
      </w:r>
      <w:r>
        <w:rPr>
          <w:sz w:val="20"/>
        </w:rPr>
        <w:t>sedm</w:t>
      </w:r>
      <w:r>
        <w:rPr>
          <w:spacing w:val="-2"/>
          <w:sz w:val="20"/>
        </w:rPr>
        <w:t> </w:t>
      </w:r>
      <w:r>
        <w:rPr>
          <w:sz w:val="20"/>
        </w:rPr>
        <w:t>tisíc</w:t>
      </w:r>
      <w:r>
        <w:rPr>
          <w:spacing w:val="-4"/>
          <w:sz w:val="20"/>
        </w:rPr>
        <w:t> </w:t>
      </w:r>
      <w:r>
        <w:rPr>
          <w:sz w:val="20"/>
        </w:rPr>
        <w:t>tři</w:t>
      </w:r>
      <w:r>
        <w:rPr>
          <w:spacing w:val="-1"/>
          <w:sz w:val="20"/>
        </w:rPr>
        <w:t> </w:t>
      </w:r>
      <w:r>
        <w:rPr>
          <w:sz w:val="20"/>
        </w:rPr>
        <w:t>sta</w:t>
      </w:r>
      <w:r>
        <w:rPr>
          <w:spacing w:val="-4"/>
          <w:sz w:val="20"/>
        </w:rPr>
        <w:t> </w:t>
      </w:r>
      <w:r>
        <w:rPr>
          <w:sz w:val="20"/>
        </w:rPr>
        <w:t>devatenáct korun českých a čtyřicet čtyři haléřů).</w:t>
      </w:r>
    </w:p>
    <w:p>
      <w:pPr>
        <w:pStyle w:val="ListParagraph"/>
        <w:numPr>
          <w:ilvl w:val="0"/>
          <w:numId w:val="2"/>
        </w:numPr>
        <w:tabs>
          <w:tab w:pos="386" w:val="left" w:leader="none"/>
        </w:tabs>
        <w:spacing w:line="240" w:lineRule="auto" w:before="118" w:after="0"/>
        <w:ind w:left="385" w:right="111" w:hanging="284"/>
        <w:jc w:val="both"/>
        <w:rPr>
          <w:sz w:val="20"/>
        </w:rPr>
      </w:pPr>
      <w:r>
        <w:rPr>
          <w:sz w:val="20"/>
        </w:rPr>
        <w:t>Základ pro stanovení podpory odpovídá způsobilým výdajům stanoveným Fondem dle žádosti a jejích příloh a činí 689 279,91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396"/>
      </w:pPr>
      <w:r>
        <w:rPr>
          <w:spacing w:val="-4"/>
        </w:rPr>
        <w:t>III.</w:t>
      </w:r>
    </w:p>
    <w:p>
      <w:pPr>
        <w:pStyle w:val="Heading2"/>
        <w:ind w:right="396"/>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0" w:hanging="360"/>
        <w:jc w:val="left"/>
        <w:rPr>
          <w:sz w:val="20"/>
        </w:rPr>
      </w:pPr>
      <w:r>
        <w:rPr>
          <w:sz w:val="20"/>
        </w:rPr>
        <w:t>splní</w:t>
      </w:r>
      <w:r>
        <w:rPr>
          <w:spacing w:val="35"/>
          <w:sz w:val="20"/>
        </w:rPr>
        <w:t> </w:t>
      </w:r>
      <w:r>
        <w:rPr>
          <w:sz w:val="20"/>
        </w:rPr>
        <w:t>účel</w:t>
      </w:r>
      <w:r>
        <w:rPr>
          <w:spacing w:val="37"/>
          <w:sz w:val="20"/>
        </w:rPr>
        <w:t> </w:t>
      </w:r>
      <w:r>
        <w:rPr>
          <w:sz w:val="20"/>
        </w:rPr>
        <w:t>akce</w:t>
      </w:r>
      <w:r>
        <w:rPr>
          <w:spacing w:val="37"/>
          <w:sz w:val="20"/>
        </w:rPr>
        <w:t> </w:t>
      </w:r>
      <w:r>
        <w:rPr>
          <w:sz w:val="20"/>
        </w:rPr>
        <w:t>„FVE</w:t>
      </w:r>
      <w:r>
        <w:rPr>
          <w:spacing w:val="35"/>
          <w:sz w:val="20"/>
        </w:rPr>
        <w:t> </w:t>
      </w:r>
      <w:r>
        <w:rPr>
          <w:sz w:val="20"/>
        </w:rPr>
        <w:t>obce</w:t>
      </w:r>
      <w:r>
        <w:rPr>
          <w:spacing w:val="37"/>
          <w:sz w:val="20"/>
        </w:rPr>
        <w:t> </w:t>
      </w:r>
      <w:r>
        <w:rPr>
          <w:sz w:val="20"/>
        </w:rPr>
        <w:t>Křtomil“</w:t>
      </w:r>
      <w:r>
        <w:rPr>
          <w:spacing w:val="35"/>
          <w:sz w:val="20"/>
        </w:rPr>
        <w:t> </w:t>
      </w:r>
      <w:r>
        <w:rPr>
          <w:sz w:val="20"/>
        </w:rPr>
        <w:t>tím,</w:t>
      </w:r>
      <w:r>
        <w:rPr>
          <w:spacing w:val="35"/>
          <w:sz w:val="20"/>
        </w:rPr>
        <w:t> </w:t>
      </w:r>
      <w:r>
        <w:rPr>
          <w:sz w:val="20"/>
        </w:rPr>
        <w:t>že</w:t>
      </w:r>
      <w:r>
        <w:rPr>
          <w:spacing w:val="34"/>
          <w:sz w:val="20"/>
        </w:rPr>
        <w:t> </w:t>
      </w:r>
      <w:r>
        <w:rPr>
          <w:sz w:val="20"/>
        </w:rPr>
        <w:t>akce</w:t>
      </w:r>
      <w:r>
        <w:rPr>
          <w:spacing w:val="34"/>
          <w:sz w:val="20"/>
        </w:rPr>
        <w:t> </w:t>
      </w:r>
      <w:r>
        <w:rPr>
          <w:sz w:val="20"/>
        </w:rPr>
        <w:t>bude</w:t>
      </w:r>
      <w:r>
        <w:rPr>
          <w:spacing w:val="35"/>
          <w:sz w:val="20"/>
        </w:rPr>
        <w:t> </w:t>
      </w:r>
      <w:r>
        <w:rPr>
          <w:sz w:val="20"/>
        </w:rPr>
        <w:t>provedena</w:t>
      </w:r>
      <w:r>
        <w:rPr>
          <w:spacing w:val="35"/>
          <w:sz w:val="20"/>
        </w:rPr>
        <w:t> </w:t>
      </w:r>
      <w:r>
        <w:rPr>
          <w:sz w:val="20"/>
        </w:rPr>
        <w:t>v souladu</w:t>
      </w:r>
      <w:r>
        <w:rPr>
          <w:spacing w:val="38"/>
          <w:sz w:val="20"/>
        </w:rPr>
        <w:t> </w:t>
      </w:r>
      <w:r>
        <w:rPr>
          <w:sz w:val="20"/>
        </w:rPr>
        <w:t>s Výzvou,</w:t>
      </w:r>
      <w:r>
        <w:rPr>
          <w:spacing w:val="35"/>
          <w:sz w:val="20"/>
        </w:rPr>
        <w:t> </w:t>
      </w:r>
      <w:r>
        <w:rPr>
          <w:sz w:val="20"/>
        </w:rPr>
        <w:t>žádostí</w:t>
      </w:r>
      <w:r>
        <w:rPr>
          <w:spacing w:val="35"/>
          <w:sz w:val="20"/>
        </w:rPr>
        <w:t> </w:t>
      </w:r>
      <w:r>
        <w:rPr>
          <w:sz w:val="20"/>
        </w:rPr>
        <w:t>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6,82 kWp a instalací akumulace o kapacitě 14,4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0"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2"/>
              <w:ind w:left="391"/>
              <w:rPr>
                <w:sz w:val="20"/>
              </w:rPr>
            </w:pPr>
            <w:r>
              <w:rPr>
                <w:spacing w:val="-5"/>
                <w:sz w:val="20"/>
              </w:rPr>
              <w:t>kWh</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14.40</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6.82</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5.84</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17.65</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3"/>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6.79</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76" w:lineRule="auto" w:before="120"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1"/>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7"/>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394"/>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2025-03-05T10:06:03Z</dcterms:created>
  <dcterms:modified xsi:type="dcterms:W3CDTF">2025-03-05T10:06:03Z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pro Microsoft 365</vt:lpwstr>
  </property>
  <property fmtid="{D5CDD505-2E9C-101B-9397-08002B2CF9AE}" pid="4" name="LastSaved">
    <vt:filetime>2025-03-05T00:00:00Z</vt:filetime>
  </property>
</Properties>
</file>