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D4FC6" w14:textId="77777777" w:rsidR="00DA22E1" w:rsidRDefault="00000000">
      <w:pPr>
        <w:pStyle w:val="Heading210"/>
        <w:keepNext/>
        <w:keepLines/>
        <w:pBdr>
          <w:top w:val="single" w:sz="0" w:space="0" w:color="C6CAC5"/>
          <w:left w:val="single" w:sz="0" w:space="0" w:color="C6CAC5"/>
          <w:bottom w:val="single" w:sz="0" w:space="5" w:color="C6CAC5"/>
          <w:right w:val="single" w:sz="0" w:space="0" w:color="C6CAC5"/>
        </w:pBdr>
        <w:shd w:val="clear" w:color="auto" w:fill="C6CAC5"/>
        <w:spacing w:line="310" w:lineRule="auto"/>
        <w:jc w:val="center"/>
      </w:pPr>
      <w:bookmarkStart w:id="0" w:name="bookmark0"/>
      <w:r>
        <w:rPr>
          <w:rStyle w:val="Heading21"/>
          <w:b/>
          <w:bCs/>
          <w:shd w:val="clear" w:color="auto" w:fill="C4C6C1"/>
        </w:rPr>
        <w:t>DODATEK Č. 19 KE SMLOUVĚ O POSKYTOVÁNÍ KOMPLEXNÍHO PRÁDELENSKÉHO SERVISU</w:t>
      </w:r>
      <w:r>
        <w:rPr>
          <w:rStyle w:val="Heading21"/>
          <w:b/>
          <w:bCs/>
          <w:shd w:val="clear" w:color="auto" w:fill="C4C6C1"/>
        </w:rPr>
        <w:br/>
        <w:t>ZE DNE 30.04.2014</w:t>
      </w:r>
      <w:bookmarkEnd w:id="0"/>
    </w:p>
    <w:p w14:paraId="4B5A1F25" w14:textId="77777777" w:rsidR="00DA22E1" w:rsidRDefault="00000000">
      <w:pPr>
        <w:pStyle w:val="Bodytext30"/>
        <w:ind w:firstLine="360"/>
      </w:pPr>
      <w:r>
        <w:rPr>
          <w:rStyle w:val="Bodytext3"/>
        </w:rPr>
        <w:t>dále také jen „Dodatek" uzavřený níže uvedeného dne, měsíce a roku mezi těmito smluvními stranami:</w:t>
      </w:r>
    </w:p>
    <w:p w14:paraId="5B699B77" w14:textId="77777777" w:rsidR="00DA22E1" w:rsidRDefault="00000000">
      <w:pPr>
        <w:pStyle w:val="Heading210"/>
        <w:keepNext/>
        <w:keepLines/>
        <w:numPr>
          <w:ilvl w:val="0"/>
          <w:numId w:val="1"/>
        </w:numPr>
        <w:tabs>
          <w:tab w:val="left" w:pos="691"/>
        </w:tabs>
      </w:pPr>
      <w:bookmarkStart w:id="1" w:name="bookmark2"/>
      <w:r>
        <w:rPr>
          <w:rStyle w:val="Heading21"/>
          <w:b/>
          <w:bCs/>
        </w:rPr>
        <w:t>Nemocnice Havířov, příspěvková organizace</w:t>
      </w:r>
      <w:bookmarkEnd w:id="1"/>
    </w:p>
    <w:p w14:paraId="7D7E19F0" w14:textId="77777777" w:rsidR="00DA22E1" w:rsidRDefault="00000000">
      <w:pPr>
        <w:pStyle w:val="Bodytext10"/>
        <w:spacing w:after="0"/>
        <w:ind w:firstLine="660"/>
        <w:jc w:val="both"/>
      </w:pPr>
      <w:r>
        <w:rPr>
          <w:rStyle w:val="Bodytext1"/>
        </w:rPr>
        <w:t>se sídlem: Dělnická 1132/24, Město, 736 01 Havířov</w:t>
      </w:r>
    </w:p>
    <w:p w14:paraId="69B61A19" w14:textId="77777777" w:rsidR="00DA22E1" w:rsidRDefault="00000000">
      <w:pPr>
        <w:pStyle w:val="Bodytext10"/>
        <w:spacing w:after="0"/>
        <w:ind w:firstLine="660"/>
        <w:jc w:val="both"/>
      </w:pPr>
      <w:r>
        <w:rPr>
          <w:rStyle w:val="Bodytext1"/>
        </w:rPr>
        <w:t>IČ: 008 44 896, DIČ: CZ 008 44 896</w:t>
      </w:r>
    </w:p>
    <w:p w14:paraId="0A14327D" w14:textId="577021FC" w:rsidR="00DA22E1" w:rsidRDefault="00000000">
      <w:pPr>
        <w:pStyle w:val="Bodytext10"/>
        <w:spacing w:after="0"/>
        <w:ind w:left="660" w:firstLine="40"/>
        <w:jc w:val="both"/>
      </w:pPr>
      <w:r>
        <w:rPr>
          <w:rStyle w:val="Bodytext1"/>
        </w:rPr>
        <w:t xml:space="preserve">zapsána v obchodním rejstříku vedeném Krajským soudem v Ostravě, v oddíle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, vložka 899 zastoupená: ředitel</w:t>
      </w:r>
    </w:p>
    <w:p w14:paraId="43E18D1F" w14:textId="77777777" w:rsidR="00DA22E1" w:rsidRDefault="00000000">
      <w:pPr>
        <w:pStyle w:val="Bodytext10"/>
        <w:ind w:firstLine="660"/>
        <w:jc w:val="both"/>
      </w:pPr>
      <w:r>
        <w:rPr>
          <w:rStyle w:val="Bodytext1"/>
        </w:rPr>
        <w:t xml:space="preserve">(dále i jen </w:t>
      </w:r>
      <w:r>
        <w:rPr>
          <w:rStyle w:val="Bodytext1"/>
          <w:b/>
          <w:bCs/>
        </w:rPr>
        <w:t>„Objednatel")</w:t>
      </w:r>
    </w:p>
    <w:p w14:paraId="3EEFC271" w14:textId="77777777" w:rsidR="00DA22E1" w:rsidRDefault="00000000">
      <w:pPr>
        <w:pStyle w:val="Bodytext10"/>
        <w:ind w:firstLine="660"/>
        <w:jc w:val="both"/>
      </w:pPr>
      <w:r>
        <w:rPr>
          <w:rStyle w:val="Bodytext1"/>
          <w:b/>
          <w:bCs/>
        </w:rPr>
        <w:t>a</w:t>
      </w:r>
    </w:p>
    <w:p w14:paraId="0F033D46" w14:textId="77777777" w:rsidR="00DA22E1" w:rsidRDefault="00000000">
      <w:pPr>
        <w:pStyle w:val="Heading210"/>
        <w:keepNext/>
        <w:keepLines/>
        <w:numPr>
          <w:ilvl w:val="0"/>
          <w:numId w:val="1"/>
        </w:numPr>
        <w:tabs>
          <w:tab w:val="left" w:pos="691"/>
        </w:tabs>
      </w:pPr>
      <w:bookmarkStart w:id="2" w:name="bookmark4"/>
      <w:proofErr w:type="spellStart"/>
      <w:r>
        <w:rPr>
          <w:rStyle w:val="Heading21"/>
          <w:b/>
          <w:bCs/>
        </w:rPr>
        <w:t>Leastex</w:t>
      </w:r>
      <w:proofErr w:type="spellEnd"/>
      <w:r>
        <w:rPr>
          <w:rStyle w:val="Heading21"/>
          <w:b/>
          <w:bCs/>
        </w:rPr>
        <w:t>, a.s.</w:t>
      </w:r>
      <w:bookmarkEnd w:id="2"/>
    </w:p>
    <w:p w14:paraId="0A526034" w14:textId="77777777" w:rsidR="00DA22E1" w:rsidRDefault="00000000">
      <w:pPr>
        <w:pStyle w:val="Bodytext10"/>
        <w:spacing w:after="0"/>
        <w:ind w:firstLine="660"/>
        <w:jc w:val="both"/>
      </w:pPr>
      <w:r>
        <w:rPr>
          <w:rStyle w:val="Bodytext1"/>
        </w:rPr>
        <w:t>se sídlem: K Myslivně 2140/61, Porubá, 708 00 Ostrava</w:t>
      </w:r>
    </w:p>
    <w:p w14:paraId="15416018" w14:textId="77777777" w:rsidR="00DA22E1" w:rsidRDefault="00000000">
      <w:pPr>
        <w:pStyle w:val="Bodytext10"/>
        <w:spacing w:after="0"/>
        <w:ind w:firstLine="660"/>
        <w:jc w:val="both"/>
      </w:pPr>
      <w:r>
        <w:rPr>
          <w:rStyle w:val="Bodytext1"/>
        </w:rPr>
        <w:t>IČ: 45192 731</w:t>
      </w:r>
    </w:p>
    <w:p w14:paraId="08102AD9" w14:textId="77777777" w:rsidR="00DA22E1" w:rsidRDefault="00000000">
      <w:pPr>
        <w:pStyle w:val="Bodytext10"/>
        <w:spacing w:after="0"/>
        <w:ind w:firstLine="660"/>
        <w:jc w:val="both"/>
      </w:pPr>
      <w:r>
        <w:rPr>
          <w:rStyle w:val="Bodytext1"/>
        </w:rPr>
        <w:t>DIČ: CZ45192731</w:t>
      </w:r>
    </w:p>
    <w:p w14:paraId="6F488E29" w14:textId="0DC65E8E" w:rsidR="00DA22E1" w:rsidRDefault="00000000">
      <w:pPr>
        <w:pStyle w:val="Bodytext10"/>
        <w:spacing w:after="0"/>
        <w:ind w:left="660" w:firstLine="40"/>
        <w:jc w:val="both"/>
      </w:pPr>
      <w:r>
        <w:rPr>
          <w:rStyle w:val="Bodytext1"/>
        </w:rPr>
        <w:t>zapsaná v obchodním rejstříku vedeném u Krajského soudu v Ostravě, oddíl B, vložka 434 jednající: TSC Management, s.r.o., předseda představenstva, se sídlem: Stodolní 316/2, Moravská Ostrava, 702 00 Ostrava, IČ: 199 38 608, zapsaná v obchodním rejstříku vedeném Krajským soudem v Ostravě, v oddíle C, vložka 94302, kterého při výkonu funkce zastupuje, na základě plné moci</w:t>
      </w:r>
      <w:proofErr w:type="gramStart"/>
      <w:r>
        <w:rPr>
          <w:rStyle w:val="Bodytext1"/>
        </w:rPr>
        <w:t>, ,</w:t>
      </w:r>
      <w:proofErr w:type="gramEnd"/>
      <w:r>
        <w:rPr>
          <w:rStyle w:val="Bodytext1"/>
        </w:rPr>
        <w:t xml:space="preserve"> člen představenstva</w:t>
      </w:r>
    </w:p>
    <w:p w14:paraId="4D82B819" w14:textId="0E2623C3" w:rsidR="00DA22E1" w:rsidRDefault="00000000">
      <w:pPr>
        <w:pStyle w:val="Bodytext10"/>
        <w:spacing w:after="0"/>
        <w:ind w:firstLine="660"/>
        <w:jc w:val="both"/>
      </w:pPr>
      <w:r>
        <w:rPr>
          <w:rStyle w:val="Bodytext1"/>
        </w:rPr>
        <w:t xml:space="preserve">bankovní spojení: </w:t>
      </w:r>
    </w:p>
    <w:p w14:paraId="2ADD8501" w14:textId="77777777" w:rsidR="00DA22E1" w:rsidRDefault="00000000">
      <w:pPr>
        <w:pStyle w:val="Bodytext10"/>
        <w:ind w:firstLine="660"/>
        <w:jc w:val="both"/>
      </w:pPr>
      <w:r>
        <w:rPr>
          <w:rStyle w:val="Bodytext1"/>
        </w:rPr>
        <w:t xml:space="preserve">(dále i jen </w:t>
      </w:r>
      <w:r>
        <w:rPr>
          <w:rStyle w:val="Bodytext1"/>
          <w:b/>
          <w:bCs/>
        </w:rPr>
        <w:t>„Poskytovatel")</w:t>
      </w:r>
    </w:p>
    <w:p w14:paraId="0F443CC0" w14:textId="77777777" w:rsidR="00DA22E1" w:rsidRDefault="00000000">
      <w:pPr>
        <w:pStyle w:val="Bodytext10"/>
        <w:numPr>
          <w:ilvl w:val="0"/>
          <w:numId w:val="2"/>
        </w:numPr>
        <w:tabs>
          <w:tab w:val="left" w:pos="691"/>
        </w:tabs>
        <w:spacing w:after="500"/>
        <w:ind w:left="660" w:hanging="660"/>
        <w:jc w:val="both"/>
      </w:pPr>
      <w:r>
        <w:rPr>
          <w:rStyle w:val="Bodytext1"/>
        </w:rPr>
        <w:t xml:space="preserve">Smluvní strany konstatují, že mezi nimi byla dne 30.04.2014 uzavřena Smlouva o poskytování komplexního prádelenského servisu (dále i jen „Smlouva"), a to ve znění později uzavřených dodatků, na </w:t>
      </w:r>
      <w:proofErr w:type="gramStart"/>
      <w:r>
        <w:rPr>
          <w:rStyle w:val="Bodytext1"/>
        </w:rPr>
        <w:t>podkladě</w:t>
      </w:r>
      <w:proofErr w:type="gramEnd"/>
      <w:r>
        <w:rPr>
          <w:rStyle w:val="Bodytext1"/>
        </w:rPr>
        <w:t xml:space="preserve"> které se Poskytovatel zavázal pro Objednatele poskytovat komplexní prádelenský servis a naopak Objednatel se zavázal hradit za toto Poskytovateli smluvní cenu.</w:t>
      </w:r>
    </w:p>
    <w:p w14:paraId="47DB4CDE" w14:textId="77777777" w:rsidR="00DA22E1" w:rsidRDefault="00000000">
      <w:pPr>
        <w:pStyle w:val="Bodytext10"/>
        <w:numPr>
          <w:ilvl w:val="0"/>
          <w:numId w:val="2"/>
        </w:numPr>
        <w:tabs>
          <w:tab w:val="left" w:pos="691"/>
        </w:tabs>
        <w:ind w:left="660" w:hanging="660"/>
        <w:jc w:val="both"/>
      </w:pPr>
      <w:r>
        <w:rPr>
          <w:rStyle w:val="Bodytext1"/>
        </w:rPr>
        <w:t xml:space="preserve">Smluvní strany se s odkazem na </w:t>
      </w:r>
      <w:proofErr w:type="spellStart"/>
      <w:r>
        <w:rPr>
          <w:rStyle w:val="Bodytext1"/>
        </w:rPr>
        <w:t>ust</w:t>
      </w:r>
      <w:proofErr w:type="spellEnd"/>
      <w:r>
        <w:rPr>
          <w:rStyle w:val="Bodytext1"/>
        </w:rPr>
        <w:t>. čl. 7 bodu 4 Smlouvy dohodly na uzavření Dodatku č. 19, jehož obsahem je navýšení cen za poskytování komplexního prádelenského servisu.</w:t>
      </w:r>
    </w:p>
    <w:p w14:paraId="4320C68D" w14:textId="77777777" w:rsidR="00DA22E1" w:rsidRDefault="00000000">
      <w:pPr>
        <w:pStyle w:val="Bodytext10"/>
        <w:numPr>
          <w:ilvl w:val="0"/>
          <w:numId w:val="2"/>
        </w:numPr>
        <w:tabs>
          <w:tab w:val="left" w:pos="691"/>
        </w:tabs>
      </w:pPr>
      <w:r>
        <w:rPr>
          <w:rStyle w:val="Bodytext1"/>
        </w:rPr>
        <w:t xml:space="preserve">S odkazem na výše uvedené se tak </w:t>
      </w:r>
      <w:proofErr w:type="spellStart"/>
      <w:r>
        <w:rPr>
          <w:rStyle w:val="Bodytext1"/>
        </w:rPr>
        <w:t>ust</w:t>
      </w:r>
      <w:proofErr w:type="spellEnd"/>
      <w:r>
        <w:rPr>
          <w:rStyle w:val="Bodytext1"/>
        </w:rPr>
        <w:t>. čl. 7 bodu 1 Smlouvy mění a nově z n í takto:</w:t>
      </w:r>
    </w:p>
    <w:p w14:paraId="5B6DEA42" w14:textId="77777777" w:rsidR="00DA22E1" w:rsidRDefault="00000000">
      <w:pPr>
        <w:pStyle w:val="Bodytext10"/>
        <w:spacing w:line="293" w:lineRule="auto"/>
        <w:ind w:left="660" w:firstLine="40"/>
        <w:jc w:val="both"/>
      </w:pPr>
      <w:r>
        <w:rPr>
          <w:rStyle w:val="Bodytext1"/>
          <w:i/>
          <w:iCs/>
        </w:rPr>
        <w:t>„Cena za provedení komplexního prádelenského servisu vedoucího k zajištění systémového prádla je stanovena 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2"/>
        <w:gridCol w:w="1418"/>
        <w:gridCol w:w="1699"/>
      </w:tblGrid>
      <w:tr w:rsidR="00DA22E1" w14:paraId="11E27AAB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5860" w:type="dxa"/>
            <w:gridSpan w:val="2"/>
            <w:shd w:val="clear" w:color="auto" w:fill="396C84"/>
            <w:vAlign w:val="center"/>
          </w:tcPr>
          <w:p w14:paraId="22C0DA6B" w14:textId="77777777" w:rsidR="00DA22E1" w:rsidRDefault="00000000">
            <w:pPr>
              <w:pStyle w:val="Other10"/>
              <w:pBdr>
                <w:top w:val="single" w:sz="0" w:space="0" w:color="2B6383"/>
                <w:left w:val="single" w:sz="0" w:space="0" w:color="2B6383"/>
                <w:bottom w:val="single" w:sz="0" w:space="0" w:color="2B6383"/>
                <w:right w:val="single" w:sz="0" w:space="0" w:color="2B6383"/>
              </w:pBdr>
              <w:shd w:val="clear" w:color="auto" w:fill="2B6383"/>
              <w:spacing w:after="0" w:line="240" w:lineRule="auto"/>
              <w:ind w:right="500"/>
              <w:jc w:val="right"/>
            </w:pPr>
            <w:r>
              <w:rPr>
                <w:rStyle w:val="Other1"/>
                <w:b/>
                <w:bCs/>
                <w:i/>
                <w:iCs/>
                <w:color w:val="FFFFFF"/>
              </w:rPr>
              <w:t>cena v Kč bez</w:t>
            </w:r>
          </w:p>
          <w:p w14:paraId="5B87F8B0" w14:textId="77777777" w:rsidR="00DA22E1" w:rsidRDefault="00000000">
            <w:pPr>
              <w:pStyle w:val="Other10"/>
              <w:pBdr>
                <w:top w:val="single" w:sz="0" w:space="0" w:color="2B6383"/>
                <w:left w:val="single" w:sz="0" w:space="0" w:color="2B6383"/>
                <w:bottom w:val="single" w:sz="0" w:space="0" w:color="2B6383"/>
                <w:right w:val="single" w:sz="0" w:space="0" w:color="2B6383"/>
              </w:pBdr>
              <w:shd w:val="clear" w:color="auto" w:fill="2B6383"/>
              <w:spacing w:after="0" w:line="240" w:lineRule="auto"/>
              <w:ind w:right="500"/>
              <w:jc w:val="right"/>
            </w:pPr>
            <w:r>
              <w:rPr>
                <w:rStyle w:val="Other1"/>
                <w:b/>
                <w:bCs/>
                <w:i/>
                <w:iCs/>
                <w:color w:val="FFFFFF"/>
              </w:rPr>
              <w:t>DPH</w:t>
            </w:r>
          </w:p>
        </w:tc>
        <w:tc>
          <w:tcPr>
            <w:tcW w:w="1699" w:type="dxa"/>
            <w:shd w:val="clear" w:color="auto" w:fill="396C84"/>
            <w:vAlign w:val="center"/>
          </w:tcPr>
          <w:p w14:paraId="0A5C4C29" w14:textId="77777777" w:rsidR="00DA22E1" w:rsidRDefault="00000000">
            <w:pPr>
              <w:pStyle w:val="Other10"/>
              <w:pBdr>
                <w:top w:val="single" w:sz="0" w:space="0" w:color="2C6181"/>
                <w:left w:val="single" w:sz="0" w:space="0" w:color="2C6181"/>
                <w:bottom w:val="single" w:sz="0" w:space="0" w:color="2C6181"/>
                <w:right w:val="single" w:sz="0" w:space="0" w:color="2C6181"/>
              </w:pBdr>
              <w:shd w:val="clear" w:color="auto" w:fill="2C6181"/>
              <w:spacing w:after="0"/>
              <w:jc w:val="center"/>
            </w:pPr>
            <w:r>
              <w:rPr>
                <w:rStyle w:val="Other1"/>
                <w:b/>
                <w:bCs/>
                <w:i/>
                <w:iCs/>
                <w:color w:val="FFFFFF"/>
              </w:rPr>
              <w:t>cena v Kč včetně DPH</w:t>
            </w:r>
          </w:p>
        </w:tc>
      </w:tr>
      <w:tr w:rsidR="00DA22E1" w14:paraId="272E3441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4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88A752" w14:textId="77777777" w:rsidR="00DA22E1" w:rsidRDefault="00000000">
            <w:pPr>
              <w:pStyle w:val="Other10"/>
              <w:spacing w:after="0"/>
            </w:pPr>
            <w:r>
              <w:rPr>
                <w:rStyle w:val="Other1"/>
                <w:b/>
                <w:bCs/>
                <w:i/>
                <w:iCs/>
              </w:rPr>
              <w:t xml:space="preserve">servis </w:t>
            </w:r>
            <w:proofErr w:type="spellStart"/>
            <w:r>
              <w:rPr>
                <w:rStyle w:val="Other1"/>
                <w:b/>
                <w:bCs/>
                <w:i/>
                <w:iCs/>
              </w:rPr>
              <w:t>Leastex</w:t>
            </w:r>
            <w:proofErr w:type="spellEnd"/>
            <w:r>
              <w:rPr>
                <w:rStyle w:val="Other1"/>
                <w:b/>
                <w:bCs/>
                <w:i/>
                <w:iCs/>
              </w:rPr>
              <w:t xml:space="preserve"> (RENATEX) - systémové a nesystémové prádlo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87CD47" w14:textId="77777777" w:rsidR="00DA22E1" w:rsidRDefault="00000000">
            <w:pPr>
              <w:pStyle w:val="Other10"/>
              <w:spacing w:after="0" w:line="240" w:lineRule="auto"/>
              <w:ind w:firstLine="600"/>
              <w:jc w:val="both"/>
            </w:pPr>
            <w:r>
              <w:rPr>
                <w:rStyle w:val="Other1"/>
                <w:b/>
                <w:bCs/>
                <w:i/>
                <w:iCs/>
              </w:rPr>
              <w:t>53,73 Kč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0A7E" w14:textId="77777777" w:rsidR="00DA22E1" w:rsidRDefault="00000000">
            <w:pPr>
              <w:pStyle w:val="Other10"/>
              <w:spacing w:after="0" w:line="240" w:lineRule="auto"/>
              <w:jc w:val="right"/>
            </w:pPr>
            <w:r>
              <w:rPr>
                <w:rStyle w:val="Other1"/>
                <w:b/>
                <w:bCs/>
                <w:i/>
                <w:iCs/>
              </w:rPr>
              <w:t>65,01 Kč</w:t>
            </w:r>
          </w:p>
        </w:tc>
      </w:tr>
      <w:tr w:rsidR="00DA22E1" w14:paraId="3428833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76919" w14:textId="77777777" w:rsidR="00DA22E1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  <w:i/>
                <w:iCs/>
              </w:rPr>
              <w:t>halena pracovní s dětským motivem za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A7A27F" w14:textId="77777777" w:rsidR="00DA22E1" w:rsidRDefault="00000000">
            <w:pPr>
              <w:pStyle w:val="Other10"/>
              <w:spacing w:after="0" w:line="240" w:lineRule="auto"/>
              <w:ind w:firstLine="600"/>
              <w:jc w:val="both"/>
            </w:pPr>
            <w:r>
              <w:rPr>
                <w:rStyle w:val="Other1"/>
                <w:b/>
                <w:bCs/>
                <w:i/>
                <w:iCs/>
              </w:rPr>
              <w:t>70,74 Kč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1C7BD" w14:textId="77777777" w:rsidR="00DA22E1" w:rsidRDefault="00000000">
            <w:pPr>
              <w:pStyle w:val="Other10"/>
              <w:spacing w:after="0" w:line="240" w:lineRule="auto"/>
              <w:jc w:val="right"/>
            </w:pPr>
            <w:r>
              <w:rPr>
                <w:rStyle w:val="Other1"/>
                <w:b/>
                <w:bCs/>
                <w:i/>
                <w:iCs/>
              </w:rPr>
              <w:t>85,59 Kč</w:t>
            </w:r>
          </w:p>
        </w:tc>
      </w:tr>
      <w:tr w:rsidR="00DA22E1" w14:paraId="37759BC3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3DA700" w14:textId="77777777" w:rsidR="00DA22E1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  <w:i/>
                <w:iCs/>
              </w:rPr>
              <w:t>halena sesterská, propínací, proužky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C6752" w14:textId="77777777" w:rsidR="00DA22E1" w:rsidRDefault="00000000">
            <w:pPr>
              <w:pStyle w:val="Other10"/>
              <w:spacing w:after="0" w:line="240" w:lineRule="auto"/>
              <w:ind w:firstLine="600"/>
              <w:jc w:val="both"/>
            </w:pPr>
            <w:r>
              <w:rPr>
                <w:rStyle w:val="Other1"/>
                <w:b/>
                <w:bCs/>
                <w:i/>
                <w:iCs/>
              </w:rPr>
              <w:t>70,73 Kč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470BB" w14:textId="77777777" w:rsidR="00DA22E1" w:rsidRDefault="00000000">
            <w:pPr>
              <w:pStyle w:val="Other10"/>
              <w:spacing w:after="0" w:line="240" w:lineRule="auto"/>
              <w:jc w:val="right"/>
            </w:pPr>
            <w:r>
              <w:rPr>
                <w:rStyle w:val="Other1"/>
                <w:b/>
                <w:bCs/>
                <w:i/>
                <w:iCs/>
              </w:rPr>
              <w:t>85,59 Kč</w:t>
            </w:r>
          </w:p>
        </w:tc>
      </w:tr>
      <w:tr w:rsidR="00DA22E1" w14:paraId="47BA4497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E55BFC" w14:textId="77777777" w:rsidR="00DA22E1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  <w:i/>
                <w:iCs/>
              </w:rPr>
              <w:t>opravy nesystémového prádla za hod.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06ABB6" w14:textId="77777777" w:rsidR="00DA22E1" w:rsidRDefault="00000000">
            <w:pPr>
              <w:pStyle w:val="Other10"/>
              <w:spacing w:after="0" w:line="240" w:lineRule="auto"/>
              <w:jc w:val="right"/>
            </w:pPr>
            <w:r>
              <w:rPr>
                <w:rStyle w:val="Other1"/>
                <w:b/>
                <w:bCs/>
                <w:i/>
                <w:iCs/>
              </w:rPr>
              <w:t>250,51 Kč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644CE" w14:textId="77777777" w:rsidR="00DA22E1" w:rsidRDefault="00000000">
            <w:pPr>
              <w:pStyle w:val="Other10"/>
              <w:spacing w:after="0" w:line="240" w:lineRule="auto"/>
              <w:jc w:val="right"/>
            </w:pPr>
            <w:r>
              <w:rPr>
                <w:rStyle w:val="Other1"/>
                <w:b/>
                <w:bCs/>
                <w:i/>
                <w:iCs/>
              </w:rPr>
              <w:t>303,12 Kč</w:t>
            </w:r>
          </w:p>
        </w:tc>
      </w:tr>
      <w:tr w:rsidR="00DA22E1" w14:paraId="7B3E8C85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E61FB5" w14:textId="77777777" w:rsidR="00DA22E1" w:rsidRDefault="00000000">
            <w:pPr>
              <w:pStyle w:val="Other10"/>
              <w:spacing w:after="0"/>
            </w:pPr>
            <w:r>
              <w:rPr>
                <w:rStyle w:val="Other1"/>
                <w:b/>
                <w:bCs/>
                <w:i/>
                <w:iCs/>
              </w:rPr>
              <w:t>všívání zipů včetně pořízení u nesystémového prádla za 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B4E33" w14:textId="77777777" w:rsidR="00DA22E1" w:rsidRDefault="00000000">
            <w:pPr>
              <w:pStyle w:val="Other10"/>
              <w:spacing w:after="0" w:line="240" w:lineRule="auto"/>
              <w:ind w:firstLine="480"/>
            </w:pPr>
            <w:r>
              <w:rPr>
                <w:rStyle w:val="Other1"/>
                <w:b/>
                <w:bCs/>
                <w:i/>
                <w:iCs/>
              </w:rPr>
              <w:t>300,62 Kč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E680" w14:textId="77777777" w:rsidR="00DA22E1" w:rsidRDefault="00000000">
            <w:pPr>
              <w:pStyle w:val="Other10"/>
              <w:spacing w:after="0" w:line="240" w:lineRule="auto"/>
              <w:jc w:val="right"/>
            </w:pPr>
            <w:r>
              <w:rPr>
                <w:rStyle w:val="Other1"/>
                <w:b/>
                <w:bCs/>
                <w:i/>
                <w:iCs/>
              </w:rPr>
              <w:t>363,74 Kč</w:t>
            </w:r>
          </w:p>
        </w:tc>
      </w:tr>
    </w:tbl>
    <w:p w14:paraId="29A1CA38" w14:textId="77777777" w:rsidR="00DA22E1" w:rsidRDefault="00DA22E1">
      <w:pPr>
        <w:spacing w:after="499" w:line="1" w:lineRule="exact"/>
      </w:pPr>
    </w:p>
    <w:p w14:paraId="3ED7A295" w14:textId="77777777" w:rsidR="00DA22E1" w:rsidRDefault="00000000">
      <w:pPr>
        <w:pStyle w:val="Bodytext10"/>
        <w:spacing w:after="40"/>
        <w:ind w:left="660" w:firstLine="40"/>
        <w:jc w:val="both"/>
      </w:pPr>
      <w:r>
        <w:rPr>
          <w:rStyle w:val="Bodytext1"/>
          <w:i/>
          <w:iCs/>
        </w:rPr>
        <w:t>Cena je stanovena jako pevná a lze ji upravit pouze za podmínek uvedených v čl. 7 odst. 4 této smlouvy. Cena zahrnuje veškeré náklady poskytovatele na kvalitní poskytnutí služby včetně veškerých rizik a vlivů (včetně inflačních a kurzových) během realizace předmětu smlouvy a</w:t>
      </w:r>
    </w:p>
    <w:p w14:paraId="7184F89B" w14:textId="77777777" w:rsidR="00DA22E1" w:rsidRDefault="00000000">
      <w:pPr>
        <w:pStyle w:val="Bodytext30"/>
        <w:ind w:firstLine="0"/>
        <w:jc w:val="center"/>
        <w:sectPr w:rsidR="00DA22E1">
          <w:pgSz w:w="11900" w:h="16840"/>
          <w:pgMar w:top="1004" w:right="1558" w:bottom="992" w:left="1530" w:header="576" w:footer="564" w:gutter="0"/>
          <w:pgNumType w:start="1"/>
          <w:cols w:space="720"/>
          <w:noEndnote/>
          <w:docGrid w:linePitch="360"/>
        </w:sectPr>
      </w:pPr>
      <w:r>
        <w:rPr>
          <w:rStyle w:val="Bodytext3"/>
          <w:b/>
          <w:bCs/>
        </w:rPr>
        <w:t>-1-</w:t>
      </w:r>
    </w:p>
    <w:p w14:paraId="15424148" w14:textId="77777777" w:rsidR="00DA22E1" w:rsidRDefault="00000000">
      <w:pPr>
        <w:pStyle w:val="Bodytext10"/>
        <w:ind w:left="680" w:firstLine="20"/>
        <w:jc w:val="both"/>
      </w:pPr>
      <w:r>
        <w:rPr>
          <w:rStyle w:val="Bodytext1"/>
          <w:i/>
          <w:iCs/>
        </w:rPr>
        <w:lastRenderedPageBreak/>
        <w:t>veškeré související náklady, jako jsou provozní náklady, náklady na pojištění, daně a jakékoliv další výdaje spojené s realizací předmětu smlouvy."</w:t>
      </w:r>
    </w:p>
    <w:p w14:paraId="29CF1B15" w14:textId="77777777" w:rsidR="00DA22E1" w:rsidRDefault="00000000">
      <w:pPr>
        <w:pStyle w:val="Bodytext10"/>
        <w:numPr>
          <w:ilvl w:val="0"/>
          <w:numId w:val="2"/>
        </w:numPr>
        <w:tabs>
          <w:tab w:val="left" w:pos="691"/>
        </w:tabs>
        <w:spacing w:line="288" w:lineRule="auto"/>
        <w:ind w:left="680" w:hanging="680"/>
        <w:jc w:val="both"/>
      </w:pPr>
      <w:r>
        <w:rPr>
          <w:rStyle w:val="Bodytext1"/>
        </w:rPr>
        <w:t xml:space="preserve">S odkazem na výše uvedené, s e dále Příloha č. 5 </w:t>
      </w:r>
      <w:proofErr w:type="gramStart"/>
      <w:r>
        <w:rPr>
          <w:rStyle w:val="Bodytext1"/>
        </w:rPr>
        <w:t>Smlouvy - Ceník</w:t>
      </w:r>
      <w:proofErr w:type="gramEnd"/>
      <w:r>
        <w:rPr>
          <w:rStyle w:val="Bodytext1"/>
        </w:rPr>
        <w:t xml:space="preserve"> systémového prádla (pořizovací ceny) </w:t>
      </w:r>
      <w:r>
        <w:rPr>
          <w:rStyle w:val="Bodytext1"/>
          <w:b/>
          <w:bCs/>
        </w:rPr>
        <w:t xml:space="preserve">ruší </w:t>
      </w:r>
      <w:proofErr w:type="spellStart"/>
      <w:r>
        <w:rPr>
          <w:rStyle w:val="Bodytext1"/>
          <w:b/>
          <w:bCs/>
        </w:rPr>
        <w:t>anahrazuje</w:t>
      </w:r>
      <w:proofErr w:type="spellEnd"/>
      <w:r>
        <w:rPr>
          <w:rStyle w:val="Bodytext1"/>
          <w:b/>
          <w:bCs/>
        </w:rPr>
        <w:t xml:space="preserve"> </w:t>
      </w:r>
      <w:r>
        <w:rPr>
          <w:rStyle w:val="Bodytext1"/>
        </w:rPr>
        <w:t>se novým zněním, jenž je nedílnou součástí tohoto Dodatku č. 19.</w:t>
      </w:r>
    </w:p>
    <w:p w14:paraId="094EC9C0" w14:textId="77777777" w:rsidR="00DA22E1" w:rsidRDefault="00000000">
      <w:pPr>
        <w:pStyle w:val="Bodytext10"/>
        <w:numPr>
          <w:ilvl w:val="0"/>
          <w:numId w:val="2"/>
        </w:numPr>
        <w:tabs>
          <w:tab w:val="left" w:pos="691"/>
        </w:tabs>
        <w:spacing w:line="293" w:lineRule="auto"/>
        <w:ind w:left="680" w:hanging="680"/>
        <w:jc w:val="both"/>
      </w:pPr>
      <w:r>
        <w:rPr>
          <w:rStyle w:val="Bodytext1"/>
        </w:rPr>
        <w:t>Dodatek č. 10 ze dne 24.10.2022, jímž byla Smlouva rozšířena o tzv. Palivový příplatek, s e s účinností k 01.01.2025 ruší.</w:t>
      </w:r>
    </w:p>
    <w:p w14:paraId="2E9E8B6A" w14:textId="77777777" w:rsidR="00DA22E1" w:rsidRDefault="00000000">
      <w:pPr>
        <w:pStyle w:val="Bodytext10"/>
        <w:numPr>
          <w:ilvl w:val="0"/>
          <w:numId w:val="2"/>
        </w:numPr>
        <w:tabs>
          <w:tab w:val="left" w:pos="691"/>
        </w:tabs>
        <w:spacing w:line="293" w:lineRule="auto"/>
        <w:ind w:left="680" w:hanging="680"/>
        <w:jc w:val="both"/>
      </w:pPr>
      <w:r>
        <w:rPr>
          <w:rStyle w:val="Bodytext1"/>
        </w:rPr>
        <w:t>Ostatní ujednání výše citované Smlouvy, tímto dodatkem nedotčená, zůstávají v platnosti beze změn.</w:t>
      </w:r>
    </w:p>
    <w:p w14:paraId="135731FC" w14:textId="77777777" w:rsidR="00DA22E1" w:rsidRDefault="00000000">
      <w:pPr>
        <w:pStyle w:val="Bodytext10"/>
        <w:numPr>
          <w:ilvl w:val="0"/>
          <w:numId w:val="2"/>
        </w:numPr>
        <w:tabs>
          <w:tab w:val="left" w:pos="691"/>
        </w:tabs>
        <w:spacing w:line="276" w:lineRule="auto"/>
        <w:ind w:left="680" w:hanging="680"/>
        <w:jc w:val="both"/>
      </w:pPr>
      <w:r>
        <w:rPr>
          <w:rStyle w:val="Bodytext1"/>
        </w:rP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 </w:t>
      </w:r>
      <w:r>
        <w:rPr>
          <w:rStyle w:val="Bodytext1"/>
          <w:b/>
          <w:bCs/>
        </w:rPr>
        <w:t>Smluvní strany se zároveň dohodly, že práva a povinnosti vyplývající z tohoto dodatku jsou pro smluvní strany závazné a tyto se jimi budou řídit od 01.01.2025.</w:t>
      </w:r>
    </w:p>
    <w:p w14:paraId="1325472C" w14:textId="77777777" w:rsidR="00DA22E1" w:rsidRDefault="00000000">
      <w:pPr>
        <w:pStyle w:val="Bodytext10"/>
        <w:numPr>
          <w:ilvl w:val="0"/>
          <w:numId w:val="2"/>
        </w:numPr>
        <w:tabs>
          <w:tab w:val="left" w:pos="691"/>
        </w:tabs>
        <w:spacing w:line="283" w:lineRule="auto"/>
        <w:ind w:left="680" w:hanging="680"/>
        <w:jc w:val="both"/>
      </w:pPr>
      <w:r>
        <w:rPr>
          <w:rStyle w:val="Bodytext1"/>
        </w:rPr>
        <w:t>Tento Dodatek č. 19 je vyhotoven ve dvou stejnopisech, každý s platností originálu, z nichž každá ze smluvních stran obdrží po jednom vyhotovení. Obě smluvní strany současně prohlašují, že si tento Dodatek přečetly, že byl uzavřen podle jejich pravé a svobodné vůle, určitě a srozumitelně, nikoliv v tísni a za nápadně nevýhodných podmínek, což stvrzují vlastnoručními podpisy</w:t>
      </w:r>
    </w:p>
    <w:p w14:paraId="1828266C" w14:textId="44A4485E" w:rsidR="00DA22E1" w:rsidRDefault="00000000">
      <w:pPr>
        <w:pStyle w:val="Bodytext10"/>
        <w:tabs>
          <w:tab w:val="left" w:pos="1397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54610" distB="1303020" distL="114300" distR="1600200" simplePos="0" relativeHeight="125829378" behindDoc="0" locked="0" layoutInCell="1" allowOverlap="1" wp14:anchorId="14E773A4" wp14:editId="0E4C1C12">
                <wp:simplePos x="0" y="0"/>
                <wp:positionH relativeFrom="page">
                  <wp:posOffset>1031240</wp:posOffset>
                </wp:positionH>
                <wp:positionV relativeFrom="paragraph">
                  <wp:posOffset>334010</wp:posOffset>
                </wp:positionV>
                <wp:extent cx="891540" cy="1555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1A95D4" w14:textId="77777777" w:rsidR="00DA22E1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V Havířově,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1.200000000000003pt;margin-top:26.300000000000001pt;width:70.200000000000003pt;height:12.25pt;z-index:-125829375;mso-wrap-distance-left:9.pt;mso-wrap-distance-top:4.2999999999999998pt;mso-wrap-distance-right:126.pt;mso-wrap-distance-bottom:102.6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V Havířově,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EED07CB" wp14:editId="15043681">
                <wp:simplePos x="0" y="0"/>
                <wp:positionH relativeFrom="page">
                  <wp:posOffset>2265680</wp:posOffset>
                </wp:positionH>
                <wp:positionV relativeFrom="paragraph">
                  <wp:posOffset>279400</wp:posOffset>
                </wp:positionV>
                <wp:extent cx="662940" cy="20129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4668BE" w14:textId="77777777" w:rsidR="00DA22E1" w:rsidRDefault="00000000">
                            <w:pPr>
                              <w:pStyle w:val="Picturecaption10"/>
                              <w:spacing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icturecaption1"/>
                                <w:sz w:val="20"/>
                                <w:szCs w:val="20"/>
                              </w:rPr>
                              <w:t>5, 02, 2025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EED07CB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178.4pt;margin-top:22pt;width:52.2pt;height:15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" filled="f" stroked="f">
                <v:textbox inset="0,0,0,0">
                  <w:txbxContent>
                    <w:p w14:paraId="4D4668BE" w14:textId="77777777" w:rsidR="00DA22E1" w:rsidRDefault="00000000">
                      <w:pPr>
                        <w:pStyle w:val="Picturecaption10"/>
                        <w:spacing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Picturecaption1"/>
                          <w:sz w:val="20"/>
                          <w:szCs w:val="20"/>
                        </w:rPr>
                        <w:t>5, 02, 2025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Bodytext1"/>
          <w:b/>
          <w:bCs/>
        </w:rPr>
        <w:t>Přílohy:</w:t>
      </w:r>
      <w:r>
        <w:rPr>
          <w:rStyle w:val="Bodytext1"/>
          <w:b/>
          <w:bCs/>
        </w:rPr>
        <w:tab/>
      </w:r>
      <w:r>
        <w:rPr>
          <w:rStyle w:val="Bodytext1"/>
        </w:rPr>
        <w:t>Příloha č. 5 - Ceník systémového prádla (pořizovací ceny)</w:t>
      </w:r>
    </w:p>
    <w:p w14:paraId="5756C2FE" w14:textId="77777777" w:rsidR="00DA22E1" w:rsidRDefault="00000000">
      <w:pPr>
        <w:pStyle w:val="Bodytext10"/>
        <w:spacing w:after="180" w:line="240" w:lineRule="auto"/>
        <w:ind w:firstLine="820"/>
      </w:pPr>
      <w:r>
        <w:rPr>
          <w:rStyle w:val="Bodytext1"/>
        </w:rPr>
        <w:t>V Ostravě, dne 03.01.2025</w:t>
      </w:r>
    </w:p>
    <w:p w14:paraId="5B8B6035" w14:textId="77777777" w:rsidR="00866D4C" w:rsidRDefault="00866D4C">
      <w:pPr>
        <w:pStyle w:val="Bodytext20"/>
        <w:spacing w:after="480" w:line="290" w:lineRule="auto"/>
        <w:ind w:left="3620"/>
        <w:rPr>
          <w:rStyle w:val="Bodytext2"/>
        </w:rPr>
      </w:pPr>
    </w:p>
    <w:p w14:paraId="70646E7D" w14:textId="77777777" w:rsidR="00866D4C" w:rsidRDefault="00866D4C">
      <w:pPr>
        <w:pStyle w:val="Bodytext20"/>
        <w:spacing w:after="480" w:line="290" w:lineRule="auto"/>
        <w:ind w:left="3620"/>
        <w:rPr>
          <w:rStyle w:val="Bodytext2"/>
        </w:rPr>
      </w:pPr>
    </w:p>
    <w:p w14:paraId="1F727D52" w14:textId="77777777" w:rsidR="00866D4C" w:rsidRDefault="00866D4C">
      <w:pPr>
        <w:pStyle w:val="Bodytext20"/>
        <w:spacing w:after="480" w:line="290" w:lineRule="auto"/>
        <w:ind w:left="3620"/>
        <w:rPr>
          <w:rStyle w:val="Bodytext2"/>
        </w:rPr>
      </w:pPr>
    </w:p>
    <w:p w14:paraId="270AC0A8" w14:textId="77777777" w:rsidR="00866D4C" w:rsidRDefault="00866D4C">
      <w:pPr>
        <w:pStyle w:val="Bodytext20"/>
        <w:spacing w:after="480" w:line="290" w:lineRule="auto"/>
        <w:ind w:left="3620"/>
        <w:rPr>
          <w:rStyle w:val="Bodytext2"/>
        </w:rPr>
      </w:pPr>
    </w:p>
    <w:p w14:paraId="7055F5BF" w14:textId="77777777" w:rsidR="00866D4C" w:rsidRDefault="00866D4C">
      <w:pPr>
        <w:pStyle w:val="Bodytext20"/>
        <w:spacing w:after="480" w:line="290" w:lineRule="auto"/>
        <w:ind w:left="3620"/>
        <w:rPr>
          <w:rStyle w:val="Bodytext2"/>
        </w:rPr>
      </w:pPr>
    </w:p>
    <w:p w14:paraId="19D90270" w14:textId="77777777" w:rsidR="00866D4C" w:rsidRDefault="00866D4C">
      <w:pPr>
        <w:pStyle w:val="Bodytext20"/>
        <w:spacing w:after="480" w:line="290" w:lineRule="auto"/>
        <w:ind w:left="3620"/>
        <w:rPr>
          <w:rStyle w:val="Bodytext2"/>
        </w:rPr>
      </w:pPr>
    </w:p>
    <w:p w14:paraId="5635CD9C" w14:textId="77777777" w:rsidR="00866D4C" w:rsidRDefault="00866D4C">
      <w:pPr>
        <w:pStyle w:val="Bodytext20"/>
        <w:spacing w:after="480" w:line="290" w:lineRule="auto"/>
        <w:ind w:left="3620"/>
        <w:rPr>
          <w:rStyle w:val="Bodytext2"/>
        </w:rPr>
      </w:pPr>
    </w:p>
    <w:p w14:paraId="330C5F4E" w14:textId="77777777" w:rsidR="00866D4C" w:rsidRDefault="00866D4C">
      <w:pPr>
        <w:pStyle w:val="Bodytext20"/>
        <w:spacing w:after="480" w:line="290" w:lineRule="auto"/>
        <w:ind w:left="3620"/>
        <w:rPr>
          <w:rStyle w:val="Bodytext2"/>
        </w:rPr>
      </w:pPr>
    </w:p>
    <w:p w14:paraId="08CF0113" w14:textId="691DB096" w:rsidR="00DA22E1" w:rsidRDefault="00000000">
      <w:pPr>
        <w:pStyle w:val="Bodytext20"/>
        <w:spacing w:after="480" w:line="290" w:lineRule="auto"/>
        <w:ind w:left="3620"/>
      </w:pPr>
      <w:r>
        <w:rPr>
          <w:rStyle w:val="Bodytext2"/>
        </w:rPr>
        <w:t xml:space="preserve">Dodatek č. 19 ke Smlouvě o poskytování komplexního prádelenského servisu </w:t>
      </w:r>
      <w:proofErr w:type="spellStart"/>
      <w:r>
        <w:rPr>
          <w:rStyle w:val="Bodytext2"/>
        </w:rPr>
        <w:t>Leastex</w:t>
      </w:r>
      <w:proofErr w:type="spellEnd"/>
      <w:r>
        <w:rPr>
          <w:rStyle w:val="Bodytext2"/>
        </w:rPr>
        <w:t>, a.s. x Nemocnice s poliklinikou Havířov</w:t>
      </w:r>
    </w:p>
    <w:p w14:paraId="0868DAFF" w14:textId="77777777" w:rsidR="00DA22E1" w:rsidRDefault="00000000">
      <w:pPr>
        <w:pStyle w:val="Tablecaption10"/>
        <w:ind w:left="799"/>
      </w:pPr>
      <w:r>
        <w:rPr>
          <w:rStyle w:val="Tablecaption1"/>
          <w:b/>
          <w:bCs/>
        </w:rPr>
        <w:lastRenderedPageBreak/>
        <w:t>Příloha č. 5 - CENÍK SYSTÉMOVÉHO PRÁDLA (pořizovací ceny)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1418"/>
        <w:gridCol w:w="1692"/>
      </w:tblGrid>
      <w:tr w:rsidR="00DA22E1" w14:paraId="2FDF570B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428" w:type="dxa"/>
            <w:shd w:val="clear" w:color="auto" w:fill="396C84"/>
            <w:vAlign w:val="center"/>
          </w:tcPr>
          <w:p w14:paraId="39A618BE" w14:textId="77777777" w:rsidR="00DA22E1" w:rsidRDefault="00000000">
            <w:pPr>
              <w:pStyle w:val="Other10"/>
              <w:pBdr>
                <w:top w:val="single" w:sz="0" w:space="0" w:color="487686"/>
                <w:left w:val="single" w:sz="0" w:space="0" w:color="487686"/>
                <w:bottom w:val="single" w:sz="0" w:space="0" w:color="487686"/>
                <w:right w:val="single" w:sz="0" w:space="0" w:color="487686"/>
              </w:pBdr>
              <w:shd w:val="clear" w:color="auto" w:fill="487686"/>
              <w:spacing w:after="0" w:line="240" w:lineRule="auto"/>
            </w:pPr>
            <w:r>
              <w:rPr>
                <w:rStyle w:val="Other1"/>
                <w:b/>
                <w:bCs/>
                <w:color w:val="FFFFFF"/>
                <w:shd w:val="clear" w:color="auto" w:fill="46717F"/>
              </w:rPr>
              <w:t>Sortiment</w:t>
            </w:r>
          </w:p>
        </w:tc>
        <w:tc>
          <w:tcPr>
            <w:tcW w:w="1418" w:type="dxa"/>
            <w:shd w:val="clear" w:color="auto" w:fill="396C84"/>
            <w:vAlign w:val="bottom"/>
          </w:tcPr>
          <w:p w14:paraId="340FFC07" w14:textId="77777777" w:rsidR="00DA22E1" w:rsidRDefault="00000000">
            <w:pPr>
              <w:pStyle w:val="Other10"/>
              <w:pBdr>
                <w:top w:val="single" w:sz="0" w:space="0" w:color="487585"/>
                <w:left w:val="single" w:sz="0" w:space="0" w:color="487585"/>
                <w:bottom w:val="single" w:sz="0" w:space="0" w:color="487585"/>
                <w:right w:val="single" w:sz="0" w:space="0" w:color="487585"/>
              </w:pBdr>
              <w:shd w:val="clear" w:color="auto" w:fill="487585"/>
              <w:spacing w:after="0" w:line="262" w:lineRule="auto"/>
              <w:jc w:val="center"/>
            </w:pPr>
            <w:r>
              <w:rPr>
                <w:rStyle w:val="Other1"/>
                <w:b/>
                <w:bCs/>
                <w:color w:val="FFFFFF"/>
                <w:shd w:val="clear" w:color="auto" w:fill="46717F"/>
              </w:rPr>
              <w:t>Pořizovací cena bez DPH (v</w:t>
            </w:r>
            <w:r>
              <w:rPr>
                <w:rStyle w:val="Other1"/>
                <w:b/>
                <w:bCs/>
                <w:color w:val="FFFFFF"/>
              </w:rPr>
              <w:t xml:space="preserve"> </w:t>
            </w:r>
            <w:r>
              <w:rPr>
                <w:rStyle w:val="Other1"/>
                <w:b/>
                <w:bCs/>
                <w:color w:val="FFFFFF"/>
                <w:shd w:val="clear" w:color="auto" w:fill="46717F"/>
              </w:rPr>
              <w:t>Kč)</w:t>
            </w:r>
          </w:p>
        </w:tc>
        <w:tc>
          <w:tcPr>
            <w:tcW w:w="1692" w:type="dxa"/>
            <w:shd w:val="clear" w:color="auto" w:fill="396C84"/>
            <w:vAlign w:val="bottom"/>
          </w:tcPr>
          <w:p w14:paraId="64446B90" w14:textId="77777777" w:rsidR="00DA22E1" w:rsidRDefault="00000000">
            <w:pPr>
              <w:pStyle w:val="Other10"/>
              <w:pBdr>
                <w:top w:val="single" w:sz="0" w:space="0" w:color="437685"/>
                <w:left w:val="single" w:sz="0" w:space="0" w:color="437685"/>
                <w:bottom w:val="single" w:sz="0" w:space="0" w:color="437685"/>
                <w:right w:val="single" w:sz="0" w:space="0" w:color="437685"/>
              </w:pBdr>
              <w:shd w:val="clear" w:color="auto" w:fill="437685"/>
              <w:spacing w:after="0" w:line="262" w:lineRule="auto"/>
              <w:jc w:val="center"/>
            </w:pPr>
            <w:r>
              <w:rPr>
                <w:rStyle w:val="Other1"/>
                <w:b/>
                <w:bCs/>
                <w:color w:val="FFFFFF"/>
                <w:shd w:val="clear" w:color="auto" w:fill="46717F"/>
              </w:rPr>
              <w:t>pořizovací cena s DPH (v Kč)</w:t>
            </w:r>
          </w:p>
        </w:tc>
      </w:tr>
      <w:tr w:rsidR="00DA22E1" w14:paraId="58FC093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428" w:type="dxa"/>
            <w:tcBorders>
              <w:left w:val="single" w:sz="4" w:space="0" w:color="auto"/>
            </w:tcBorders>
            <w:shd w:val="clear" w:color="auto" w:fill="30ADEB"/>
            <w:vAlign w:val="bottom"/>
          </w:tcPr>
          <w:p w14:paraId="261B11C5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color w:val="33494F"/>
                <w:sz w:val="17"/>
                <w:szCs w:val="17"/>
                <w:shd w:val="clear" w:color="auto" w:fill="30A9D1"/>
              </w:rPr>
              <w:t xml:space="preserve">ložní </w:t>
            </w:r>
            <w:proofErr w:type="gramStart"/>
            <w:r>
              <w:rPr>
                <w:rStyle w:val="Other1"/>
                <w:color w:val="33494F"/>
                <w:sz w:val="17"/>
                <w:szCs w:val="17"/>
                <w:shd w:val="clear" w:color="auto" w:fill="30A9D1"/>
              </w:rPr>
              <w:t>prádlo - rovné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30ADEB"/>
          </w:tcPr>
          <w:p w14:paraId="7785850F" w14:textId="77777777" w:rsidR="00DA22E1" w:rsidRDefault="00DA22E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30ADEB"/>
          </w:tcPr>
          <w:p w14:paraId="584E9020" w14:textId="77777777" w:rsidR="00DA22E1" w:rsidRDefault="00DA22E1">
            <w:pPr>
              <w:rPr>
                <w:sz w:val="10"/>
                <w:szCs w:val="10"/>
              </w:rPr>
            </w:pPr>
          </w:p>
        </w:tc>
      </w:tr>
      <w:tr w:rsidR="00DA22E1" w14:paraId="0E08AF45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FB85C2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povlak na polštář standard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475571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114,90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B475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139,03 Kč</w:t>
            </w:r>
          </w:p>
        </w:tc>
      </w:tr>
      <w:tr w:rsidR="00DA22E1" w14:paraId="5ACB66C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389778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povlak na polštář dětský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7D9A4" w14:textId="77777777" w:rsidR="00DA22E1" w:rsidRDefault="00000000">
            <w:pPr>
              <w:pStyle w:val="Other10"/>
              <w:spacing w:after="0" w:line="240" w:lineRule="auto"/>
              <w:jc w:val="right"/>
            </w:pPr>
            <w:r>
              <w:rPr>
                <w:rStyle w:val="Other1"/>
                <w:b/>
                <w:bCs/>
              </w:rPr>
              <w:t>75,15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55CF2" w14:textId="77777777" w:rsidR="00DA22E1" w:rsidRDefault="00000000">
            <w:pPr>
              <w:pStyle w:val="Other10"/>
              <w:spacing w:after="0" w:line="240" w:lineRule="auto"/>
              <w:ind w:firstLine="820"/>
              <w:jc w:val="both"/>
            </w:pPr>
            <w:r>
              <w:rPr>
                <w:rStyle w:val="Other1"/>
                <w:b/>
                <w:bCs/>
              </w:rPr>
              <w:t>90,93 Kč</w:t>
            </w:r>
          </w:p>
        </w:tc>
      </w:tr>
      <w:tr w:rsidR="00DA22E1" w14:paraId="3E238AF2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21F2E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povlak na přikrývku standard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E30778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362,90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265AE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439,11 Kč</w:t>
            </w:r>
          </w:p>
        </w:tc>
      </w:tr>
      <w:tr w:rsidR="00DA22E1" w14:paraId="15EECAF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962B5F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povlak na přikrývku dětskou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AC3F6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192,06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964C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232,39 Kč</w:t>
            </w:r>
          </w:p>
        </w:tc>
      </w:tr>
      <w:tr w:rsidR="00DA22E1" w14:paraId="682D625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ED01D5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prostěradlo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6C0047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230,47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36A9A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278,87 Kč</w:t>
            </w:r>
          </w:p>
        </w:tc>
      </w:tr>
      <w:tr w:rsidR="00DA22E1" w14:paraId="088FD9C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23BAD8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podložka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C3AC42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147,38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5E3C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178,33 Kč</w:t>
            </w:r>
          </w:p>
        </w:tc>
      </w:tr>
      <w:tr w:rsidR="00DA22E1" w14:paraId="73DBFC1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A145D6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ručník obyčejný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0E739" w14:textId="77777777" w:rsidR="00DA22E1" w:rsidRDefault="00000000">
            <w:pPr>
              <w:pStyle w:val="Other10"/>
              <w:spacing w:after="0" w:line="240" w:lineRule="auto"/>
              <w:ind w:firstLine="600"/>
              <w:jc w:val="both"/>
            </w:pPr>
            <w:r>
              <w:rPr>
                <w:rStyle w:val="Other1"/>
                <w:b/>
                <w:bCs/>
              </w:rPr>
              <w:t>53,44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376AA" w14:textId="77777777" w:rsidR="00DA22E1" w:rsidRDefault="00000000">
            <w:pPr>
              <w:pStyle w:val="Other10"/>
              <w:spacing w:after="0" w:line="240" w:lineRule="auto"/>
              <w:ind w:firstLine="820"/>
              <w:jc w:val="both"/>
            </w:pPr>
            <w:r>
              <w:rPr>
                <w:rStyle w:val="Other1"/>
                <w:b/>
                <w:bCs/>
              </w:rPr>
              <w:t>64,66 Kč</w:t>
            </w:r>
          </w:p>
        </w:tc>
      </w:tr>
      <w:tr w:rsidR="00DA22E1" w14:paraId="2A14AE2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632897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ručník froté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191D12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113,56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D0ACF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137,41 Kč</w:t>
            </w:r>
          </w:p>
        </w:tc>
      </w:tr>
      <w:tr w:rsidR="00DA22E1" w14:paraId="6AC37233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69A086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pytel na prádlo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4021C6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176,59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C94C1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213,67 Kč</w:t>
            </w:r>
          </w:p>
        </w:tc>
      </w:tr>
      <w:tr w:rsidR="00DA22E1" w14:paraId="59CE6AE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00F04F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osuška tetra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0FE21D" w14:textId="77777777" w:rsidR="00DA22E1" w:rsidRDefault="00000000">
            <w:pPr>
              <w:pStyle w:val="Other10"/>
              <w:spacing w:after="0" w:line="240" w:lineRule="auto"/>
              <w:jc w:val="right"/>
            </w:pPr>
            <w:r>
              <w:rPr>
                <w:rStyle w:val="Other1"/>
                <w:b/>
                <w:bCs/>
              </w:rPr>
              <w:t>63,16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23D17" w14:textId="77777777" w:rsidR="00DA22E1" w:rsidRDefault="00000000">
            <w:pPr>
              <w:pStyle w:val="Other10"/>
              <w:spacing w:after="0" w:line="240" w:lineRule="auto"/>
              <w:ind w:firstLine="820"/>
              <w:jc w:val="both"/>
            </w:pPr>
            <w:r>
              <w:rPr>
                <w:rStyle w:val="Other1"/>
                <w:b/>
                <w:bCs/>
              </w:rPr>
              <w:t>76,42 Kč</w:t>
            </w:r>
          </w:p>
        </w:tc>
      </w:tr>
      <w:tr w:rsidR="00DA22E1" w14:paraId="6635D8F7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E9028D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utěrka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13D01D" w14:textId="77777777" w:rsidR="00DA22E1" w:rsidRDefault="00000000">
            <w:pPr>
              <w:pStyle w:val="Other10"/>
              <w:spacing w:after="0" w:line="240" w:lineRule="auto"/>
              <w:ind w:firstLine="600"/>
              <w:jc w:val="both"/>
            </w:pPr>
            <w:r>
              <w:rPr>
                <w:rStyle w:val="Other1"/>
                <w:b/>
                <w:bCs/>
              </w:rPr>
              <w:t>33,40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A9CD" w14:textId="77777777" w:rsidR="00DA22E1" w:rsidRDefault="00000000">
            <w:pPr>
              <w:pStyle w:val="Other10"/>
              <w:spacing w:after="0" w:line="240" w:lineRule="auto"/>
              <w:ind w:firstLine="820"/>
              <w:jc w:val="both"/>
            </w:pPr>
            <w:r>
              <w:rPr>
                <w:rStyle w:val="Other1"/>
                <w:b/>
                <w:bCs/>
              </w:rPr>
              <w:t>40,42 Kč</w:t>
            </w:r>
          </w:p>
        </w:tc>
      </w:tr>
      <w:tr w:rsidR="00DA22E1" w14:paraId="5E6FAE91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30ADEB"/>
            <w:vAlign w:val="bottom"/>
          </w:tcPr>
          <w:p w14:paraId="3AD15E1D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  <w:shd w:val="clear" w:color="auto" w:fill="30A9D1"/>
              </w:rPr>
              <w:t>prádlo pacientů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30ADEB"/>
          </w:tcPr>
          <w:p w14:paraId="0D1444F9" w14:textId="77777777" w:rsidR="00DA22E1" w:rsidRDefault="00DA22E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0ADEB"/>
          </w:tcPr>
          <w:p w14:paraId="5DA6AE0A" w14:textId="77777777" w:rsidR="00DA22E1" w:rsidRDefault="00DA22E1">
            <w:pPr>
              <w:rPr>
                <w:sz w:val="10"/>
                <w:szCs w:val="10"/>
              </w:rPr>
            </w:pPr>
          </w:p>
        </w:tc>
      </w:tr>
      <w:tr w:rsidR="00DA22E1" w14:paraId="5E7F419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8D0F5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 xml:space="preserve">kabátek pyžamový </w:t>
            </w:r>
            <w:proofErr w:type="spellStart"/>
            <w:r>
              <w:rPr>
                <w:rStyle w:val="Other1"/>
                <w:sz w:val="17"/>
                <w:szCs w:val="17"/>
              </w:rPr>
              <w:t>dosp</w:t>
            </w:r>
            <w:proofErr w:type="spellEnd"/>
            <w:r>
              <w:rPr>
                <w:rStyle w:val="Other1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53082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300,61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2951D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363,74 Kč</w:t>
            </w:r>
          </w:p>
        </w:tc>
      </w:tr>
      <w:tr w:rsidR="00DA22E1" w14:paraId="79EB9D9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051A32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kabátek pyžamový dětský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ADB2A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163,67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69C6B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198,04 Kč</w:t>
            </w:r>
          </w:p>
        </w:tc>
      </w:tr>
      <w:tr w:rsidR="00DA22E1" w14:paraId="471CDF9B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0AB40D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 xml:space="preserve">kalhoty pyžamové </w:t>
            </w:r>
            <w:proofErr w:type="spellStart"/>
            <w:r>
              <w:rPr>
                <w:rStyle w:val="Other1"/>
                <w:sz w:val="17"/>
                <w:szCs w:val="17"/>
              </w:rPr>
              <w:t>dosp</w:t>
            </w:r>
            <w:proofErr w:type="spellEnd"/>
            <w:r>
              <w:rPr>
                <w:rStyle w:val="Other1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AA4817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252,18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C6D5F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305,14 Kč</w:t>
            </w:r>
          </w:p>
        </w:tc>
      </w:tr>
      <w:tr w:rsidR="00DA22E1" w14:paraId="7176C70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BB0E28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kalhoty pyžamové dětské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1AEDFF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116,90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924D5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141,45 Kč</w:t>
            </w:r>
          </w:p>
        </w:tc>
      </w:tr>
      <w:tr w:rsidR="00DA22E1" w14:paraId="3A5E088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BD8A70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košile "anděl"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74EE7D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308,96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DF85D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373,84 Kč</w:t>
            </w:r>
          </w:p>
        </w:tc>
      </w:tr>
      <w:tr w:rsidR="00DA22E1" w14:paraId="076E233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7965D4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košile noční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444080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325,66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B10BE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394,05 Kč</w:t>
            </w:r>
          </w:p>
        </w:tc>
      </w:tr>
      <w:tr w:rsidR="00DA22E1" w14:paraId="1DC60BF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4AB7B3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 xml:space="preserve">župan </w:t>
            </w:r>
            <w:proofErr w:type="spellStart"/>
            <w:r>
              <w:rPr>
                <w:rStyle w:val="Other1"/>
                <w:sz w:val="17"/>
                <w:szCs w:val="17"/>
              </w:rPr>
              <w:t>dosp</w:t>
            </w:r>
            <w:proofErr w:type="spellEnd"/>
            <w:r>
              <w:rPr>
                <w:rStyle w:val="Other1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60E03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597,88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48DF0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723,43 Kč</w:t>
            </w:r>
          </w:p>
        </w:tc>
      </w:tr>
      <w:tr w:rsidR="00DA22E1" w14:paraId="35C12F02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C63CDA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košilka kojenecká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195887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108,55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60B03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131,35 Kč</w:t>
            </w:r>
          </w:p>
        </w:tc>
      </w:tr>
      <w:tr w:rsidR="00DA22E1" w14:paraId="0EEB519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352D0D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dupačky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E36F2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175,36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EB8FB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212,18 Kč</w:t>
            </w:r>
          </w:p>
        </w:tc>
      </w:tr>
      <w:tr w:rsidR="00DA22E1" w14:paraId="505AB71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52674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pleny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C116DD" w14:textId="77777777" w:rsidR="00DA22E1" w:rsidRDefault="00000000">
            <w:pPr>
              <w:pStyle w:val="Other10"/>
              <w:spacing w:after="0" w:line="240" w:lineRule="auto"/>
              <w:ind w:firstLine="600"/>
              <w:jc w:val="both"/>
            </w:pPr>
            <w:r>
              <w:rPr>
                <w:rStyle w:val="Other1"/>
                <w:b/>
                <w:bCs/>
              </w:rPr>
              <w:t>32,57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71DB0" w14:textId="77777777" w:rsidR="00DA22E1" w:rsidRDefault="00000000">
            <w:pPr>
              <w:pStyle w:val="Other10"/>
              <w:spacing w:after="0" w:line="240" w:lineRule="auto"/>
              <w:ind w:firstLine="820"/>
              <w:jc w:val="both"/>
            </w:pPr>
            <w:r>
              <w:rPr>
                <w:rStyle w:val="Other1"/>
                <w:b/>
                <w:bCs/>
              </w:rPr>
              <w:t>39,40 Kč</w:t>
            </w:r>
          </w:p>
        </w:tc>
      </w:tr>
      <w:tr w:rsidR="00DA22E1" w14:paraId="1928269A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EB224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kabátek kojenecký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74DF2C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128,90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A1DB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155,97 Kč</w:t>
            </w:r>
          </w:p>
        </w:tc>
      </w:tr>
      <w:tr w:rsidR="00DA22E1" w14:paraId="030A231F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5DA5D5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zavinovačka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FA596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242,16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030B9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293,01 Kč</w:t>
            </w:r>
          </w:p>
        </w:tc>
      </w:tr>
      <w:tr w:rsidR="00DA22E1" w14:paraId="45E179E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30ADEB"/>
            <w:vAlign w:val="bottom"/>
          </w:tcPr>
          <w:p w14:paraId="36F1FDC1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  <w:shd w:val="clear" w:color="auto" w:fill="30A9D1"/>
              </w:rPr>
              <w:t>prádlo zaměstnanců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30ADEB"/>
          </w:tcPr>
          <w:p w14:paraId="7CA0B65F" w14:textId="77777777" w:rsidR="00DA22E1" w:rsidRDefault="00DA22E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0ADEB"/>
          </w:tcPr>
          <w:p w14:paraId="3C814283" w14:textId="77777777" w:rsidR="00DA22E1" w:rsidRDefault="00DA22E1">
            <w:pPr>
              <w:rPr>
                <w:sz w:val="10"/>
                <w:szCs w:val="10"/>
              </w:rPr>
            </w:pPr>
          </w:p>
        </w:tc>
      </w:tr>
      <w:tr w:rsidR="00DA22E1" w14:paraId="2619C984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0F46DF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kalhoty lékařské pánské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1EC7AE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257,19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F42FE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311,20 Kč</w:t>
            </w:r>
          </w:p>
        </w:tc>
      </w:tr>
      <w:tr w:rsidR="00DA22E1" w14:paraId="3F548D6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548C1E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kalhoty lékařské dámské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903975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255,52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2030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309,18 Kč</w:t>
            </w:r>
          </w:p>
        </w:tc>
      </w:tr>
      <w:tr w:rsidR="00DA22E1" w14:paraId="450E086F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0A811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košile lékařská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FC683E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238,82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0B16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288,97 Kč</w:t>
            </w:r>
          </w:p>
        </w:tc>
      </w:tr>
      <w:tr w:rsidR="00DA22E1" w14:paraId="5EB33AB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666211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halena sesterská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CCF48D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260,53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E9EEA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315,24 Kč</w:t>
            </w:r>
          </w:p>
        </w:tc>
      </w:tr>
      <w:tr w:rsidR="00DA22E1" w14:paraId="5288710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16CA8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šaty sesterské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123683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307,29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1EC06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371,82 Kč</w:t>
            </w:r>
          </w:p>
        </w:tc>
      </w:tr>
      <w:tr w:rsidR="00DA22E1" w14:paraId="186BE68A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64107F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plášť lékařský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9CFE0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317,31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881E5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383,95 Kč</w:t>
            </w:r>
          </w:p>
        </w:tc>
      </w:tr>
      <w:tr w:rsidR="00DA22E1" w14:paraId="39EFC70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780662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halena pracovní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99DE07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267,21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79944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323,32 Kč</w:t>
            </w:r>
          </w:p>
        </w:tc>
      </w:tr>
      <w:tr w:rsidR="00DA22E1" w14:paraId="40BA781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B3452A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halena pracovní s dětským motivem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712C21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375,76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6DFF4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454,67 Kč</w:t>
            </w:r>
          </w:p>
        </w:tc>
      </w:tr>
      <w:tr w:rsidR="00DA22E1" w14:paraId="1CABA384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9F06FE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halena sesterská, propínací, proužky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C0DED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375,76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F3CC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454,67 Kč</w:t>
            </w:r>
          </w:p>
        </w:tc>
      </w:tr>
      <w:tr w:rsidR="00DA22E1" w14:paraId="67F6BDF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ACC096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kalhoty pracovní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653F31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242,16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608A7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293,01 Kč</w:t>
            </w:r>
          </w:p>
        </w:tc>
      </w:tr>
      <w:tr w:rsidR="00DA22E1" w14:paraId="2623AFC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E1A721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halena lékařská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D5A25D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290,02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2898D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350,92 Kč</w:t>
            </w:r>
          </w:p>
        </w:tc>
      </w:tr>
      <w:tr w:rsidR="00DA22E1" w14:paraId="1173FCB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C338C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halena sesterská středně modrý prvek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F26729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390,56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C7FEA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472,58 Kč</w:t>
            </w:r>
          </w:p>
        </w:tc>
      </w:tr>
      <w:tr w:rsidR="00DA22E1" w14:paraId="2365445C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B1CD1F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halena sesterská bordó a jiné barvy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6E84B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422,79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A4A67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511,57 Kč</w:t>
            </w:r>
          </w:p>
        </w:tc>
      </w:tr>
      <w:tr w:rsidR="00DA22E1" w14:paraId="26AC625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FC4978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kalhoty 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9B8ECF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219,13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26BBE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265,14 Kč</w:t>
            </w:r>
          </w:p>
        </w:tc>
      </w:tr>
      <w:tr w:rsidR="00DA22E1" w14:paraId="2431DF45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45896F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halena SA barevný prvek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B63B66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269,40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163E3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325,97 Kč</w:t>
            </w:r>
          </w:p>
        </w:tc>
      </w:tr>
    </w:tbl>
    <w:p w14:paraId="284F31CF" w14:textId="77777777" w:rsidR="00DA22E1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4"/>
        <w:gridCol w:w="1433"/>
        <w:gridCol w:w="1656"/>
      </w:tblGrid>
      <w:tr w:rsidR="00DA22E1" w14:paraId="5E488446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44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36A094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lastRenderedPageBreak/>
              <w:t>kalhoty SA bílé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BB0118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242,33 Kč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5B974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293,22 Kč</w:t>
            </w:r>
          </w:p>
        </w:tc>
      </w:tr>
      <w:tr w:rsidR="00DA22E1" w14:paraId="503C523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074D98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halena dlouhý rukáv nefrit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3883BA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367,36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269A8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444,50 Kč</w:t>
            </w:r>
          </w:p>
        </w:tc>
      </w:tr>
      <w:tr w:rsidR="00DA22E1" w14:paraId="6F75E5E2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B998B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tričko pracovní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AE49DA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282,24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420AB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341,51 Kč</w:t>
            </w:r>
          </w:p>
        </w:tc>
      </w:tr>
      <w:tr w:rsidR="00DA22E1" w14:paraId="5D8F32F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  <w:shd w:val="clear" w:color="auto" w:fill="30ADEB"/>
            <w:vAlign w:val="bottom"/>
          </w:tcPr>
          <w:p w14:paraId="1900FDEC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  <w:shd w:val="clear" w:color="auto" w:fill="43A5DB"/>
              </w:rPr>
              <w:t>prádlo pro nezdravotníky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30ADEB"/>
          </w:tcPr>
          <w:p w14:paraId="561A1316" w14:textId="77777777" w:rsidR="00DA22E1" w:rsidRDefault="00DA22E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0ADEB"/>
          </w:tcPr>
          <w:p w14:paraId="415B105A" w14:textId="77777777" w:rsidR="00DA22E1" w:rsidRDefault="00DA22E1">
            <w:pPr>
              <w:rPr>
                <w:sz w:val="10"/>
                <w:szCs w:val="10"/>
              </w:rPr>
            </w:pPr>
          </w:p>
        </w:tc>
      </w:tr>
      <w:tr w:rsidR="00DA22E1" w14:paraId="549F8AC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A351F9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montérková blůza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8C9D4A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434,05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B05EF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525,20 Kč</w:t>
            </w:r>
          </w:p>
        </w:tc>
      </w:tr>
      <w:tr w:rsidR="00DA22E1" w14:paraId="56739B0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9CA04F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montérkové kalhoty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EB544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382,78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CBEE2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463,16 Kč</w:t>
            </w:r>
          </w:p>
        </w:tc>
      </w:tr>
      <w:tr w:rsidR="00DA22E1" w14:paraId="04164D81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F147D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tričko pracovní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91DB0C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297,27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D3AD1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359,70 Kč</w:t>
            </w:r>
          </w:p>
        </w:tc>
      </w:tr>
      <w:tr w:rsidR="00DA22E1" w14:paraId="53C7433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A7FEB7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halena pracovní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E39CCD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247,17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35B03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299,07 Kč</w:t>
            </w:r>
          </w:p>
        </w:tc>
      </w:tr>
      <w:tr w:rsidR="00DA22E1" w14:paraId="757D7E3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9F5D0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kalhoty pracovní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07F0D2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248,84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E9455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301,09 Kč</w:t>
            </w:r>
          </w:p>
        </w:tc>
      </w:tr>
      <w:tr w:rsidR="00DA22E1" w14:paraId="33FA2BD2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609936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plášť pracovní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E2AF85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317,31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4414F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383,95 Kč</w:t>
            </w:r>
          </w:p>
        </w:tc>
      </w:tr>
      <w:tr w:rsidR="00DA22E1" w14:paraId="04658E5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  <w:shd w:val="clear" w:color="auto" w:fill="30ADEB"/>
            <w:vAlign w:val="bottom"/>
          </w:tcPr>
          <w:p w14:paraId="1F6FF301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  <w:shd w:val="clear" w:color="auto" w:fill="43A5DB"/>
              </w:rPr>
              <w:t>prádlo operační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30ADEB"/>
          </w:tcPr>
          <w:p w14:paraId="24CA2D6E" w14:textId="77777777" w:rsidR="00DA22E1" w:rsidRDefault="00DA22E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0ADEB"/>
          </w:tcPr>
          <w:p w14:paraId="7B3D940C" w14:textId="77777777" w:rsidR="00DA22E1" w:rsidRDefault="00DA22E1">
            <w:pPr>
              <w:rPr>
                <w:sz w:val="10"/>
                <w:szCs w:val="10"/>
              </w:rPr>
            </w:pPr>
          </w:p>
        </w:tc>
      </w:tr>
      <w:tr w:rsidR="00DA22E1" w14:paraId="2ADC5765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1179F0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halena operační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FD517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367,41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E9239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444,57 Kč</w:t>
            </w:r>
          </w:p>
        </w:tc>
      </w:tr>
      <w:tr w:rsidR="00DA22E1" w14:paraId="0620EDF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118A7E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kalhoty operační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FAE494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334,01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FF5AF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404,15 Kč</w:t>
            </w:r>
          </w:p>
        </w:tc>
      </w:tr>
      <w:tr w:rsidR="00DA22E1" w14:paraId="5A7D0AF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565A86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plášť operační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BA430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609,57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6B9A6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737,58 Kč</w:t>
            </w:r>
          </w:p>
        </w:tc>
      </w:tr>
      <w:tr w:rsidR="00DA22E1" w14:paraId="555C2D35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19A049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rouška střední 90x90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6D71B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114,15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6DE55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138,12 Kč</w:t>
            </w:r>
          </w:p>
        </w:tc>
      </w:tr>
      <w:tr w:rsidR="00DA22E1" w14:paraId="4401C38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3F2B49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 xml:space="preserve">rouška střední 90x90 </w:t>
            </w:r>
            <w:proofErr w:type="spellStart"/>
            <w:r>
              <w:rPr>
                <w:rStyle w:val="Other1"/>
                <w:sz w:val="17"/>
                <w:szCs w:val="17"/>
              </w:rPr>
              <w:t>perf</w:t>
            </w:r>
            <w:proofErr w:type="spellEnd"/>
            <w:r>
              <w:rPr>
                <w:rStyle w:val="Other1"/>
                <w:sz w:val="17"/>
                <w:szCs w:val="17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6C71FA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145,29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D5139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175,81 Kč</w:t>
            </w:r>
          </w:p>
        </w:tc>
      </w:tr>
      <w:tr w:rsidR="00DA22E1" w14:paraId="212263F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B731B8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rouška střední 110x140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FB163F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150,31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11D6A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181,87 Kč</w:t>
            </w:r>
          </w:p>
        </w:tc>
      </w:tr>
      <w:tr w:rsidR="00DA22E1" w14:paraId="3DCDD147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62E41C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 xml:space="preserve">rouška střední 110x140 </w:t>
            </w:r>
            <w:proofErr w:type="spellStart"/>
            <w:r>
              <w:rPr>
                <w:rStyle w:val="Other1"/>
                <w:sz w:val="17"/>
                <w:szCs w:val="17"/>
              </w:rPr>
              <w:t>perf</w:t>
            </w:r>
            <w:proofErr w:type="spellEnd"/>
            <w:r>
              <w:rPr>
                <w:rStyle w:val="Other1"/>
                <w:sz w:val="17"/>
                <w:szCs w:val="17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5E209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233,81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D4145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282,91 Kč</w:t>
            </w:r>
          </w:p>
        </w:tc>
      </w:tr>
      <w:tr w:rsidR="00DA22E1" w14:paraId="7E779CB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E26923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rouška velká 140x170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E81D1C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179,53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19A41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217,23 Kč</w:t>
            </w:r>
          </w:p>
        </w:tc>
      </w:tr>
      <w:tr w:rsidR="00DA22E1" w14:paraId="5677D21F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C3B793" w14:textId="77777777" w:rsidR="00DA22E1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 xml:space="preserve">rouška velká 140x170 </w:t>
            </w:r>
            <w:proofErr w:type="spellStart"/>
            <w:r>
              <w:rPr>
                <w:rStyle w:val="Other1"/>
                <w:sz w:val="17"/>
                <w:szCs w:val="17"/>
              </w:rPr>
              <w:t>perf</w:t>
            </w:r>
            <w:proofErr w:type="spellEnd"/>
            <w:r>
              <w:rPr>
                <w:rStyle w:val="Other1"/>
                <w:sz w:val="17"/>
                <w:szCs w:val="17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666AED" w14:textId="77777777" w:rsidR="00DA22E1" w:rsidRDefault="00000000">
            <w:pPr>
              <w:pStyle w:val="Other10"/>
              <w:spacing w:after="0" w:line="240" w:lineRule="auto"/>
              <w:ind w:firstLine="480"/>
              <w:jc w:val="both"/>
            </w:pPr>
            <w:r>
              <w:rPr>
                <w:rStyle w:val="Other1"/>
                <w:b/>
                <w:bCs/>
              </w:rPr>
              <w:t>227,13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EED9" w14:textId="77777777" w:rsidR="00DA22E1" w:rsidRDefault="00000000">
            <w:pPr>
              <w:pStyle w:val="Other10"/>
              <w:spacing w:after="0" w:line="240" w:lineRule="auto"/>
              <w:ind w:firstLine="700"/>
              <w:jc w:val="both"/>
            </w:pPr>
            <w:r>
              <w:rPr>
                <w:rStyle w:val="Other1"/>
                <w:b/>
                <w:bCs/>
              </w:rPr>
              <w:t>274,82 Kč</w:t>
            </w:r>
          </w:p>
        </w:tc>
      </w:tr>
    </w:tbl>
    <w:p w14:paraId="4DC4E08E" w14:textId="77777777" w:rsidR="0043208B" w:rsidRDefault="0043208B"/>
    <w:sectPr w:rsidR="0043208B">
      <w:footerReference w:type="default" r:id="rId7"/>
      <w:pgSz w:w="11900" w:h="16840"/>
      <w:pgMar w:top="1161" w:right="1477" w:bottom="1317" w:left="1609" w:header="73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8861D" w14:textId="77777777" w:rsidR="0043208B" w:rsidRDefault="0043208B">
      <w:r>
        <w:separator/>
      </w:r>
    </w:p>
  </w:endnote>
  <w:endnote w:type="continuationSeparator" w:id="0">
    <w:p w14:paraId="1152E030" w14:textId="77777777" w:rsidR="0043208B" w:rsidRDefault="0043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71BFB" w14:textId="77777777" w:rsidR="00DA22E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E13CF39" wp14:editId="79017CB8">
              <wp:simplePos x="0" y="0"/>
              <wp:positionH relativeFrom="page">
                <wp:posOffset>3957320</wp:posOffset>
              </wp:positionH>
              <wp:positionV relativeFrom="page">
                <wp:posOffset>9858375</wp:posOffset>
              </wp:positionV>
              <wp:extent cx="128270" cy="825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6AD7CA" w14:textId="77777777" w:rsidR="00DA22E1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11.60000000000002pt;margin-top:776.25pt;width:10.1pt;height:6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24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-</w:t>
                    </w:r>
                    <w:fldSimple w:instr=" PAGE \* MERGEFORMAT ">
                      <w:r>
                        <w:rPr>
                          <w:rStyle w:val="CharStyle24"/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#</w:t>
                      </w:r>
                    </w:fldSimple>
                    <w:r>
                      <w:rPr>
                        <w:rStyle w:val="CharStyle24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542DB" w14:textId="77777777" w:rsidR="0043208B" w:rsidRDefault="0043208B"/>
  </w:footnote>
  <w:footnote w:type="continuationSeparator" w:id="0">
    <w:p w14:paraId="2EBDF4DB" w14:textId="77777777" w:rsidR="0043208B" w:rsidRDefault="004320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15E24"/>
    <w:multiLevelType w:val="multilevel"/>
    <w:tmpl w:val="888622C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A8412C"/>
    <w:multiLevelType w:val="multilevel"/>
    <w:tmpl w:val="0DBE9D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3762072">
    <w:abstractNumId w:val="0"/>
  </w:num>
  <w:num w:numId="2" w16cid:durableId="270282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E1"/>
    <w:rsid w:val="003D7B69"/>
    <w:rsid w:val="0043208B"/>
    <w:rsid w:val="00866D4C"/>
    <w:rsid w:val="00DA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A42B"/>
  <w15:docId w15:val="{80AF57F4-E7ED-495E-B490-59418EA1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210">
    <w:name w:val="Heading #2|1"/>
    <w:basedOn w:val="Normln"/>
    <w:link w:val="Heading21"/>
    <w:pPr>
      <w:spacing w:line="286" w:lineRule="auto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pacing w:after="240" w:line="319" w:lineRule="auto"/>
      <w:ind w:firstLine="180"/>
    </w:pPr>
    <w:rPr>
      <w:rFonts w:ascii="Arial" w:eastAsia="Arial" w:hAnsi="Arial" w:cs="Arial"/>
      <w:sz w:val="17"/>
      <w:szCs w:val="17"/>
    </w:rPr>
  </w:style>
  <w:style w:type="paragraph" w:customStyle="1" w:styleId="Bodytext10">
    <w:name w:val="Body text|1"/>
    <w:basedOn w:val="Normln"/>
    <w:link w:val="Bodytext1"/>
    <w:pPr>
      <w:spacing w:after="240" w:line="286" w:lineRule="auto"/>
    </w:pPr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pPr>
      <w:spacing w:after="240" w:line="286" w:lineRule="auto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pPr>
      <w:spacing w:line="331" w:lineRule="auto"/>
      <w:jc w:val="center"/>
    </w:pPr>
    <w:rPr>
      <w:rFonts w:ascii="Arial" w:eastAsia="Arial" w:hAnsi="Arial" w:cs="Arial"/>
      <w:sz w:val="10"/>
      <w:szCs w:val="10"/>
    </w:rPr>
  </w:style>
  <w:style w:type="paragraph" w:customStyle="1" w:styleId="Bodytext50">
    <w:name w:val="Body text|5"/>
    <w:basedOn w:val="Normln"/>
    <w:link w:val="Bodytext5"/>
    <w:pPr>
      <w:spacing w:after="20"/>
    </w:pPr>
    <w:rPr>
      <w:rFonts w:ascii="Arial" w:eastAsia="Arial" w:hAnsi="Arial" w:cs="Arial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240" w:line="264" w:lineRule="auto"/>
      <w:ind w:left="2610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pPr>
      <w:spacing w:after="180" w:line="108" w:lineRule="exact"/>
      <w:ind w:left="1600" w:firstLine="60"/>
      <w:outlineLvl w:val="0"/>
    </w:pPr>
    <w:rPr>
      <w:rFonts w:ascii="Arial" w:eastAsia="Arial" w:hAnsi="Arial" w:cs="Arial"/>
    </w:rPr>
  </w:style>
  <w:style w:type="paragraph" w:customStyle="1" w:styleId="Bodytext40">
    <w:name w:val="Body text|4"/>
    <w:basedOn w:val="Normln"/>
    <w:link w:val="Bodytext4"/>
    <w:pPr>
      <w:spacing w:after="180" w:line="288" w:lineRule="auto"/>
    </w:pPr>
    <w:rPr>
      <w:rFonts w:ascii="Arial" w:eastAsia="Arial" w:hAnsi="Arial" w:cs="Arial"/>
      <w:sz w:val="12"/>
      <w:szCs w:val="12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988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2025-03-04T13:20:00Z</dcterms:created>
  <dcterms:modified xsi:type="dcterms:W3CDTF">2025-03-04T13:20:00Z</dcterms:modified>
</cp:coreProperties>
</file>