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80C9" w14:textId="38780962" w:rsidR="00381B89" w:rsidRPr="00AC11F7" w:rsidRDefault="00381B89" w:rsidP="00381B89">
      <w:pPr>
        <w:pStyle w:val="RLnzevsmlouvy"/>
        <w:spacing w:after="0"/>
        <w:rPr>
          <w:rFonts w:cs="Times New Roman"/>
          <w:bCs w:val="0"/>
          <w:caps w:val="0"/>
          <w:spacing w:val="0"/>
          <w:kern w:val="0"/>
          <w:sz w:val="22"/>
          <w:szCs w:val="22"/>
          <w:lang w:eastAsia="en-US"/>
        </w:rPr>
      </w:pPr>
      <w:r w:rsidRPr="00AC11F7">
        <w:rPr>
          <w:rFonts w:cs="Times New Roman"/>
          <w:bCs w:val="0"/>
          <w:caps w:val="0"/>
          <w:spacing w:val="0"/>
          <w:kern w:val="0"/>
          <w:sz w:val="22"/>
          <w:szCs w:val="22"/>
          <w:lang w:eastAsia="en-US"/>
        </w:rPr>
        <w:t>Dodatek č. 1 k</w:t>
      </w:r>
      <w:r w:rsidR="00AC11F7">
        <w:rPr>
          <w:rFonts w:cs="Times New Roman"/>
          <w:bCs w:val="0"/>
          <w:caps w:val="0"/>
          <w:spacing w:val="0"/>
          <w:kern w:val="0"/>
          <w:sz w:val="22"/>
          <w:szCs w:val="22"/>
          <w:lang w:eastAsia="en-US"/>
        </w:rPr>
        <w:t>e</w:t>
      </w:r>
      <w:r w:rsidR="00A03767" w:rsidRPr="00AC11F7">
        <w:rPr>
          <w:rFonts w:cs="Times New Roman"/>
          <w:bCs w:val="0"/>
          <w:caps w:val="0"/>
          <w:spacing w:val="0"/>
          <w:kern w:val="0"/>
          <w:sz w:val="22"/>
          <w:szCs w:val="22"/>
          <w:lang w:eastAsia="en-US"/>
        </w:rPr>
        <w:t xml:space="preserve"> </w:t>
      </w:r>
      <w:r w:rsidR="00AC11F7" w:rsidRPr="00AC11F7">
        <w:rPr>
          <w:rFonts w:cs="Times New Roman"/>
          <w:bCs w:val="0"/>
          <w:caps w:val="0"/>
          <w:spacing w:val="0"/>
          <w:kern w:val="0"/>
          <w:sz w:val="22"/>
          <w:szCs w:val="22"/>
          <w:lang w:eastAsia="en-US"/>
        </w:rPr>
        <w:t>Smlouvě o poskytování služeb spočívajících v přístupu k webové aplikaci EnergyBroker a zajištění jejího servisu</w:t>
      </w:r>
    </w:p>
    <w:p w14:paraId="1C08A427" w14:textId="77777777" w:rsidR="00AC11F7" w:rsidRDefault="00AC11F7">
      <w:r>
        <w:rPr>
          <w:rFonts w:asciiTheme="minorHAnsi" w:hAnsiTheme="minorHAnsi" w:cstheme="minorHAnsi"/>
        </w:rPr>
        <w:t>__________________________________________________________________________________</w:t>
      </w:r>
    </w:p>
    <w:p w14:paraId="22AB1610" w14:textId="77777777" w:rsidR="00AC11F7" w:rsidRPr="00580F76" w:rsidRDefault="00AC11F7" w:rsidP="00AC11F7">
      <w:pPr>
        <w:jc w:val="center"/>
        <w:rPr>
          <w:rFonts w:cs="Arial"/>
          <w:b/>
          <w:sz w:val="20"/>
          <w:szCs w:val="20"/>
        </w:rPr>
      </w:pPr>
      <w:r w:rsidRPr="00580F76">
        <w:rPr>
          <w:rFonts w:cs="Arial"/>
          <w:b/>
          <w:sz w:val="20"/>
          <w:szCs w:val="20"/>
        </w:rPr>
        <w:t>I.</w:t>
      </w:r>
    </w:p>
    <w:p w14:paraId="187A1A70" w14:textId="77777777" w:rsidR="00AC11F7" w:rsidRPr="00580F76" w:rsidRDefault="00AC11F7" w:rsidP="00AC11F7">
      <w:pPr>
        <w:jc w:val="center"/>
        <w:rPr>
          <w:rFonts w:cs="Arial"/>
          <w:b/>
          <w:bCs/>
          <w:sz w:val="20"/>
          <w:szCs w:val="20"/>
        </w:rPr>
      </w:pPr>
      <w:r w:rsidRPr="00580F76">
        <w:rPr>
          <w:rFonts w:cs="Arial"/>
          <w:b/>
          <w:bCs/>
          <w:sz w:val="20"/>
          <w:szCs w:val="20"/>
        </w:rPr>
        <w:t>Smluvní strany</w:t>
      </w:r>
    </w:p>
    <w:p w14:paraId="2905C9CE" w14:textId="77777777" w:rsidR="00AC11F7" w:rsidRPr="00580F76" w:rsidRDefault="00AC11F7" w:rsidP="00AC11F7">
      <w:pPr>
        <w:pStyle w:val="Normlnodsazen"/>
        <w:spacing w:before="0" w:line="240" w:lineRule="auto"/>
        <w:jc w:val="both"/>
        <w:rPr>
          <w:rFonts w:ascii="Calibri" w:hAnsi="Calibri"/>
          <w:b/>
          <w:bCs/>
        </w:rPr>
      </w:pPr>
      <w:r w:rsidRPr="00580F76">
        <w:rPr>
          <w:rFonts w:ascii="Calibri" w:hAnsi="Calibri"/>
          <w:b/>
          <w:bCs/>
        </w:rPr>
        <w:t>Technologie hlavního města Prahy, a.s.</w:t>
      </w:r>
    </w:p>
    <w:p w14:paraId="5E1BB3EF" w14:textId="77777777" w:rsidR="00AC11F7" w:rsidRPr="00580F76" w:rsidRDefault="00AC11F7" w:rsidP="00AC11F7">
      <w:pPr>
        <w:pStyle w:val="Normlnodsazen"/>
        <w:spacing w:before="0" w:line="240" w:lineRule="auto"/>
        <w:jc w:val="both"/>
        <w:rPr>
          <w:rFonts w:ascii="Calibri" w:hAnsi="Calibri"/>
        </w:rPr>
      </w:pPr>
      <w:r w:rsidRPr="00580F76">
        <w:rPr>
          <w:rFonts w:ascii="Calibri" w:hAnsi="Calibri"/>
        </w:rPr>
        <w:t>Sídlo:</w:t>
      </w:r>
      <w:r w:rsidRPr="00580F76">
        <w:rPr>
          <w:rFonts w:ascii="Calibri" w:hAnsi="Calibri"/>
        </w:rPr>
        <w:tab/>
      </w:r>
      <w:r w:rsidRPr="00580F76">
        <w:rPr>
          <w:rFonts w:ascii="Calibri" w:hAnsi="Calibri"/>
        </w:rPr>
        <w:tab/>
      </w:r>
      <w:r w:rsidRPr="00580F76">
        <w:rPr>
          <w:rFonts w:ascii="Calibri" w:hAnsi="Calibri"/>
        </w:rPr>
        <w:tab/>
      </w:r>
      <w:r w:rsidRPr="00580F76">
        <w:rPr>
          <w:rFonts w:ascii="Calibri" w:hAnsi="Calibri"/>
          <w:color w:val="000000"/>
          <w:shd w:val="clear" w:color="auto" w:fill="FFFFFF"/>
        </w:rPr>
        <w:t>Dělnická 213/12, 170 00 Praha 7</w:t>
      </w:r>
    </w:p>
    <w:p w14:paraId="67D2B854" w14:textId="77777777" w:rsidR="00AC11F7" w:rsidRPr="00580F76" w:rsidRDefault="00AC11F7" w:rsidP="00AC11F7">
      <w:pPr>
        <w:pStyle w:val="Normlnodsazen"/>
        <w:spacing w:before="0" w:line="240" w:lineRule="auto"/>
        <w:jc w:val="both"/>
        <w:rPr>
          <w:rFonts w:ascii="Calibri" w:hAnsi="Calibri"/>
        </w:rPr>
      </w:pPr>
      <w:r w:rsidRPr="00580F76">
        <w:rPr>
          <w:rFonts w:ascii="Calibri" w:hAnsi="Calibri"/>
        </w:rPr>
        <w:t>IČ:</w:t>
      </w:r>
      <w:r w:rsidRPr="00580F76">
        <w:tab/>
      </w:r>
      <w:r w:rsidRPr="00580F76">
        <w:tab/>
      </w:r>
      <w:r w:rsidRPr="00580F76">
        <w:tab/>
      </w:r>
      <w:r w:rsidRPr="00580F76">
        <w:rPr>
          <w:rFonts w:ascii="Calibri" w:hAnsi="Calibri"/>
        </w:rPr>
        <w:t>25672541</w:t>
      </w:r>
    </w:p>
    <w:p w14:paraId="19F66CEC" w14:textId="77777777" w:rsidR="00AC11F7" w:rsidRPr="00580F76" w:rsidRDefault="00AC11F7" w:rsidP="00AC11F7">
      <w:pPr>
        <w:spacing w:after="0"/>
        <w:jc w:val="both"/>
        <w:rPr>
          <w:rFonts w:cs="Arial"/>
          <w:sz w:val="20"/>
          <w:szCs w:val="20"/>
        </w:rPr>
      </w:pPr>
      <w:r w:rsidRPr="00580F76">
        <w:rPr>
          <w:rFonts w:cs="Arial"/>
          <w:sz w:val="20"/>
          <w:szCs w:val="20"/>
        </w:rPr>
        <w:t>DIČ:</w:t>
      </w:r>
      <w:r w:rsidRPr="00580F76">
        <w:rPr>
          <w:sz w:val="20"/>
          <w:szCs w:val="20"/>
        </w:rPr>
        <w:tab/>
      </w:r>
      <w:r w:rsidRPr="00580F76">
        <w:rPr>
          <w:sz w:val="20"/>
          <w:szCs w:val="20"/>
        </w:rPr>
        <w:tab/>
      </w:r>
      <w:r w:rsidRPr="00580F76">
        <w:rPr>
          <w:sz w:val="20"/>
          <w:szCs w:val="20"/>
        </w:rPr>
        <w:tab/>
      </w:r>
      <w:r w:rsidRPr="00580F76">
        <w:rPr>
          <w:rFonts w:cs="Arial"/>
          <w:sz w:val="20"/>
          <w:szCs w:val="20"/>
        </w:rPr>
        <w:t>CZ25672541</w:t>
      </w:r>
    </w:p>
    <w:p w14:paraId="1DBD5D9F" w14:textId="77777777" w:rsidR="00AC11F7" w:rsidRPr="00580F76" w:rsidRDefault="00AC11F7" w:rsidP="00AC11F7">
      <w:pPr>
        <w:spacing w:after="0"/>
        <w:jc w:val="both"/>
        <w:rPr>
          <w:rFonts w:cs="Arial"/>
          <w:sz w:val="20"/>
          <w:szCs w:val="20"/>
        </w:rPr>
      </w:pPr>
      <w:r w:rsidRPr="00580F76">
        <w:rPr>
          <w:sz w:val="20"/>
          <w:szCs w:val="20"/>
        </w:rPr>
        <w:t>Zastoupená</w:t>
      </w:r>
      <w:r w:rsidRPr="00580F76">
        <w:rPr>
          <w:sz w:val="20"/>
          <w:szCs w:val="20"/>
        </w:rPr>
        <w:tab/>
      </w:r>
      <w:r w:rsidRPr="00580F76">
        <w:rPr>
          <w:sz w:val="20"/>
          <w:szCs w:val="20"/>
        </w:rPr>
        <w:tab/>
      </w:r>
      <w:r w:rsidRPr="00580F76">
        <w:rPr>
          <w:rFonts w:cs="Arial"/>
          <w:sz w:val="20"/>
          <w:szCs w:val="20"/>
        </w:rPr>
        <w:t>Tomášem Jílkem, předsedou představenstva</w:t>
      </w:r>
    </w:p>
    <w:p w14:paraId="04BD65F8" w14:textId="77777777" w:rsidR="00AC11F7" w:rsidRPr="00580F76" w:rsidRDefault="00AC11F7" w:rsidP="00AC11F7">
      <w:pPr>
        <w:spacing w:after="0"/>
        <w:jc w:val="both"/>
        <w:rPr>
          <w:rFonts w:cs="Arial"/>
          <w:sz w:val="20"/>
          <w:szCs w:val="20"/>
        </w:rPr>
      </w:pPr>
      <w:r w:rsidRPr="00580F76">
        <w:rPr>
          <w:rFonts w:cs="Arial"/>
          <w:sz w:val="20"/>
          <w:szCs w:val="20"/>
        </w:rPr>
        <w:tab/>
      </w:r>
      <w:r w:rsidRPr="00580F76">
        <w:rPr>
          <w:rFonts w:cs="Arial"/>
          <w:sz w:val="20"/>
          <w:szCs w:val="20"/>
        </w:rPr>
        <w:tab/>
      </w:r>
      <w:r w:rsidRPr="00580F76">
        <w:rPr>
          <w:rFonts w:cs="Arial"/>
          <w:sz w:val="20"/>
          <w:szCs w:val="20"/>
        </w:rPr>
        <w:tab/>
        <w:t>Tomášem Novotným, místopředsedou představenstva</w:t>
      </w:r>
    </w:p>
    <w:p w14:paraId="70FDA053" w14:textId="77777777" w:rsidR="00AC11F7" w:rsidRPr="00580F76" w:rsidRDefault="00AC11F7" w:rsidP="00AC11F7">
      <w:pPr>
        <w:spacing w:after="0"/>
        <w:jc w:val="both"/>
        <w:rPr>
          <w:rFonts w:cs="Arial"/>
          <w:sz w:val="20"/>
          <w:szCs w:val="20"/>
        </w:rPr>
      </w:pPr>
      <w:r w:rsidRPr="00580F76">
        <w:rPr>
          <w:rFonts w:cs="Arial"/>
          <w:sz w:val="20"/>
          <w:szCs w:val="20"/>
        </w:rPr>
        <w:tab/>
      </w:r>
      <w:r w:rsidRPr="00580F76">
        <w:rPr>
          <w:rFonts w:cs="Arial"/>
          <w:sz w:val="20"/>
          <w:szCs w:val="20"/>
        </w:rPr>
        <w:tab/>
      </w:r>
      <w:r w:rsidRPr="00580F76">
        <w:rPr>
          <w:rFonts w:cs="Arial"/>
          <w:sz w:val="20"/>
          <w:szCs w:val="20"/>
        </w:rPr>
        <w:tab/>
        <w:t>Liborem Fialou, členem představenstva</w:t>
      </w:r>
    </w:p>
    <w:p w14:paraId="4CFC8A0F" w14:textId="77777777" w:rsidR="00AC11F7" w:rsidRPr="00580F76" w:rsidRDefault="00AC11F7" w:rsidP="00AC11F7">
      <w:pPr>
        <w:jc w:val="both"/>
        <w:rPr>
          <w:rFonts w:cs="Arial"/>
          <w:sz w:val="20"/>
          <w:szCs w:val="20"/>
        </w:rPr>
      </w:pPr>
      <w:r w:rsidRPr="00580F76">
        <w:rPr>
          <w:rFonts w:cs="Arial"/>
          <w:sz w:val="20"/>
          <w:szCs w:val="20"/>
        </w:rPr>
        <w:tab/>
      </w:r>
      <w:r w:rsidRPr="00580F76">
        <w:rPr>
          <w:rFonts w:cs="Arial"/>
          <w:sz w:val="20"/>
          <w:szCs w:val="20"/>
        </w:rPr>
        <w:tab/>
      </w:r>
      <w:r w:rsidRPr="00580F76">
        <w:rPr>
          <w:rFonts w:cs="Arial"/>
          <w:sz w:val="20"/>
          <w:szCs w:val="20"/>
        </w:rPr>
        <w:tab/>
        <w:t>Michalem Fišerem, členem představenstva</w:t>
      </w:r>
    </w:p>
    <w:p w14:paraId="0F494FAC" w14:textId="77777777" w:rsidR="00AC11F7" w:rsidRPr="00580F76" w:rsidRDefault="00AC11F7" w:rsidP="00AC11F7">
      <w:pPr>
        <w:spacing w:after="0"/>
        <w:jc w:val="both"/>
        <w:rPr>
          <w:rFonts w:cs="Arial"/>
          <w:sz w:val="20"/>
          <w:szCs w:val="20"/>
        </w:rPr>
      </w:pPr>
      <w:r w:rsidRPr="00580F76">
        <w:rPr>
          <w:rFonts w:cs="Arial"/>
          <w:sz w:val="20"/>
          <w:szCs w:val="20"/>
        </w:rPr>
        <w:t>Bankovní spojení:</w:t>
      </w:r>
      <w:r w:rsidRPr="00580F76">
        <w:rPr>
          <w:sz w:val="20"/>
          <w:szCs w:val="20"/>
        </w:rPr>
        <w:tab/>
      </w:r>
      <w:r w:rsidRPr="00580F76">
        <w:rPr>
          <w:rFonts w:cs="Arial"/>
          <w:sz w:val="20"/>
          <w:szCs w:val="20"/>
        </w:rPr>
        <w:t>Komerční banka, a.s., č. účtu: 115-5836140217/0100</w:t>
      </w:r>
    </w:p>
    <w:p w14:paraId="0A823462" w14:textId="7B010269" w:rsidR="00AC11F7" w:rsidRPr="00580F76" w:rsidRDefault="00AC11F7" w:rsidP="00AC11F7">
      <w:pPr>
        <w:spacing w:after="0"/>
        <w:jc w:val="both"/>
        <w:rPr>
          <w:rFonts w:cs="Arial"/>
          <w:sz w:val="20"/>
          <w:szCs w:val="20"/>
        </w:rPr>
      </w:pPr>
      <w:r w:rsidRPr="00580F76">
        <w:rPr>
          <w:rFonts w:cs="Arial"/>
          <w:sz w:val="20"/>
          <w:szCs w:val="20"/>
        </w:rPr>
        <w:t>Kontaktní osoba:</w:t>
      </w:r>
      <w:r w:rsidRPr="00580F76">
        <w:rPr>
          <w:sz w:val="20"/>
          <w:szCs w:val="20"/>
        </w:rPr>
        <w:tab/>
      </w:r>
      <w:r w:rsidR="00580F76">
        <w:rPr>
          <w:sz w:val="20"/>
          <w:szCs w:val="20"/>
        </w:rPr>
        <w:tab/>
      </w:r>
      <w:proofErr w:type="spellStart"/>
      <w:r w:rsidR="00822A9A">
        <w:rPr>
          <w:rFonts w:cs="Arial"/>
          <w:sz w:val="20"/>
          <w:szCs w:val="20"/>
        </w:rPr>
        <w:t>xxx</w:t>
      </w:r>
      <w:proofErr w:type="spellEnd"/>
      <w:r w:rsidRPr="00580F76">
        <w:rPr>
          <w:rFonts w:cs="Arial"/>
          <w:sz w:val="20"/>
          <w:szCs w:val="20"/>
        </w:rPr>
        <w:t xml:space="preserve"> </w:t>
      </w:r>
    </w:p>
    <w:p w14:paraId="40203E3C" w14:textId="76EE76A1" w:rsidR="00AC11F7" w:rsidRPr="00580F76" w:rsidRDefault="00AC11F7" w:rsidP="00AC11F7">
      <w:pPr>
        <w:spacing w:after="0"/>
        <w:jc w:val="both"/>
        <w:rPr>
          <w:rFonts w:cs="Arial"/>
          <w:sz w:val="20"/>
          <w:szCs w:val="20"/>
        </w:rPr>
      </w:pPr>
      <w:r w:rsidRPr="00580F76">
        <w:rPr>
          <w:rFonts w:cs="Arial"/>
          <w:sz w:val="20"/>
          <w:szCs w:val="20"/>
        </w:rPr>
        <w:tab/>
      </w:r>
      <w:r w:rsidRPr="00580F76">
        <w:rPr>
          <w:rFonts w:cs="Arial"/>
          <w:sz w:val="20"/>
          <w:szCs w:val="20"/>
        </w:rPr>
        <w:tab/>
      </w:r>
      <w:r w:rsidRPr="00580F76">
        <w:rPr>
          <w:rFonts w:cs="Arial"/>
          <w:sz w:val="20"/>
          <w:szCs w:val="20"/>
        </w:rPr>
        <w:tab/>
        <w:t xml:space="preserve"> </w:t>
      </w:r>
    </w:p>
    <w:p w14:paraId="30006B33" w14:textId="77777777" w:rsidR="00AC11F7" w:rsidRPr="00580F76" w:rsidRDefault="00AC11F7" w:rsidP="00AC11F7">
      <w:pPr>
        <w:spacing w:after="0"/>
        <w:jc w:val="both"/>
        <w:rPr>
          <w:rFonts w:cs="Arial"/>
          <w:sz w:val="20"/>
          <w:szCs w:val="20"/>
        </w:rPr>
      </w:pPr>
      <w:r w:rsidRPr="00580F76">
        <w:rPr>
          <w:rFonts w:cs="Arial"/>
          <w:sz w:val="20"/>
          <w:szCs w:val="20"/>
        </w:rPr>
        <w:t>(číslo Smlouvy uživatele: 42/24)</w:t>
      </w:r>
    </w:p>
    <w:p w14:paraId="1B1D507B" w14:textId="146E7A50" w:rsidR="00AC11F7" w:rsidRPr="00580F76" w:rsidRDefault="00AC11F7" w:rsidP="00AC11F7">
      <w:pPr>
        <w:spacing w:after="240"/>
        <w:jc w:val="both"/>
        <w:rPr>
          <w:rFonts w:cs="Arial"/>
          <w:i/>
          <w:iCs/>
          <w:sz w:val="20"/>
          <w:szCs w:val="20"/>
        </w:rPr>
      </w:pPr>
      <w:r w:rsidRPr="00580F76">
        <w:rPr>
          <w:rFonts w:cs="Arial"/>
          <w:i/>
          <w:iCs/>
          <w:sz w:val="20"/>
          <w:szCs w:val="20"/>
        </w:rPr>
        <w:t xml:space="preserve">(na straně jedné jako </w:t>
      </w:r>
      <w:r w:rsidRPr="00580F76">
        <w:rPr>
          <w:rFonts w:cs="Arial"/>
          <w:b/>
          <w:bCs/>
          <w:i/>
          <w:iCs/>
          <w:sz w:val="20"/>
          <w:szCs w:val="20"/>
        </w:rPr>
        <w:t>„</w:t>
      </w:r>
      <w:r w:rsidR="00C8764C" w:rsidRPr="00580F76">
        <w:rPr>
          <w:rFonts w:cs="Arial"/>
          <w:b/>
          <w:bCs/>
          <w:i/>
          <w:iCs/>
          <w:sz w:val="20"/>
          <w:szCs w:val="20"/>
        </w:rPr>
        <w:t>U</w:t>
      </w:r>
      <w:r w:rsidRPr="00580F76">
        <w:rPr>
          <w:rFonts w:cs="Arial"/>
          <w:b/>
          <w:bCs/>
          <w:i/>
          <w:iCs/>
          <w:sz w:val="20"/>
          <w:szCs w:val="20"/>
        </w:rPr>
        <w:t>živatel“</w:t>
      </w:r>
      <w:r w:rsidRPr="00580F76">
        <w:rPr>
          <w:rFonts w:cs="Arial"/>
          <w:i/>
          <w:iCs/>
          <w:sz w:val="20"/>
          <w:szCs w:val="20"/>
        </w:rPr>
        <w:t>)</w:t>
      </w:r>
    </w:p>
    <w:p w14:paraId="4EA54710" w14:textId="77777777" w:rsidR="00AC11F7" w:rsidRPr="00580F76" w:rsidRDefault="00AC11F7" w:rsidP="00AC11F7">
      <w:pPr>
        <w:spacing w:after="240"/>
        <w:jc w:val="both"/>
        <w:rPr>
          <w:rFonts w:cs="Arial"/>
          <w:sz w:val="20"/>
          <w:szCs w:val="20"/>
        </w:rPr>
      </w:pPr>
      <w:r w:rsidRPr="00580F76">
        <w:rPr>
          <w:rFonts w:cs="Arial"/>
          <w:sz w:val="20"/>
          <w:szCs w:val="20"/>
        </w:rPr>
        <w:t>a</w:t>
      </w:r>
    </w:p>
    <w:p w14:paraId="35A41C7C" w14:textId="77777777" w:rsidR="00AC11F7" w:rsidRPr="00580F76" w:rsidRDefault="00AC11F7" w:rsidP="00AC11F7">
      <w:pPr>
        <w:spacing w:after="0"/>
        <w:jc w:val="both"/>
        <w:rPr>
          <w:rFonts w:cs="Arial"/>
          <w:b/>
          <w:sz w:val="20"/>
          <w:szCs w:val="20"/>
        </w:rPr>
      </w:pPr>
      <w:r w:rsidRPr="00580F76">
        <w:rPr>
          <w:rFonts w:cs="Arial"/>
          <w:b/>
          <w:sz w:val="20"/>
          <w:szCs w:val="20"/>
        </w:rPr>
        <w:t>ENSYTRA s.r.o.</w:t>
      </w:r>
    </w:p>
    <w:p w14:paraId="73E59B8F" w14:textId="77777777" w:rsidR="00AC11F7" w:rsidRPr="00580F76" w:rsidRDefault="00AC11F7" w:rsidP="00AC11F7">
      <w:pPr>
        <w:spacing w:after="0"/>
        <w:jc w:val="both"/>
        <w:rPr>
          <w:rFonts w:cs="Arial"/>
          <w:sz w:val="20"/>
          <w:szCs w:val="20"/>
        </w:rPr>
      </w:pPr>
      <w:r w:rsidRPr="00580F76">
        <w:rPr>
          <w:rFonts w:cs="Arial"/>
          <w:sz w:val="20"/>
          <w:szCs w:val="20"/>
        </w:rPr>
        <w:t>Sídlo:</w:t>
      </w:r>
      <w:r w:rsidRPr="00580F76">
        <w:rPr>
          <w:sz w:val="20"/>
          <w:szCs w:val="20"/>
        </w:rPr>
        <w:tab/>
      </w:r>
      <w:r w:rsidRPr="00580F76">
        <w:rPr>
          <w:sz w:val="20"/>
          <w:szCs w:val="20"/>
        </w:rPr>
        <w:tab/>
      </w:r>
      <w:r w:rsidRPr="00580F76">
        <w:rPr>
          <w:sz w:val="20"/>
          <w:szCs w:val="20"/>
        </w:rPr>
        <w:tab/>
      </w:r>
      <w:r w:rsidRPr="00580F76">
        <w:rPr>
          <w:rFonts w:cs="Arial"/>
          <w:sz w:val="20"/>
          <w:szCs w:val="20"/>
        </w:rPr>
        <w:t>Nám. Svobody 931/22, 789 85 Mohelnice</w:t>
      </w:r>
    </w:p>
    <w:p w14:paraId="4A8DA6F9" w14:textId="77777777" w:rsidR="00AC11F7" w:rsidRPr="00580F76" w:rsidRDefault="00AC11F7" w:rsidP="00AC11F7">
      <w:pPr>
        <w:spacing w:after="0"/>
        <w:jc w:val="both"/>
        <w:rPr>
          <w:rFonts w:cs="Arial"/>
          <w:sz w:val="20"/>
          <w:szCs w:val="20"/>
        </w:rPr>
      </w:pPr>
      <w:r w:rsidRPr="00580F76">
        <w:rPr>
          <w:rFonts w:cs="Arial"/>
          <w:sz w:val="20"/>
          <w:szCs w:val="20"/>
        </w:rPr>
        <w:t>IČ:</w:t>
      </w:r>
      <w:r w:rsidRPr="00580F76">
        <w:rPr>
          <w:rFonts w:cs="Arial"/>
          <w:sz w:val="20"/>
          <w:szCs w:val="20"/>
        </w:rPr>
        <w:tab/>
      </w:r>
      <w:r w:rsidRPr="00580F76">
        <w:rPr>
          <w:rFonts w:cs="Arial"/>
          <w:sz w:val="20"/>
          <w:szCs w:val="20"/>
        </w:rPr>
        <w:tab/>
      </w:r>
      <w:r w:rsidRPr="00580F76">
        <w:rPr>
          <w:rFonts w:cs="Arial"/>
          <w:sz w:val="20"/>
          <w:szCs w:val="20"/>
        </w:rPr>
        <w:tab/>
        <w:t>2882 136</w:t>
      </w:r>
    </w:p>
    <w:p w14:paraId="374B7932" w14:textId="77777777" w:rsidR="00AC11F7" w:rsidRPr="00580F76" w:rsidRDefault="00AC11F7" w:rsidP="00AC11F7">
      <w:pPr>
        <w:spacing w:after="0"/>
        <w:jc w:val="both"/>
        <w:rPr>
          <w:rFonts w:cs="Arial"/>
          <w:sz w:val="20"/>
          <w:szCs w:val="20"/>
        </w:rPr>
      </w:pPr>
      <w:r w:rsidRPr="00580F76">
        <w:rPr>
          <w:rFonts w:cs="Arial"/>
          <w:sz w:val="20"/>
          <w:szCs w:val="20"/>
        </w:rPr>
        <w:t>DIČ:</w:t>
      </w:r>
      <w:r w:rsidRPr="00580F76">
        <w:rPr>
          <w:sz w:val="20"/>
          <w:szCs w:val="20"/>
        </w:rPr>
        <w:tab/>
      </w:r>
      <w:r w:rsidRPr="00580F76">
        <w:rPr>
          <w:sz w:val="20"/>
          <w:szCs w:val="20"/>
        </w:rPr>
        <w:tab/>
      </w:r>
      <w:r w:rsidRPr="00580F76">
        <w:rPr>
          <w:sz w:val="20"/>
          <w:szCs w:val="20"/>
        </w:rPr>
        <w:tab/>
      </w:r>
      <w:r w:rsidRPr="00580F76">
        <w:rPr>
          <w:rFonts w:cs="Arial"/>
          <w:sz w:val="20"/>
          <w:szCs w:val="20"/>
        </w:rPr>
        <w:t>CZ28582136</w:t>
      </w:r>
    </w:p>
    <w:p w14:paraId="65754BBA" w14:textId="77777777" w:rsidR="00AC11F7" w:rsidRPr="00580F76" w:rsidRDefault="00AC11F7" w:rsidP="00AC11F7">
      <w:pPr>
        <w:jc w:val="both"/>
        <w:rPr>
          <w:rFonts w:cs="Arial"/>
          <w:sz w:val="20"/>
          <w:szCs w:val="20"/>
        </w:rPr>
      </w:pPr>
      <w:r w:rsidRPr="00580F76">
        <w:rPr>
          <w:rFonts w:cs="Arial"/>
          <w:sz w:val="20"/>
          <w:szCs w:val="20"/>
        </w:rPr>
        <w:t>Zastoupená:</w:t>
      </w:r>
      <w:r w:rsidRPr="00580F76">
        <w:rPr>
          <w:sz w:val="20"/>
          <w:szCs w:val="20"/>
        </w:rPr>
        <w:tab/>
      </w:r>
      <w:r w:rsidRPr="00580F76">
        <w:rPr>
          <w:sz w:val="20"/>
          <w:szCs w:val="20"/>
        </w:rPr>
        <w:tab/>
      </w:r>
      <w:r w:rsidRPr="00580F76">
        <w:rPr>
          <w:rFonts w:cs="Arial"/>
          <w:sz w:val="20"/>
          <w:szCs w:val="20"/>
        </w:rPr>
        <w:t xml:space="preserve">Ing. Ondřejem </w:t>
      </w:r>
      <w:proofErr w:type="spellStart"/>
      <w:r w:rsidRPr="00580F76">
        <w:rPr>
          <w:rFonts w:cs="Arial"/>
          <w:sz w:val="20"/>
          <w:szCs w:val="20"/>
        </w:rPr>
        <w:t>Groharem</w:t>
      </w:r>
      <w:proofErr w:type="spellEnd"/>
      <w:r w:rsidRPr="00580F76">
        <w:rPr>
          <w:rFonts w:cs="Arial"/>
          <w:sz w:val="20"/>
          <w:szCs w:val="20"/>
        </w:rPr>
        <w:t xml:space="preserve">, jednatelem     </w:t>
      </w:r>
    </w:p>
    <w:p w14:paraId="5FE7133B" w14:textId="77777777" w:rsidR="00AC11F7" w:rsidRPr="00580F76" w:rsidRDefault="00AC11F7" w:rsidP="00AC11F7">
      <w:pPr>
        <w:spacing w:after="0"/>
        <w:jc w:val="both"/>
        <w:rPr>
          <w:rFonts w:cs="Arial"/>
          <w:sz w:val="20"/>
          <w:szCs w:val="20"/>
        </w:rPr>
      </w:pPr>
      <w:r w:rsidRPr="00580F76">
        <w:rPr>
          <w:rFonts w:cs="Arial"/>
          <w:sz w:val="20"/>
          <w:szCs w:val="20"/>
        </w:rPr>
        <w:t>Bankovní spojení:</w:t>
      </w:r>
      <w:r w:rsidRPr="00580F76">
        <w:rPr>
          <w:sz w:val="20"/>
          <w:szCs w:val="20"/>
        </w:rPr>
        <w:tab/>
      </w:r>
      <w:r w:rsidRPr="00580F76">
        <w:rPr>
          <w:rFonts w:cs="Arial"/>
          <w:sz w:val="20"/>
          <w:szCs w:val="20"/>
        </w:rPr>
        <w:t>1821014359/0800 (Česká spořitelna a.s. Mohelnice)</w:t>
      </w:r>
    </w:p>
    <w:p w14:paraId="3ED9B785" w14:textId="7D0CD4B8" w:rsidR="00AC11F7" w:rsidRPr="00580F76" w:rsidRDefault="00AC11F7" w:rsidP="00AC11F7">
      <w:pPr>
        <w:spacing w:after="0"/>
        <w:jc w:val="both"/>
        <w:rPr>
          <w:rFonts w:cs="Arial"/>
          <w:sz w:val="20"/>
          <w:szCs w:val="20"/>
        </w:rPr>
      </w:pPr>
      <w:r w:rsidRPr="00580F76">
        <w:rPr>
          <w:rFonts w:cs="Arial"/>
          <w:sz w:val="20"/>
          <w:szCs w:val="20"/>
        </w:rPr>
        <w:t>Kontaktní osoba ve smluvních a obchodních záležitostech:</w:t>
      </w:r>
      <w:r w:rsidRPr="00580F76">
        <w:rPr>
          <w:sz w:val="20"/>
          <w:szCs w:val="20"/>
        </w:rPr>
        <w:t xml:space="preserve"> </w:t>
      </w:r>
      <w:proofErr w:type="spellStart"/>
      <w:r w:rsidR="00822A9A">
        <w:rPr>
          <w:rFonts w:cs="Arial"/>
          <w:sz w:val="20"/>
          <w:szCs w:val="20"/>
        </w:rPr>
        <w:t>xxx</w:t>
      </w:r>
      <w:proofErr w:type="spellEnd"/>
      <w:r w:rsidRPr="00580F76">
        <w:rPr>
          <w:rFonts w:cs="Arial"/>
          <w:sz w:val="20"/>
          <w:szCs w:val="20"/>
        </w:rPr>
        <w:t xml:space="preserve"> </w:t>
      </w:r>
    </w:p>
    <w:p w14:paraId="4162312C" w14:textId="65BD3EAD" w:rsidR="00AC11F7" w:rsidRPr="00580F76" w:rsidRDefault="00AC11F7" w:rsidP="00AC11F7">
      <w:pPr>
        <w:spacing w:after="0"/>
        <w:jc w:val="both"/>
        <w:rPr>
          <w:rFonts w:cs="Arial"/>
          <w:sz w:val="20"/>
          <w:szCs w:val="20"/>
        </w:rPr>
      </w:pPr>
      <w:r w:rsidRPr="00580F76">
        <w:rPr>
          <w:rFonts w:cs="Arial"/>
          <w:sz w:val="20"/>
          <w:szCs w:val="20"/>
        </w:rPr>
        <w:t xml:space="preserve">Kontaktní osoba v technických záležitostech: </w:t>
      </w:r>
      <w:proofErr w:type="spellStart"/>
      <w:r w:rsidR="00822A9A">
        <w:rPr>
          <w:rFonts w:cs="Arial"/>
          <w:sz w:val="20"/>
          <w:szCs w:val="20"/>
        </w:rPr>
        <w:t>xxx</w:t>
      </w:r>
      <w:proofErr w:type="spellEnd"/>
      <w:r w:rsidRPr="00580F76">
        <w:rPr>
          <w:rStyle w:val="Hypertextovodkaz"/>
          <w:rFonts w:cs="Arial"/>
          <w:sz w:val="20"/>
          <w:szCs w:val="20"/>
        </w:rPr>
        <w:t xml:space="preserve"> </w:t>
      </w:r>
    </w:p>
    <w:p w14:paraId="6F05463D" w14:textId="77777777" w:rsidR="00AC11F7" w:rsidRPr="00580F76" w:rsidRDefault="00AC11F7" w:rsidP="00AC11F7">
      <w:pPr>
        <w:spacing w:after="0"/>
        <w:jc w:val="both"/>
        <w:rPr>
          <w:rFonts w:cs="Arial"/>
          <w:sz w:val="20"/>
          <w:szCs w:val="20"/>
        </w:rPr>
      </w:pPr>
      <w:r w:rsidRPr="00580F76">
        <w:rPr>
          <w:rFonts w:cs="Arial"/>
          <w:sz w:val="20"/>
          <w:szCs w:val="20"/>
        </w:rPr>
        <w:t>(číslo Smlouvy poskytovatele: 2402-003)</w:t>
      </w:r>
    </w:p>
    <w:p w14:paraId="38648986" w14:textId="05DE613F" w:rsidR="00AC11F7" w:rsidRPr="00580F76" w:rsidRDefault="00AC11F7" w:rsidP="00AC11F7">
      <w:pPr>
        <w:spacing w:after="0"/>
        <w:jc w:val="both"/>
        <w:rPr>
          <w:rFonts w:cs="Arial"/>
          <w:i/>
          <w:iCs/>
          <w:sz w:val="20"/>
          <w:szCs w:val="20"/>
        </w:rPr>
      </w:pPr>
      <w:r w:rsidRPr="00580F76">
        <w:rPr>
          <w:rFonts w:cs="Arial"/>
          <w:i/>
          <w:iCs/>
          <w:sz w:val="20"/>
          <w:szCs w:val="20"/>
        </w:rPr>
        <w:t xml:space="preserve">(na straně druhé jako </w:t>
      </w:r>
      <w:r w:rsidRPr="00580F76">
        <w:rPr>
          <w:rFonts w:cs="Arial"/>
          <w:b/>
          <w:bCs/>
          <w:i/>
          <w:iCs/>
          <w:sz w:val="20"/>
          <w:szCs w:val="20"/>
        </w:rPr>
        <w:t>„</w:t>
      </w:r>
      <w:r w:rsidR="00C8764C" w:rsidRPr="00580F76">
        <w:rPr>
          <w:rFonts w:cs="Arial"/>
          <w:b/>
          <w:bCs/>
          <w:i/>
          <w:iCs/>
          <w:sz w:val="20"/>
          <w:szCs w:val="20"/>
        </w:rPr>
        <w:t>P</w:t>
      </w:r>
      <w:r w:rsidRPr="00580F76">
        <w:rPr>
          <w:rFonts w:cs="Arial"/>
          <w:b/>
          <w:bCs/>
          <w:i/>
          <w:iCs/>
          <w:sz w:val="20"/>
          <w:szCs w:val="20"/>
        </w:rPr>
        <w:t>oskytovatel“</w:t>
      </w:r>
      <w:r w:rsidRPr="00580F76">
        <w:rPr>
          <w:rFonts w:cs="Arial"/>
          <w:i/>
          <w:iCs/>
          <w:sz w:val="20"/>
          <w:szCs w:val="20"/>
        </w:rPr>
        <w:t>)</w:t>
      </w:r>
    </w:p>
    <w:p w14:paraId="4FE02904" w14:textId="2956E5A3" w:rsidR="00381B89" w:rsidRPr="00580F76" w:rsidRDefault="00AC11F7" w:rsidP="00AC11F7">
      <w:pPr>
        <w:pStyle w:val="RLdajeosmluvnstran"/>
        <w:jc w:val="both"/>
        <w:rPr>
          <w:sz w:val="20"/>
          <w:szCs w:val="20"/>
        </w:rPr>
      </w:pPr>
      <w:r w:rsidRPr="00580F76">
        <w:rPr>
          <w:rFonts w:cs="Arial"/>
          <w:sz w:val="20"/>
          <w:szCs w:val="20"/>
        </w:rPr>
        <w:t>(</w:t>
      </w:r>
      <w:r w:rsidR="00C8764C" w:rsidRPr="00580F76">
        <w:rPr>
          <w:rFonts w:cs="Arial"/>
          <w:sz w:val="20"/>
          <w:szCs w:val="20"/>
        </w:rPr>
        <w:t>U</w:t>
      </w:r>
      <w:r w:rsidRPr="00580F76">
        <w:rPr>
          <w:rFonts w:cs="Arial"/>
          <w:sz w:val="20"/>
          <w:szCs w:val="20"/>
        </w:rPr>
        <w:t xml:space="preserve">živatel a </w:t>
      </w:r>
      <w:r w:rsidR="00C8764C" w:rsidRPr="00580F76">
        <w:rPr>
          <w:rFonts w:cs="Arial"/>
          <w:sz w:val="20"/>
          <w:szCs w:val="20"/>
        </w:rPr>
        <w:t>P</w:t>
      </w:r>
      <w:r w:rsidRPr="00580F76">
        <w:rPr>
          <w:rFonts w:cs="Arial"/>
          <w:sz w:val="20"/>
          <w:szCs w:val="20"/>
        </w:rPr>
        <w:t xml:space="preserve">oskytovatel společně dále též jen </w:t>
      </w:r>
      <w:r w:rsidRPr="00580F76">
        <w:rPr>
          <w:rFonts w:cs="Arial"/>
          <w:b/>
          <w:bCs/>
          <w:sz w:val="20"/>
          <w:szCs w:val="20"/>
        </w:rPr>
        <w:t>„</w:t>
      </w:r>
      <w:r w:rsidR="00C8764C" w:rsidRPr="00580F76">
        <w:rPr>
          <w:rFonts w:cs="Arial"/>
          <w:b/>
          <w:bCs/>
          <w:sz w:val="20"/>
          <w:szCs w:val="20"/>
        </w:rPr>
        <w:t>S</w:t>
      </w:r>
      <w:r w:rsidRPr="00580F76">
        <w:rPr>
          <w:rFonts w:cs="Arial"/>
          <w:b/>
          <w:bCs/>
          <w:sz w:val="20"/>
          <w:szCs w:val="20"/>
        </w:rPr>
        <w:t>mluvní strany“</w:t>
      </w:r>
      <w:r w:rsidRPr="00580F76">
        <w:rPr>
          <w:rFonts w:cs="Arial"/>
          <w:sz w:val="20"/>
          <w:szCs w:val="20"/>
        </w:rPr>
        <w:t>)</w:t>
      </w:r>
    </w:p>
    <w:p w14:paraId="3D68835B" w14:textId="77777777" w:rsidR="00381B89" w:rsidRPr="00580F76" w:rsidRDefault="00381B89" w:rsidP="00381B89">
      <w:pPr>
        <w:pStyle w:val="RLdajeosmluvnstran"/>
        <w:jc w:val="both"/>
        <w:rPr>
          <w:sz w:val="20"/>
          <w:szCs w:val="20"/>
        </w:rPr>
      </w:pPr>
      <w:r w:rsidRPr="00580F76">
        <w:rPr>
          <w:sz w:val="20"/>
          <w:szCs w:val="20"/>
        </w:rPr>
        <w:t>Vzhledem k tomu, že</w:t>
      </w:r>
    </w:p>
    <w:p w14:paraId="63DDB031" w14:textId="77777777" w:rsidR="00580F76" w:rsidRDefault="00AC11F7" w:rsidP="007C11C2">
      <w:pPr>
        <w:pStyle w:val="Odstavecseseznamem"/>
        <w:numPr>
          <w:ilvl w:val="0"/>
          <w:numId w:val="2"/>
        </w:numPr>
        <w:spacing w:after="120"/>
        <w:ind w:left="357" w:hanging="357"/>
        <w:contextualSpacing w:val="0"/>
        <w:jc w:val="both"/>
        <w:rPr>
          <w:rFonts w:ascii="Calibri" w:eastAsia="Times New Roman" w:hAnsi="Calibri" w:cs="Times New Roman"/>
          <w:sz w:val="20"/>
          <w:szCs w:val="20"/>
        </w:rPr>
      </w:pPr>
      <w:r w:rsidRPr="00580F76">
        <w:rPr>
          <w:rFonts w:ascii="Calibri" w:eastAsia="Times New Roman" w:hAnsi="Calibri" w:cs="Times New Roman"/>
          <w:sz w:val="20"/>
          <w:szCs w:val="20"/>
        </w:rPr>
        <w:t xml:space="preserve">Uživatel byl pověřen </w:t>
      </w:r>
      <w:r w:rsidR="00580F76" w:rsidRPr="00580F76">
        <w:rPr>
          <w:rFonts w:ascii="Calibri" w:eastAsia="Times New Roman" w:hAnsi="Calibri" w:cs="Times New Roman"/>
          <w:sz w:val="20"/>
          <w:szCs w:val="20"/>
        </w:rPr>
        <w:t>zabezpečením</w:t>
      </w:r>
      <w:r w:rsidRPr="00580F76">
        <w:rPr>
          <w:rFonts w:ascii="Calibri" w:eastAsia="Times New Roman" w:hAnsi="Calibri" w:cs="Times New Roman"/>
          <w:sz w:val="20"/>
          <w:szCs w:val="20"/>
        </w:rPr>
        <w:t xml:space="preserve"> služeb spojených se zajištěním správy a provozu energetického nástroje pro Hlavní město Prahu, IČO: 00064581 (dále jen </w:t>
      </w:r>
      <w:r w:rsidRPr="00580F76">
        <w:rPr>
          <w:rFonts w:ascii="Calibri" w:eastAsia="Times New Roman" w:hAnsi="Calibri" w:cs="Times New Roman"/>
          <w:b/>
          <w:bCs/>
          <w:sz w:val="20"/>
          <w:szCs w:val="20"/>
        </w:rPr>
        <w:t>„HMP“</w:t>
      </w:r>
      <w:r w:rsidRPr="00580F76">
        <w:rPr>
          <w:rFonts w:ascii="Calibri" w:eastAsia="Times New Roman" w:hAnsi="Calibri" w:cs="Times New Roman"/>
          <w:sz w:val="20"/>
          <w:szCs w:val="20"/>
        </w:rPr>
        <w:t xml:space="preserve">), přičemž dané služby spočívají zejména </w:t>
      </w:r>
      <w:r w:rsidR="00C8764C" w:rsidRPr="00580F76">
        <w:rPr>
          <w:rFonts w:ascii="Calibri" w:eastAsia="Times New Roman" w:hAnsi="Calibri" w:cs="Times New Roman"/>
          <w:sz w:val="20"/>
          <w:szCs w:val="20"/>
        </w:rPr>
        <w:t xml:space="preserve">v kontrole, reportingu, evidenci a predikci spotřeby energií v oblasti elektrické energie, vody, zemního plynu aj. v návaznosti na historická data spotřeby, </w:t>
      </w:r>
    </w:p>
    <w:p w14:paraId="12ECD976" w14:textId="06FEB739" w:rsidR="00AC11F7" w:rsidRPr="00580F76" w:rsidRDefault="00580F76" w:rsidP="007C11C2">
      <w:pPr>
        <w:pStyle w:val="Odstavecseseznamem"/>
        <w:numPr>
          <w:ilvl w:val="0"/>
          <w:numId w:val="2"/>
        </w:numPr>
        <w:spacing w:after="120"/>
        <w:ind w:left="357" w:hanging="357"/>
        <w:contextualSpacing w:val="0"/>
        <w:jc w:val="both"/>
        <w:rPr>
          <w:rFonts w:ascii="Calibri" w:eastAsia="Times New Roman" w:hAnsi="Calibri" w:cs="Times New Roman"/>
          <w:sz w:val="20"/>
          <w:szCs w:val="20"/>
        </w:rPr>
      </w:pPr>
      <w:r>
        <w:rPr>
          <w:rFonts w:ascii="Calibri" w:eastAsia="Times New Roman" w:hAnsi="Calibri" w:cs="Times New Roman"/>
          <w:sz w:val="20"/>
          <w:szCs w:val="20"/>
        </w:rPr>
        <w:t xml:space="preserve">V návaznosti na výše uvedené pověření </w:t>
      </w:r>
      <w:r w:rsidR="00C8764C" w:rsidRPr="00580F76">
        <w:rPr>
          <w:rFonts w:ascii="Calibri" w:eastAsia="Times New Roman" w:hAnsi="Calibri" w:cs="Times New Roman"/>
          <w:sz w:val="20"/>
          <w:szCs w:val="20"/>
        </w:rPr>
        <w:t xml:space="preserve">uzavřely Smluvní strany dne 29. 2. 2024 Smlouvu o poskytování služeb spočívajících v přístupu k webové aplikaci </w:t>
      </w:r>
      <w:proofErr w:type="spellStart"/>
      <w:r w:rsidR="00C8764C" w:rsidRPr="00580F76">
        <w:rPr>
          <w:rFonts w:ascii="Calibri" w:eastAsia="Times New Roman" w:hAnsi="Calibri" w:cs="Times New Roman"/>
          <w:sz w:val="20"/>
          <w:szCs w:val="20"/>
        </w:rPr>
        <w:t>EnergyBroker</w:t>
      </w:r>
      <w:proofErr w:type="spellEnd"/>
      <w:r w:rsidR="00C8764C" w:rsidRPr="00580F76">
        <w:rPr>
          <w:rFonts w:ascii="Calibri" w:eastAsia="Times New Roman" w:hAnsi="Calibri" w:cs="Times New Roman"/>
          <w:sz w:val="20"/>
          <w:szCs w:val="20"/>
        </w:rPr>
        <w:t xml:space="preserve"> a zajištění jejího servisu (dále jen </w:t>
      </w:r>
      <w:r w:rsidR="00C8764C" w:rsidRPr="00580F76">
        <w:rPr>
          <w:rFonts w:ascii="Calibri" w:eastAsia="Times New Roman" w:hAnsi="Calibri" w:cs="Times New Roman"/>
          <w:b/>
          <w:bCs/>
          <w:sz w:val="20"/>
          <w:szCs w:val="20"/>
        </w:rPr>
        <w:t>„Smlouva“</w:t>
      </w:r>
      <w:r w:rsidR="00C8764C" w:rsidRPr="00580F76">
        <w:rPr>
          <w:rFonts w:ascii="Calibri" w:eastAsia="Times New Roman" w:hAnsi="Calibri" w:cs="Times New Roman"/>
          <w:sz w:val="20"/>
          <w:szCs w:val="20"/>
        </w:rPr>
        <w:t>);</w:t>
      </w:r>
    </w:p>
    <w:p w14:paraId="04409132" w14:textId="44AC672F" w:rsidR="00C8764C" w:rsidRPr="00580F76" w:rsidRDefault="00C8764C" w:rsidP="00517C04">
      <w:pPr>
        <w:pStyle w:val="Odstavecseseznamem"/>
        <w:numPr>
          <w:ilvl w:val="0"/>
          <w:numId w:val="2"/>
        </w:numPr>
        <w:ind w:left="360"/>
        <w:jc w:val="both"/>
        <w:rPr>
          <w:rFonts w:ascii="Calibri" w:eastAsia="Times New Roman" w:hAnsi="Calibri" w:cs="Times New Roman"/>
          <w:sz w:val="20"/>
          <w:szCs w:val="20"/>
        </w:rPr>
      </w:pPr>
      <w:r w:rsidRPr="00580F76">
        <w:rPr>
          <w:rFonts w:ascii="Calibri" w:eastAsia="Times New Roman" w:hAnsi="Calibri" w:cs="Times New Roman"/>
          <w:sz w:val="20"/>
          <w:szCs w:val="20"/>
        </w:rPr>
        <w:t xml:space="preserve">Smlouva byla uzavřena na základě výsledku jednacího řízení bez uveřejnění s názvem </w:t>
      </w:r>
      <w:r w:rsidRPr="00580F76">
        <w:rPr>
          <w:rFonts w:ascii="Calibri" w:eastAsia="Times New Roman" w:hAnsi="Calibri" w:cs="Times New Roman"/>
          <w:b/>
          <w:bCs/>
          <w:i/>
          <w:iCs/>
          <w:sz w:val="20"/>
          <w:szCs w:val="20"/>
        </w:rPr>
        <w:t>„Nástroj energetického managementu“</w:t>
      </w:r>
      <w:r w:rsidRPr="00580F76">
        <w:rPr>
          <w:rFonts w:ascii="Calibri" w:eastAsia="Times New Roman" w:hAnsi="Calibri" w:cs="Times New Roman"/>
          <w:sz w:val="20"/>
          <w:szCs w:val="20"/>
        </w:rPr>
        <w:t xml:space="preserve">, realizovaného v souladu s § 63 odst. 5 zákona č. 134/2016 Sb. </w:t>
      </w:r>
      <w:r w:rsidR="007C11C2" w:rsidRPr="00580F76">
        <w:rPr>
          <w:rFonts w:ascii="Calibri" w:eastAsia="Times New Roman" w:hAnsi="Calibri" w:cs="Times New Roman"/>
          <w:sz w:val="20"/>
          <w:szCs w:val="20"/>
        </w:rPr>
        <w:br/>
      </w:r>
      <w:r w:rsidRPr="00580F76">
        <w:rPr>
          <w:rFonts w:ascii="Calibri" w:eastAsia="Times New Roman" w:hAnsi="Calibri" w:cs="Times New Roman"/>
          <w:sz w:val="20"/>
          <w:szCs w:val="20"/>
        </w:rPr>
        <w:t xml:space="preserve">o zadávání veřejných zakázek, ve znění pozdějších předpisů (dále jen </w:t>
      </w:r>
      <w:r w:rsidRPr="00580F76">
        <w:rPr>
          <w:rFonts w:ascii="Calibri" w:eastAsia="Times New Roman" w:hAnsi="Calibri" w:cs="Times New Roman"/>
          <w:b/>
          <w:bCs/>
          <w:sz w:val="20"/>
          <w:szCs w:val="20"/>
        </w:rPr>
        <w:t>„ZZVZ“</w:t>
      </w:r>
      <w:r w:rsidRPr="00580F76">
        <w:rPr>
          <w:rFonts w:ascii="Calibri" w:eastAsia="Times New Roman" w:hAnsi="Calibri" w:cs="Times New Roman"/>
          <w:sz w:val="20"/>
          <w:szCs w:val="20"/>
        </w:rPr>
        <w:t xml:space="preserve">), a v souladu se zákonem </w:t>
      </w:r>
      <w:r w:rsidR="00580F76">
        <w:rPr>
          <w:rFonts w:ascii="Calibri" w:eastAsia="Times New Roman" w:hAnsi="Calibri" w:cs="Times New Roman"/>
          <w:sz w:val="20"/>
          <w:szCs w:val="20"/>
        </w:rPr>
        <w:br/>
      </w:r>
      <w:r w:rsidRPr="00580F76">
        <w:rPr>
          <w:rFonts w:ascii="Calibri" w:eastAsia="Times New Roman" w:hAnsi="Calibri" w:cs="Times New Roman"/>
          <w:sz w:val="20"/>
          <w:szCs w:val="20"/>
        </w:rPr>
        <w:t xml:space="preserve">č. 89/2012 Sb., občanský zákoník, ve znění pozdějších předpisů (dále též jen </w:t>
      </w:r>
      <w:r w:rsidRPr="00580F76">
        <w:rPr>
          <w:rFonts w:ascii="Calibri" w:eastAsia="Times New Roman" w:hAnsi="Calibri" w:cs="Times New Roman"/>
          <w:b/>
          <w:bCs/>
          <w:sz w:val="20"/>
          <w:szCs w:val="20"/>
        </w:rPr>
        <w:t>„Občanský zákoník“</w:t>
      </w:r>
      <w:r w:rsidRPr="00580F76">
        <w:rPr>
          <w:rFonts w:ascii="Calibri" w:eastAsia="Times New Roman" w:hAnsi="Calibri" w:cs="Times New Roman"/>
          <w:sz w:val="20"/>
          <w:szCs w:val="20"/>
        </w:rPr>
        <w:t>);</w:t>
      </w:r>
    </w:p>
    <w:p w14:paraId="403B6CE6" w14:textId="091257B1" w:rsidR="00C8764C" w:rsidRPr="00580F76" w:rsidRDefault="00C8764C" w:rsidP="00580F76">
      <w:pPr>
        <w:pStyle w:val="RLdajeosmluvnstran"/>
        <w:numPr>
          <w:ilvl w:val="0"/>
          <w:numId w:val="2"/>
        </w:numPr>
        <w:ind w:left="360"/>
        <w:jc w:val="both"/>
        <w:rPr>
          <w:rFonts w:asciiTheme="minorHAnsi" w:hAnsiTheme="minorHAnsi" w:cstheme="minorHAnsi"/>
          <w:sz w:val="20"/>
          <w:szCs w:val="20"/>
        </w:rPr>
      </w:pPr>
      <w:r w:rsidRPr="00580F76">
        <w:rPr>
          <w:rFonts w:asciiTheme="minorHAnsi" w:hAnsiTheme="minorHAnsi" w:cstheme="minorHAnsi"/>
          <w:sz w:val="20"/>
          <w:szCs w:val="20"/>
        </w:rPr>
        <w:t>Na základě Smlouvy se Poskytovatel zavázal mj. poskytovat Uživateli služby energetického portálu v rozsahu uvedeném v </w:t>
      </w:r>
      <w:r w:rsidRPr="00580F76">
        <w:rPr>
          <w:rFonts w:asciiTheme="minorHAnsi" w:hAnsiTheme="minorHAnsi" w:cstheme="minorHAnsi"/>
          <w:i/>
          <w:iCs/>
          <w:sz w:val="20"/>
          <w:szCs w:val="20"/>
        </w:rPr>
        <w:t>Příloze č. 1 Smlouvy – Technická specifikace</w:t>
      </w:r>
      <w:r w:rsidRPr="00580F76">
        <w:rPr>
          <w:rFonts w:asciiTheme="minorHAnsi" w:hAnsiTheme="minorHAnsi" w:cstheme="minorHAnsi"/>
          <w:sz w:val="20"/>
          <w:szCs w:val="20"/>
        </w:rPr>
        <w:t>, a to po dobu až 12 měsíců. Služby energetického portálu zahrnují zejména servis softwaru, údržb</w:t>
      </w:r>
      <w:r w:rsidR="00C16FE7">
        <w:rPr>
          <w:rFonts w:asciiTheme="minorHAnsi" w:hAnsiTheme="minorHAnsi" w:cstheme="minorHAnsi"/>
          <w:sz w:val="20"/>
          <w:szCs w:val="20"/>
        </w:rPr>
        <w:t>u</w:t>
      </w:r>
      <w:r w:rsidR="00580F76">
        <w:rPr>
          <w:rFonts w:asciiTheme="minorHAnsi" w:hAnsiTheme="minorHAnsi" w:cstheme="minorHAnsi"/>
          <w:sz w:val="20"/>
          <w:szCs w:val="20"/>
        </w:rPr>
        <w:t xml:space="preserve"> </w:t>
      </w:r>
      <w:r w:rsidRPr="00580F76">
        <w:rPr>
          <w:rFonts w:asciiTheme="minorHAnsi" w:hAnsiTheme="minorHAnsi" w:cstheme="minorHAnsi"/>
          <w:sz w:val="20"/>
          <w:szCs w:val="20"/>
        </w:rPr>
        <w:t xml:space="preserve">a upgrade softwaru, dále poskytování uživatelské podpory, </w:t>
      </w:r>
      <w:r w:rsidRPr="00580F76">
        <w:rPr>
          <w:rFonts w:asciiTheme="minorHAnsi" w:hAnsiTheme="minorHAnsi" w:cstheme="minorHAnsi"/>
          <w:sz w:val="20"/>
          <w:szCs w:val="20"/>
        </w:rPr>
        <w:lastRenderedPageBreak/>
        <w:t xml:space="preserve">zabezpečení dat a reporting. V rámci služeb energetického portálu zajištuje Poskytovatel </w:t>
      </w:r>
      <w:r w:rsidR="00C16FE7">
        <w:rPr>
          <w:rFonts w:asciiTheme="minorHAnsi" w:hAnsiTheme="minorHAnsi" w:cstheme="minorHAnsi"/>
          <w:sz w:val="20"/>
          <w:szCs w:val="20"/>
        </w:rPr>
        <w:t xml:space="preserve">rovněž </w:t>
      </w:r>
      <w:r w:rsidRPr="00580F76">
        <w:rPr>
          <w:rFonts w:asciiTheme="minorHAnsi" w:hAnsiTheme="minorHAnsi" w:cstheme="minorHAnsi"/>
          <w:sz w:val="20"/>
          <w:szCs w:val="20"/>
        </w:rPr>
        <w:t>Uživateli přístup k softwaru pro vybrané uživatele a automatické hlídání aktuálnosti dat v systému, včetně reportingu vybraným dodavatelům;</w:t>
      </w:r>
    </w:p>
    <w:p w14:paraId="7227A063" w14:textId="1240F916" w:rsidR="007C11C2" w:rsidRPr="00580F76" w:rsidRDefault="007C11C2" w:rsidP="00580F76">
      <w:pPr>
        <w:pStyle w:val="RLdajeosmluvnstran"/>
        <w:numPr>
          <w:ilvl w:val="0"/>
          <w:numId w:val="2"/>
        </w:numPr>
        <w:ind w:left="360"/>
        <w:jc w:val="both"/>
        <w:rPr>
          <w:rFonts w:asciiTheme="minorHAnsi" w:hAnsiTheme="minorHAnsi" w:cstheme="minorHAnsi"/>
          <w:sz w:val="20"/>
          <w:szCs w:val="20"/>
        </w:rPr>
      </w:pPr>
      <w:r w:rsidRPr="00580F76">
        <w:rPr>
          <w:rFonts w:asciiTheme="minorHAnsi" w:hAnsiTheme="minorHAnsi" w:cstheme="minorHAnsi"/>
          <w:sz w:val="20"/>
          <w:szCs w:val="20"/>
        </w:rPr>
        <w:t xml:space="preserve">Za poskytování služeb energetického portálu platí Uživatel Poskytovateli pravidelný měsíční paušál ve výši </w:t>
      </w:r>
      <w:proofErr w:type="spellStart"/>
      <w:r w:rsidR="00822A9A">
        <w:rPr>
          <w:rFonts w:asciiTheme="minorHAnsi" w:hAnsiTheme="minorHAnsi" w:cstheme="minorHAnsi"/>
          <w:sz w:val="20"/>
          <w:szCs w:val="20"/>
        </w:rPr>
        <w:t>xxx</w:t>
      </w:r>
      <w:proofErr w:type="spellEnd"/>
      <w:r w:rsidRPr="00580F76">
        <w:rPr>
          <w:rFonts w:asciiTheme="minorHAnsi" w:hAnsiTheme="minorHAnsi" w:cstheme="minorHAnsi"/>
          <w:sz w:val="20"/>
          <w:szCs w:val="20"/>
        </w:rPr>
        <w:t xml:space="preserve"> Kč bez DPH/měsíc a k dnešnímu dni dosáhlo celkové čerpání</w:t>
      </w:r>
      <w:r w:rsidR="00C16FE7">
        <w:rPr>
          <w:rFonts w:asciiTheme="minorHAnsi" w:hAnsiTheme="minorHAnsi" w:cstheme="minorHAnsi"/>
          <w:sz w:val="20"/>
          <w:szCs w:val="20"/>
        </w:rPr>
        <w:t xml:space="preserve"> všech služeb</w:t>
      </w:r>
      <w:r w:rsidRPr="00580F76">
        <w:rPr>
          <w:rFonts w:asciiTheme="minorHAnsi" w:hAnsiTheme="minorHAnsi" w:cstheme="minorHAnsi"/>
          <w:sz w:val="20"/>
          <w:szCs w:val="20"/>
        </w:rPr>
        <w:t xml:space="preserve"> ze Smlouvy výše </w:t>
      </w:r>
      <w:proofErr w:type="spellStart"/>
      <w:r w:rsidR="00822A9A">
        <w:rPr>
          <w:rFonts w:asciiTheme="minorHAnsi" w:hAnsiTheme="minorHAnsi" w:cstheme="minorHAnsi"/>
          <w:sz w:val="20"/>
          <w:szCs w:val="20"/>
        </w:rPr>
        <w:t>xxx</w:t>
      </w:r>
      <w:proofErr w:type="spellEnd"/>
      <w:r w:rsidRPr="00580F76">
        <w:rPr>
          <w:rFonts w:asciiTheme="minorHAnsi" w:hAnsiTheme="minorHAnsi" w:cstheme="minorHAnsi"/>
          <w:sz w:val="20"/>
          <w:szCs w:val="20"/>
        </w:rPr>
        <w:t xml:space="preserve"> Kč bez DPH;</w:t>
      </w:r>
    </w:p>
    <w:p w14:paraId="1859ABC7" w14:textId="23EA832D" w:rsidR="007C11C2" w:rsidRPr="00580F76" w:rsidRDefault="00C8764C" w:rsidP="00580F76">
      <w:pPr>
        <w:pStyle w:val="RLdajeosmluvnstran"/>
        <w:numPr>
          <w:ilvl w:val="0"/>
          <w:numId w:val="2"/>
        </w:numPr>
        <w:ind w:left="360"/>
        <w:jc w:val="both"/>
        <w:rPr>
          <w:rFonts w:asciiTheme="minorHAnsi" w:hAnsiTheme="minorHAnsi" w:cstheme="minorHAnsi"/>
          <w:sz w:val="20"/>
          <w:szCs w:val="20"/>
        </w:rPr>
      </w:pPr>
      <w:r w:rsidRPr="00580F76">
        <w:rPr>
          <w:rFonts w:asciiTheme="minorHAnsi" w:hAnsiTheme="minorHAnsi" w:cstheme="minorHAnsi"/>
          <w:sz w:val="20"/>
          <w:szCs w:val="20"/>
        </w:rPr>
        <w:t xml:space="preserve">V průběhu plnění Smlouvy došlo na základě pokynu ze strany HMP k prodloužení </w:t>
      </w:r>
      <w:r w:rsidR="007C11C2" w:rsidRPr="00580F76">
        <w:rPr>
          <w:rFonts w:asciiTheme="minorHAnsi" w:hAnsiTheme="minorHAnsi" w:cstheme="minorHAnsi"/>
          <w:sz w:val="20"/>
          <w:szCs w:val="20"/>
        </w:rPr>
        <w:t>potřeby zajištění</w:t>
      </w:r>
      <w:r w:rsidRPr="00580F76">
        <w:rPr>
          <w:rFonts w:asciiTheme="minorHAnsi" w:hAnsiTheme="minorHAnsi" w:cstheme="minorHAnsi"/>
          <w:sz w:val="20"/>
          <w:szCs w:val="20"/>
        </w:rPr>
        <w:t xml:space="preserve"> služeb energetického portálu o jeden (1) měsíc, tedy do </w:t>
      </w:r>
      <w:r w:rsidR="007C11C2" w:rsidRPr="00580F76">
        <w:rPr>
          <w:rFonts w:asciiTheme="minorHAnsi" w:hAnsiTheme="minorHAnsi" w:cstheme="minorHAnsi"/>
          <w:sz w:val="20"/>
          <w:szCs w:val="20"/>
        </w:rPr>
        <w:t>31. 3. 2025.</w:t>
      </w:r>
    </w:p>
    <w:p w14:paraId="14FCCD17" w14:textId="4154A1FA" w:rsidR="00C93859" w:rsidRDefault="007C11C2" w:rsidP="00C16FE7">
      <w:pPr>
        <w:pStyle w:val="Odstavecseseznamem"/>
        <w:spacing w:before="120" w:line="276" w:lineRule="auto"/>
        <w:ind w:left="0"/>
        <w:jc w:val="both"/>
        <w:rPr>
          <w:rFonts w:cstheme="minorHAnsi"/>
          <w:sz w:val="20"/>
          <w:szCs w:val="20"/>
        </w:rPr>
      </w:pPr>
      <w:r w:rsidRPr="00580F76">
        <w:rPr>
          <w:rFonts w:cstheme="minorHAnsi"/>
          <w:sz w:val="20"/>
          <w:szCs w:val="20"/>
        </w:rPr>
        <w:t xml:space="preserve">Přistupují Smluvní strany s ohledem na </w:t>
      </w:r>
      <w:r w:rsidR="00B466DD" w:rsidRPr="00580F76">
        <w:rPr>
          <w:rFonts w:cstheme="minorHAnsi"/>
          <w:sz w:val="20"/>
          <w:szCs w:val="20"/>
        </w:rPr>
        <w:t>výše popsanou situaci</w:t>
      </w:r>
      <w:r w:rsidR="00DB68BA" w:rsidRPr="00580F76">
        <w:rPr>
          <w:rFonts w:cstheme="minorHAnsi"/>
          <w:sz w:val="20"/>
          <w:szCs w:val="20"/>
        </w:rPr>
        <w:t xml:space="preserve"> níže uvedeného dne, měsíce a roku </w:t>
      </w:r>
      <w:r w:rsidR="006C62FF" w:rsidRPr="00580F76">
        <w:rPr>
          <w:rFonts w:cstheme="minorHAnsi"/>
          <w:sz w:val="20"/>
          <w:szCs w:val="20"/>
        </w:rPr>
        <w:t xml:space="preserve">v souladu </w:t>
      </w:r>
      <w:r w:rsidR="00C16FE7">
        <w:rPr>
          <w:rFonts w:cstheme="minorHAnsi"/>
          <w:sz w:val="20"/>
          <w:szCs w:val="20"/>
        </w:rPr>
        <w:br/>
      </w:r>
      <w:r w:rsidR="006C62FF" w:rsidRPr="00580F76">
        <w:rPr>
          <w:rFonts w:cstheme="minorHAnsi"/>
          <w:sz w:val="20"/>
          <w:szCs w:val="20"/>
        </w:rPr>
        <w:t>s čl. VIII. odst. 9. Smlouvy a § 222 odst. 4 ZZVZ</w:t>
      </w:r>
      <w:r w:rsidR="00C16FE7">
        <w:rPr>
          <w:rFonts w:cstheme="minorHAnsi"/>
          <w:sz w:val="20"/>
          <w:szCs w:val="20"/>
        </w:rPr>
        <w:t xml:space="preserve"> k uzavření</w:t>
      </w:r>
      <w:r w:rsidR="006C62FF" w:rsidRPr="00580F76">
        <w:rPr>
          <w:rFonts w:cstheme="minorHAnsi"/>
          <w:sz w:val="20"/>
          <w:szCs w:val="20"/>
        </w:rPr>
        <w:t xml:space="preserve"> </w:t>
      </w:r>
      <w:r w:rsidR="00DB68BA" w:rsidRPr="00580F76">
        <w:rPr>
          <w:rFonts w:cstheme="minorHAnsi"/>
          <w:sz w:val="20"/>
          <w:szCs w:val="20"/>
        </w:rPr>
        <w:t>t</w:t>
      </w:r>
      <w:r w:rsidR="00C16FE7">
        <w:rPr>
          <w:rFonts w:cstheme="minorHAnsi"/>
          <w:sz w:val="20"/>
          <w:szCs w:val="20"/>
        </w:rPr>
        <w:t>ohoto</w:t>
      </w:r>
      <w:r w:rsidR="00DB68BA" w:rsidRPr="00580F76">
        <w:rPr>
          <w:rFonts w:cstheme="minorHAnsi"/>
          <w:sz w:val="20"/>
          <w:szCs w:val="20"/>
        </w:rPr>
        <w:t xml:space="preserve"> dodatk</w:t>
      </w:r>
      <w:r w:rsidR="00C16FE7">
        <w:rPr>
          <w:rFonts w:cstheme="minorHAnsi"/>
          <w:sz w:val="20"/>
          <w:szCs w:val="20"/>
        </w:rPr>
        <w:t>u</w:t>
      </w:r>
      <w:r w:rsidR="00DB68BA" w:rsidRPr="00580F76">
        <w:rPr>
          <w:rFonts w:cstheme="minorHAnsi"/>
          <w:sz w:val="20"/>
          <w:szCs w:val="20"/>
        </w:rPr>
        <w:t xml:space="preserve"> (dále jen „</w:t>
      </w:r>
      <w:r w:rsidR="00DB68BA" w:rsidRPr="00580F76">
        <w:rPr>
          <w:rFonts w:cstheme="minorHAnsi"/>
          <w:b/>
          <w:bCs/>
          <w:sz w:val="20"/>
          <w:szCs w:val="20"/>
        </w:rPr>
        <w:t>Dodatek</w:t>
      </w:r>
      <w:r w:rsidR="006C62FF" w:rsidRPr="00580F76">
        <w:rPr>
          <w:rFonts w:cstheme="minorHAnsi"/>
          <w:sz w:val="20"/>
          <w:szCs w:val="20"/>
        </w:rPr>
        <w:t>“)</w:t>
      </w:r>
      <w:r w:rsidR="00517C04" w:rsidRPr="00580F76">
        <w:rPr>
          <w:rFonts w:cstheme="minorHAnsi"/>
          <w:sz w:val="20"/>
          <w:szCs w:val="20"/>
        </w:rPr>
        <w:t>.</w:t>
      </w:r>
      <w:r w:rsidR="00B466DD" w:rsidRPr="00580F76">
        <w:rPr>
          <w:rFonts w:cstheme="minorHAnsi"/>
          <w:sz w:val="20"/>
          <w:szCs w:val="20"/>
        </w:rPr>
        <w:t xml:space="preserve"> </w:t>
      </w:r>
    </w:p>
    <w:p w14:paraId="5C00E285" w14:textId="77777777" w:rsidR="00C93859" w:rsidRPr="00580F76" w:rsidRDefault="00C93859" w:rsidP="00C16FE7">
      <w:pPr>
        <w:pStyle w:val="Odstavecseseznamem"/>
        <w:spacing w:before="120" w:line="276" w:lineRule="auto"/>
        <w:ind w:left="0"/>
        <w:jc w:val="both"/>
        <w:rPr>
          <w:rFonts w:cstheme="minorHAnsi"/>
          <w:sz w:val="20"/>
          <w:szCs w:val="20"/>
        </w:rPr>
      </w:pPr>
    </w:p>
    <w:p w14:paraId="465E9591" w14:textId="77777777" w:rsidR="00381B89" w:rsidRPr="008755B9" w:rsidRDefault="00381B89" w:rsidP="00381B89">
      <w:pPr>
        <w:pStyle w:val="RLdajeosmluvnstran"/>
        <w:jc w:val="both"/>
        <w:rPr>
          <w:b/>
          <w:bCs/>
          <w:szCs w:val="22"/>
        </w:rPr>
      </w:pPr>
      <w:bookmarkStart w:id="0" w:name="_Hlk137452562"/>
      <w:r w:rsidRPr="008755B9">
        <w:rPr>
          <w:b/>
          <w:bCs/>
          <w:szCs w:val="22"/>
        </w:rPr>
        <w:t>I. PŘEDMĚT DODATKU</w:t>
      </w:r>
    </w:p>
    <w:bookmarkEnd w:id="0"/>
    <w:p w14:paraId="1056FA2D" w14:textId="4B1130CE" w:rsidR="006C62FF" w:rsidRPr="00580F76" w:rsidRDefault="006C62FF" w:rsidP="006C62FF">
      <w:pPr>
        <w:pStyle w:val="Odstavecseseznamem"/>
        <w:numPr>
          <w:ilvl w:val="0"/>
          <w:numId w:val="6"/>
        </w:numPr>
        <w:tabs>
          <w:tab w:val="left" w:pos="426"/>
        </w:tabs>
        <w:spacing w:before="120" w:after="120" w:line="240" w:lineRule="auto"/>
        <w:ind w:left="454" w:hanging="454"/>
        <w:contextualSpacing w:val="0"/>
        <w:jc w:val="both"/>
        <w:rPr>
          <w:rFonts w:ascii="Calibri" w:hAnsi="Calibri" w:cs="Times New Roman"/>
          <w:sz w:val="20"/>
          <w:szCs w:val="20"/>
        </w:rPr>
      </w:pPr>
      <w:r w:rsidRPr="00580F76">
        <w:rPr>
          <w:rFonts w:ascii="Calibri" w:hAnsi="Calibri" w:cs="Times New Roman"/>
          <w:sz w:val="20"/>
          <w:szCs w:val="20"/>
        </w:rPr>
        <w:t>Tímto Dodatkem dochází k</w:t>
      </w:r>
      <w:r w:rsidR="00C16FE7">
        <w:rPr>
          <w:rFonts w:ascii="Calibri" w:hAnsi="Calibri" w:cs="Times New Roman"/>
          <w:sz w:val="20"/>
          <w:szCs w:val="20"/>
        </w:rPr>
        <w:t> </w:t>
      </w:r>
      <w:r w:rsidRPr="00580F76">
        <w:rPr>
          <w:rFonts w:ascii="Calibri" w:hAnsi="Calibri" w:cs="Times New Roman"/>
          <w:sz w:val="20"/>
          <w:szCs w:val="20"/>
        </w:rPr>
        <w:t>prodloužení</w:t>
      </w:r>
      <w:r w:rsidR="00C16FE7">
        <w:rPr>
          <w:rFonts w:ascii="Calibri" w:hAnsi="Calibri" w:cs="Times New Roman"/>
          <w:sz w:val="20"/>
          <w:szCs w:val="20"/>
        </w:rPr>
        <w:t xml:space="preserve"> doby</w:t>
      </w:r>
      <w:r w:rsidRPr="00580F76">
        <w:rPr>
          <w:rFonts w:ascii="Calibri" w:hAnsi="Calibri" w:cs="Times New Roman"/>
          <w:sz w:val="20"/>
          <w:szCs w:val="20"/>
        </w:rPr>
        <w:t xml:space="preserve"> poskytování služeb energetického portálu ve smyslu </w:t>
      </w:r>
      <w:r w:rsidR="00580F76">
        <w:rPr>
          <w:rFonts w:ascii="Calibri" w:hAnsi="Calibri" w:cs="Times New Roman"/>
          <w:sz w:val="20"/>
          <w:szCs w:val="20"/>
        </w:rPr>
        <w:br/>
      </w:r>
      <w:r w:rsidRPr="00580F76">
        <w:rPr>
          <w:rFonts w:ascii="Calibri" w:hAnsi="Calibri" w:cs="Times New Roman"/>
          <w:sz w:val="20"/>
          <w:szCs w:val="20"/>
        </w:rPr>
        <w:t xml:space="preserve">čl. III. odst. 1. písm. a) a b) Smlouvy o jeden kalendářní měsíc, tzn. do 31. 3. 2025. </w:t>
      </w:r>
    </w:p>
    <w:p w14:paraId="207E85E2" w14:textId="0EC52439" w:rsidR="006C62FF" w:rsidRPr="00580F76" w:rsidRDefault="006C62FF" w:rsidP="006C62FF">
      <w:pPr>
        <w:pStyle w:val="Odstavecseseznamem"/>
        <w:numPr>
          <w:ilvl w:val="0"/>
          <w:numId w:val="6"/>
        </w:numPr>
        <w:tabs>
          <w:tab w:val="left" w:pos="426"/>
        </w:tabs>
        <w:spacing w:before="120" w:after="120" w:line="240" w:lineRule="auto"/>
        <w:ind w:left="454" w:hanging="454"/>
        <w:contextualSpacing w:val="0"/>
        <w:jc w:val="both"/>
        <w:rPr>
          <w:rFonts w:ascii="Calibri" w:hAnsi="Calibri" w:cs="Times New Roman"/>
          <w:sz w:val="20"/>
          <w:szCs w:val="20"/>
        </w:rPr>
      </w:pPr>
      <w:r w:rsidRPr="00580F76">
        <w:rPr>
          <w:rFonts w:ascii="Calibri" w:hAnsi="Calibri" w:cs="Times New Roman"/>
          <w:sz w:val="20"/>
          <w:szCs w:val="20"/>
        </w:rPr>
        <w:t xml:space="preserve">Na prodlouženou dobu plnění služeb energetického portálu se uplatní podmínky stanovené ve Smlouvě, </w:t>
      </w:r>
      <w:r w:rsidR="00580F76">
        <w:rPr>
          <w:rFonts w:ascii="Calibri" w:hAnsi="Calibri" w:cs="Times New Roman"/>
          <w:sz w:val="20"/>
          <w:szCs w:val="20"/>
        </w:rPr>
        <w:br/>
      </w:r>
      <w:r w:rsidRPr="00580F76">
        <w:rPr>
          <w:rFonts w:ascii="Calibri" w:hAnsi="Calibri" w:cs="Times New Roman"/>
          <w:sz w:val="20"/>
          <w:szCs w:val="20"/>
        </w:rPr>
        <w:t>vč. měsíční paušální ceny náležící Poskytovateli, tzn. 215 000,- Kč bez DPH/měsíc.</w:t>
      </w:r>
    </w:p>
    <w:p w14:paraId="24FB20CA" w14:textId="6D8A3735" w:rsidR="00517C04" w:rsidRDefault="00517C04" w:rsidP="006C62FF">
      <w:pPr>
        <w:pStyle w:val="Odstavecseseznamem"/>
        <w:numPr>
          <w:ilvl w:val="0"/>
          <w:numId w:val="6"/>
        </w:numPr>
        <w:tabs>
          <w:tab w:val="left" w:pos="426"/>
        </w:tabs>
        <w:spacing w:before="120" w:after="120" w:line="240" w:lineRule="auto"/>
        <w:ind w:left="454" w:hanging="454"/>
        <w:contextualSpacing w:val="0"/>
        <w:jc w:val="both"/>
        <w:rPr>
          <w:rFonts w:cstheme="minorHAnsi"/>
          <w:sz w:val="20"/>
          <w:szCs w:val="20"/>
        </w:rPr>
      </w:pPr>
      <w:r w:rsidRPr="00580F76">
        <w:rPr>
          <w:rFonts w:cstheme="minorHAnsi"/>
          <w:sz w:val="20"/>
          <w:szCs w:val="20"/>
        </w:rPr>
        <w:t xml:space="preserve">Smluvní strany výslovně uvádí, že tímto Dodatkem nedochází ke změně ostatních </w:t>
      </w:r>
      <w:r w:rsidR="006C62FF" w:rsidRPr="00580F76">
        <w:rPr>
          <w:rFonts w:cstheme="minorHAnsi"/>
          <w:sz w:val="20"/>
          <w:szCs w:val="20"/>
        </w:rPr>
        <w:t>ustanovení Smlouvy</w:t>
      </w:r>
      <w:r w:rsidRPr="00580F76">
        <w:rPr>
          <w:rFonts w:cstheme="minorHAnsi"/>
          <w:sz w:val="20"/>
          <w:szCs w:val="20"/>
        </w:rPr>
        <w:t>,</w:t>
      </w:r>
      <w:r w:rsidR="006C62FF" w:rsidRPr="00580F76">
        <w:rPr>
          <w:rFonts w:cstheme="minorHAnsi"/>
          <w:sz w:val="20"/>
          <w:szCs w:val="20"/>
        </w:rPr>
        <w:t xml:space="preserve"> </w:t>
      </w:r>
      <w:r w:rsidR="00C16FE7">
        <w:rPr>
          <w:rFonts w:cstheme="minorHAnsi"/>
          <w:sz w:val="20"/>
          <w:szCs w:val="20"/>
        </w:rPr>
        <w:br/>
      </w:r>
      <w:r w:rsidR="006C62FF" w:rsidRPr="00580F76">
        <w:rPr>
          <w:rFonts w:cstheme="minorHAnsi"/>
          <w:sz w:val="20"/>
          <w:szCs w:val="20"/>
        </w:rPr>
        <w:t>resp. že ke dni podpisu tohoto Dodatku vůči sobě nemají žádné dosud nesplacené a/nebo nerealizované závazky plynoucí ze Smlouvy.</w:t>
      </w:r>
    </w:p>
    <w:p w14:paraId="394FFD83" w14:textId="77777777" w:rsidR="00C93859" w:rsidRPr="00580F76" w:rsidRDefault="00C93859" w:rsidP="00C93859">
      <w:pPr>
        <w:pStyle w:val="Odstavecseseznamem"/>
        <w:tabs>
          <w:tab w:val="left" w:pos="426"/>
        </w:tabs>
        <w:spacing w:before="120" w:after="120" w:line="240" w:lineRule="auto"/>
        <w:ind w:left="454"/>
        <w:contextualSpacing w:val="0"/>
        <w:jc w:val="both"/>
        <w:rPr>
          <w:rFonts w:cstheme="minorHAnsi"/>
          <w:sz w:val="20"/>
          <w:szCs w:val="20"/>
        </w:rPr>
      </w:pPr>
    </w:p>
    <w:p w14:paraId="1205AA4C" w14:textId="77777777" w:rsidR="00381B89" w:rsidRPr="0086028A" w:rsidRDefault="00381B89" w:rsidP="00381B89">
      <w:pPr>
        <w:pStyle w:val="RLdajeosmluvnstran"/>
        <w:jc w:val="both"/>
        <w:rPr>
          <w:rFonts w:asciiTheme="minorHAnsi" w:hAnsiTheme="minorHAnsi" w:cstheme="minorHAnsi"/>
          <w:b/>
        </w:rPr>
      </w:pPr>
      <w:r w:rsidRPr="008755B9">
        <w:rPr>
          <w:b/>
          <w:bCs/>
          <w:szCs w:val="22"/>
        </w:rPr>
        <w:t xml:space="preserve">II. </w:t>
      </w:r>
      <w:r w:rsidRPr="0086028A">
        <w:rPr>
          <w:rFonts w:asciiTheme="minorHAnsi" w:hAnsiTheme="minorHAnsi" w:cstheme="minorHAnsi"/>
          <w:b/>
        </w:rPr>
        <w:t xml:space="preserve">ZÁVĚREČNÁ USTANOVENÍ </w:t>
      </w:r>
      <w:r>
        <w:rPr>
          <w:rFonts w:asciiTheme="minorHAnsi" w:hAnsiTheme="minorHAnsi" w:cstheme="minorHAnsi"/>
          <w:b/>
        </w:rPr>
        <w:tab/>
      </w:r>
    </w:p>
    <w:p w14:paraId="7E62EBF7" w14:textId="091EDAE9" w:rsidR="00381B89" w:rsidRPr="00580F76" w:rsidRDefault="00BD4B1A"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S</w:t>
      </w:r>
      <w:r w:rsidR="006A5078" w:rsidRPr="00580F76">
        <w:rPr>
          <w:sz w:val="20"/>
          <w:szCs w:val="20"/>
        </w:rPr>
        <w:t>mluvní s</w:t>
      </w:r>
      <w:r w:rsidRPr="00580F76">
        <w:rPr>
          <w:sz w:val="20"/>
          <w:szCs w:val="20"/>
        </w:rPr>
        <w:t xml:space="preserve">trany prohlašují, že postupovaly v souladu </w:t>
      </w:r>
      <w:r w:rsidR="00F2404C" w:rsidRPr="00580F76">
        <w:rPr>
          <w:sz w:val="20"/>
          <w:szCs w:val="20"/>
        </w:rPr>
        <w:t>s</w:t>
      </w:r>
      <w:r w:rsidR="006C62FF" w:rsidRPr="00580F76">
        <w:rPr>
          <w:sz w:val="20"/>
          <w:szCs w:val="20"/>
        </w:rPr>
        <w:t> </w:t>
      </w:r>
      <w:r w:rsidR="00F2404C" w:rsidRPr="00580F76">
        <w:rPr>
          <w:sz w:val="20"/>
          <w:szCs w:val="20"/>
        </w:rPr>
        <w:t>ZZVZ</w:t>
      </w:r>
      <w:r w:rsidR="006C62FF" w:rsidRPr="00580F76">
        <w:rPr>
          <w:sz w:val="20"/>
          <w:szCs w:val="20"/>
        </w:rPr>
        <w:t xml:space="preserve"> a že s ohledem na cenu služeb, jejichž plnění bude prodlouženo na základě tohoto Dodatku, j</w:t>
      </w:r>
      <w:r w:rsidR="00580F76" w:rsidRPr="00580F76">
        <w:rPr>
          <w:sz w:val="20"/>
          <w:szCs w:val="20"/>
        </w:rPr>
        <w:t xml:space="preserve">sou splněny podmínky pro změnu závazku </w:t>
      </w:r>
      <w:r w:rsidR="00C16FE7">
        <w:rPr>
          <w:sz w:val="20"/>
          <w:szCs w:val="20"/>
        </w:rPr>
        <w:t xml:space="preserve">ze smlouvy </w:t>
      </w:r>
      <w:r w:rsidR="00580F76" w:rsidRPr="00580F76">
        <w:rPr>
          <w:sz w:val="20"/>
          <w:szCs w:val="20"/>
        </w:rPr>
        <w:t xml:space="preserve">v souladu </w:t>
      </w:r>
      <w:r w:rsidR="00580F76">
        <w:rPr>
          <w:sz w:val="20"/>
          <w:szCs w:val="20"/>
        </w:rPr>
        <w:br/>
      </w:r>
      <w:r w:rsidR="00580F76" w:rsidRPr="00580F76">
        <w:rPr>
          <w:sz w:val="20"/>
          <w:szCs w:val="20"/>
        </w:rPr>
        <w:t>s § 222 odst. 4 ZZVZ.</w:t>
      </w:r>
      <w:r w:rsidR="00381B89" w:rsidRPr="00580F76">
        <w:rPr>
          <w:sz w:val="20"/>
          <w:szCs w:val="20"/>
        </w:rPr>
        <w:t xml:space="preserve"> </w:t>
      </w:r>
    </w:p>
    <w:p w14:paraId="34035213" w14:textId="77777777" w:rsidR="00381B89" w:rsidRPr="00580F76" w:rsidRDefault="00381B89"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 xml:space="preserve">Veškeré pojmy či definice, pokud z kontextu tohoto Dodatku neplyne něco jiného, mají stejný význam jako ve Smlouvě.  </w:t>
      </w:r>
    </w:p>
    <w:p w14:paraId="7E7079BE" w14:textId="77777777" w:rsidR="00381B89" w:rsidRPr="00580F76" w:rsidRDefault="00381B89"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 xml:space="preserve">Ostatní ustanovení Smlouvy zůstávají tímto Dodatkem nezměněná a v platnosti.  </w:t>
      </w:r>
    </w:p>
    <w:p w14:paraId="3BFB5BDE" w14:textId="77EE54B4" w:rsidR="00381B89" w:rsidRPr="00580F76" w:rsidRDefault="00381B89"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w:t>
      </w:r>
      <w:r w:rsidR="006A5078" w:rsidRPr="00580F76">
        <w:rPr>
          <w:sz w:val="20"/>
          <w:szCs w:val="20"/>
        </w:rPr>
        <w:t>mluvní s</w:t>
      </w:r>
      <w:r w:rsidRPr="00580F76">
        <w:rPr>
          <w:sz w:val="20"/>
          <w:szCs w:val="20"/>
        </w:rPr>
        <w:t xml:space="preserve">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5003894" w14:textId="569D4DB0" w:rsidR="00381B89" w:rsidRPr="00580F76" w:rsidRDefault="006A5078"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Smluvní strany</w:t>
      </w:r>
      <w:r w:rsidR="00381B89" w:rsidRPr="00580F76">
        <w:rPr>
          <w:sz w:val="20"/>
          <w:szCs w:val="20"/>
        </w:rPr>
        <w:t xml:space="preserve">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w:t>
      </w:r>
      <w:r w:rsidRPr="00580F76">
        <w:rPr>
          <w:sz w:val="20"/>
          <w:szCs w:val="20"/>
        </w:rPr>
        <w:t>Smluvní strany</w:t>
      </w:r>
      <w:r w:rsidR="00381B89" w:rsidRPr="00580F76">
        <w:rPr>
          <w:sz w:val="20"/>
          <w:szCs w:val="20"/>
        </w:rPr>
        <w:t xml:space="preserve"> berou dále na vědomí, že tento Dodatek nabývá účinnosti nejdříve dnem jeho uveřejnění prostřednictvím registru smluv. </w:t>
      </w:r>
      <w:r w:rsidR="00580F76" w:rsidRPr="00580F76">
        <w:rPr>
          <w:sz w:val="20"/>
          <w:szCs w:val="20"/>
        </w:rPr>
        <w:t>Uživatel</w:t>
      </w:r>
      <w:r w:rsidR="00B23D75" w:rsidRPr="00580F76">
        <w:rPr>
          <w:sz w:val="20"/>
          <w:szCs w:val="20"/>
        </w:rPr>
        <w:t xml:space="preserve"> </w:t>
      </w:r>
      <w:r w:rsidR="00381B89" w:rsidRPr="00580F76">
        <w:rPr>
          <w:sz w:val="20"/>
          <w:szCs w:val="20"/>
        </w:rPr>
        <w:t xml:space="preserve">zašle tento Dodatek správci registru smluv k uveřejnění bez zbytečného odkladu, nejpozději však do třiceti (30) dnů od jeho uzavření. Nebude-li tento Dodatek zaslán </w:t>
      </w:r>
      <w:r w:rsidR="00580F76">
        <w:rPr>
          <w:sz w:val="20"/>
          <w:szCs w:val="20"/>
        </w:rPr>
        <w:br/>
      </w:r>
      <w:r w:rsidR="00381B89" w:rsidRPr="00580F76">
        <w:rPr>
          <w:sz w:val="20"/>
          <w:szCs w:val="20"/>
        </w:rPr>
        <w:t>k uveřejnění a/nebo uveřejněn prostřednictvím registru smluv, není žádná ze S</w:t>
      </w:r>
      <w:r w:rsidRPr="00580F76">
        <w:rPr>
          <w:sz w:val="20"/>
          <w:szCs w:val="20"/>
        </w:rPr>
        <w:t>mluvních stran</w:t>
      </w:r>
      <w:r w:rsidR="00381B89" w:rsidRPr="00580F76">
        <w:rPr>
          <w:sz w:val="20"/>
          <w:szCs w:val="20"/>
        </w:rPr>
        <w:t xml:space="preserve"> oprávněna požadovat po druhé S</w:t>
      </w:r>
      <w:r w:rsidRPr="00580F76">
        <w:rPr>
          <w:sz w:val="20"/>
          <w:szCs w:val="20"/>
        </w:rPr>
        <w:t>mluvní s</w:t>
      </w:r>
      <w:r w:rsidR="00381B89" w:rsidRPr="00580F76">
        <w:rPr>
          <w:sz w:val="20"/>
          <w:szCs w:val="20"/>
        </w:rPr>
        <w:t xml:space="preserve">traně náhradu škody ani jiné újmy, která by jí v této souvislosti vznikla nebo vzniknout mohla.  </w:t>
      </w:r>
    </w:p>
    <w:p w14:paraId="648752F1" w14:textId="264AE037" w:rsidR="00381B89" w:rsidRPr="00580F76" w:rsidRDefault="006A5078"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Smluvní strany</w:t>
      </w:r>
      <w:r w:rsidR="00381B89" w:rsidRPr="00580F76">
        <w:rPr>
          <w:sz w:val="20"/>
          <w:szCs w:val="20"/>
        </w:rPr>
        <w:t xml:space="preserve"> prohlašují, že skutečnosti uvedené v tomto Dodatku nepovažují za obchodní tajemství </w:t>
      </w:r>
      <w:r w:rsidR="00580F76">
        <w:rPr>
          <w:sz w:val="20"/>
          <w:szCs w:val="20"/>
        </w:rPr>
        <w:br/>
      </w:r>
      <w:r w:rsidR="00381B89" w:rsidRPr="00580F76">
        <w:rPr>
          <w:sz w:val="20"/>
          <w:szCs w:val="20"/>
        </w:rPr>
        <w:t xml:space="preserve">ve smyslu § 504 Občanského zákoníku a udělují svolení k jejich užití a zveřejnění, s výjimkou osobních údajů. </w:t>
      </w:r>
    </w:p>
    <w:p w14:paraId="3685C4D6" w14:textId="0A4A11E6" w:rsidR="00381B89" w:rsidRPr="00580F76" w:rsidRDefault="00381B89" w:rsidP="00517C04">
      <w:pPr>
        <w:pStyle w:val="Odstavecseseznamem"/>
        <w:numPr>
          <w:ilvl w:val="1"/>
          <w:numId w:val="4"/>
        </w:numPr>
        <w:spacing w:before="120" w:after="120"/>
        <w:ind w:left="357" w:hanging="357"/>
        <w:contextualSpacing w:val="0"/>
        <w:jc w:val="both"/>
        <w:rPr>
          <w:sz w:val="20"/>
          <w:szCs w:val="20"/>
        </w:rPr>
      </w:pPr>
      <w:r w:rsidRPr="00580F76">
        <w:rPr>
          <w:sz w:val="20"/>
          <w:szCs w:val="20"/>
        </w:rPr>
        <w:lastRenderedPageBreak/>
        <w:t xml:space="preserve">Tento Dodatek je vyhotoven ve </w:t>
      </w:r>
      <w:r w:rsidR="00580F76" w:rsidRPr="00580F76">
        <w:rPr>
          <w:sz w:val="20"/>
          <w:szCs w:val="20"/>
        </w:rPr>
        <w:t>dvou</w:t>
      </w:r>
      <w:r w:rsidRPr="00580F76">
        <w:rPr>
          <w:sz w:val="20"/>
          <w:szCs w:val="20"/>
        </w:rPr>
        <w:t xml:space="preserve"> (</w:t>
      </w:r>
      <w:r w:rsidR="00580F76" w:rsidRPr="00580F76">
        <w:rPr>
          <w:sz w:val="20"/>
          <w:szCs w:val="20"/>
        </w:rPr>
        <w:t>2</w:t>
      </w:r>
      <w:r w:rsidRPr="00580F76">
        <w:rPr>
          <w:sz w:val="20"/>
          <w:szCs w:val="20"/>
        </w:rPr>
        <w:t xml:space="preserve">) stejnopisech, z nichž </w:t>
      </w:r>
      <w:r w:rsidR="00580F76" w:rsidRPr="00580F76">
        <w:rPr>
          <w:sz w:val="20"/>
          <w:szCs w:val="20"/>
        </w:rPr>
        <w:t>každá Smluvní strana</w:t>
      </w:r>
      <w:r w:rsidRPr="00580F76">
        <w:rPr>
          <w:sz w:val="20"/>
          <w:szCs w:val="20"/>
        </w:rPr>
        <w:t xml:space="preserve"> obdrží jedno </w:t>
      </w:r>
      <w:r w:rsidR="00580F76">
        <w:rPr>
          <w:sz w:val="20"/>
          <w:szCs w:val="20"/>
        </w:rPr>
        <w:br/>
      </w:r>
      <w:r w:rsidRPr="00580F76">
        <w:rPr>
          <w:sz w:val="20"/>
          <w:szCs w:val="20"/>
        </w:rPr>
        <w:t xml:space="preserve">(1) vyhotovení. Pokud bude tento Dodatek uzavřen v elektronické podobě, bude vyhotoven v jednom </w:t>
      </w:r>
      <w:r w:rsidR="00580F76">
        <w:rPr>
          <w:sz w:val="20"/>
          <w:szCs w:val="20"/>
        </w:rPr>
        <w:br/>
      </w:r>
      <w:r w:rsidRPr="00580F76">
        <w:rPr>
          <w:sz w:val="20"/>
          <w:szCs w:val="20"/>
        </w:rPr>
        <w:t>(1) stejnopise, na němž budou uvedeny podpisy zástupců S</w:t>
      </w:r>
      <w:r w:rsidR="006A5078" w:rsidRPr="00580F76">
        <w:rPr>
          <w:sz w:val="20"/>
          <w:szCs w:val="20"/>
        </w:rPr>
        <w:t>mluvních stran</w:t>
      </w:r>
      <w:r w:rsidRPr="00580F76">
        <w:rPr>
          <w:sz w:val="20"/>
          <w:szCs w:val="20"/>
        </w:rPr>
        <w:t xml:space="preserve"> v elektronické podobě. </w:t>
      </w:r>
    </w:p>
    <w:p w14:paraId="44DD250D" w14:textId="1DB25CE9" w:rsidR="00381B89" w:rsidRPr="00580F76" w:rsidRDefault="006A5078" w:rsidP="00517C04">
      <w:pPr>
        <w:pStyle w:val="Odstavecseseznamem"/>
        <w:numPr>
          <w:ilvl w:val="1"/>
          <w:numId w:val="4"/>
        </w:numPr>
        <w:spacing w:before="120" w:after="120"/>
        <w:ind w:left="357" w:hanging="357"/>
        <w:contextualSpacing w:val="0"/>
        <w:jc w:val="both"/>
        <w:rPr>
          <w:sz w:val="20"/>
          <w:szCs w:val="20"/>
        </w:rPr>
      </w:pPr>
      <w:r w:rsidRPr="00580F76">
        <w:rPr>
          <w:sz w:val="20"/>
          <w:szCs w:val="20"/>
        </w:rPr>
        <w:t>Smluvní strany</w:t>
      </w:r>
      <w:r w:rsidR="00381B89" w:rsidRPr="00580F76">
        <w:rPr>
          <w:sz w:val="20"/>
          <w:szCs w:val="20"/>
        </w:rPr>
        <w:t xml:space="preserve">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w:t>
      </w:r>
      <w:r w:rsidRPr="00580F76">
        <w:rPr>
          <w:sz w:val="20"/>
          <w:szCs w:val="20"/>
        </w:rPr>
        <w:t>mluvních s</w:t>
      </w:r>
      <w:r w:rsidR="00381B89" w:rsidRPr="00580F76">
        <w:rPr>
          <w:sz w:val="20"/>
          <w:szCs w:val="20"/>
        </w:rPr>
        <w:t>tran své podpisy.</w:t>
      </w:r>
    </w:p>
    <w:p w14:paraId="72E33F5B" w14:textId="77777777" w:rsidR="00381B89" w:rsidRDefault="00381B89" w:rsidP="00381B89">
      <w:pPr>
        <w:pStyle w:val="RLdajeosmluvnstran"/>
        <w:jc w:val="both"/>
        <w:rPr>
          <w:szCs w:val="22"/>
        </w:rPr>
      </w:pPr>
    </w:p>
    <w:tbl>
      <w:tblPr>
        <w:tblW w:w="0" w:type="auto"/>
        <w:jc w:val="center"/>
        <w:tblLook w:val="01E0" w:firstRow="1" w:lastRow="1" w:firstColumn="1" w:lastColumn="1" w:noHBand="0" w:noVBand="0"/>
      </w:tblPr>
      <w:tblGrid>
        <w:gridCol w:w="4271"/>
        <w:gridCol w:w="4271"/>
      </w:tblGrid>
      <w:tr w:rsidR="00381B89" w:rsidRPr="00580F76" w14:paraId="07002783" w14:textId="77777777" w:rsidTr="00580F76">
        <w:trPr>
          <w:trHeight w:hRule="exact" w:val="1145"/>
          <w:jc w:val="center"/>
        </w:trPr>
        <w:tc>
          <w:tcPr>
            <w:tcW w:w="4271" w:type="dxa"/>
          </w:tcPr>
          <w:p w14:paraId="69933405" w14:textId="2D2C6ECB" w:rsidR="00381B89" w:rsidRPr="00580F76" w:rsidRDefault="00580F76" w:rsidP="004833E2">
            <w:pPr>
              <w:jc w:val="center"/>
              <w:rPr>
                <w:b/>
                <w:sz w:val="20"/>
                <w:szCs w:val="22"/>
              </w:rPr>
            </w:pPr>
            <w:r w:rsidRPr="00580F76">
              <w:rPr>
                <w:b/>
                <w:sz w:val="20"/>
                <w:szCs w:val="22"/>
              </w:rPr>
              <w:t>Uživatel</w:t>
            </w:r>
          </w:p>
          <w:p w14:paraId="4F3F85E6" w14:textId="77777777" w:rsidR="00381B89" w:rsidRPr="00580F76" w:rsidRDefault="00381B89" w:rsidP="004833E2">
            <w:pPr>
              <w:jc w:val="center"/>
              <w:rPr>
                <w:sz w:val="20"/>
                <w:szCs w:val="22"/>
                <w:lang w:eastAsia="en-US"/>
              </w:rPr>
            </w:pPr>
          </w:p>
          <w:p w14:paraId="078B6940" w14:textId="77777777" w:rsidR="00381B89" w:rsidRPr="00580F76" w:rsidRDefault="00381B89" w:rsidP="004833E2">
            <w:pPr>
              <w:rPr>
                <w:sz w:val="20"/>
                <w:szCs w:val="22"/>
              </w:rPr>
            </w:pPr>
          </w:p>
          <w:p w14:paraId="0A515EA6" w14:textId="77777777" w:rsidR="00381B89" w:rsidRPr="00580F76" w:rsidRDefault="00381B89" w:rsidP="004833E2">
            <w:pPr>
              <w:rPr>
                <w:sz w:val="20"/>
                <w:szCs w:val="22"/>
              </w:rPr>
            </w:pPr>
          </w:p>
          <w:p w14:paraId="6EA8AD3A" w14:textId="77777777" w:rsidR="00381B89" w:rsidRPr="00580F76" w:rsidRDefault="00381B89" w:rsidP="004833E2">
            <w:pPr>
              <w:rPr>
                <w:sz w:val="20"/>
                <w:szCs w:val="22"/>
              </w:rPr>
            </w:pPr>
          </w:p>
        </w:tc>
        <w:tc>
          <w:tcPr>
            <w:tcW w:w="4271" w:type="dxa"/>
          </w:tcPr>
          <w:p w14:paraId="580A84FD" w14:textId="70E86142" w:rsidR="00381B89" w:rsidRPr="00580F76" w:rsidRDefault="00B23D75" w:rsidP="004833E2">
            <w:pPr>
              <w:jc w:val="center"/>
              <w:rPr>
                <w:b/>
                <w:sz w:val="20"/>
                <w:szCs w:val="22"/>
              </w:rPr>
            </w:pPr>
            <w:r w:rsidRPr="00580F76">
              <w:rPr>
                <w:b/>
                <w:sz w:val="20"/>
                <w:szCs w:val="22"/>
              </w:rPr>
              <w:t>P</w:t>
            </w:r>
            <w:r w:rsidR="00580F76" w:rsidRPr="00580F76">
              <w:rPr>
                <w:b/>
                <w:sz w:val="20"/>
                <w:szCs w:val="22"/>
              </w:rPr>
              <w:t xml:space="preserve">oskytovatel </w:t>
            </w:r>
          </w:p>
          <w:p w14:paraId="269CCA55" w14:textId="77777777" w:rsidR="00381B89" w:rsidRPr="00580F76" w:rsidRDefault="00381B89" w:rsidP="004833E2">
            <w:pPr>
              <w:jc w:val="center"/>
              <w:rPr>
                <w:sz w:val="20"/>
                <w:szCs w:val="22"/>
                <w:lang w:eastAsia="en-US"/>
              </w:rPr>
            </w:pPr>
          </w:p>
          <w:p w14:paraId="680AF259" w14:textId="3CF9F595" w:rsidR="00381B89" w:rsidRPr="00580F76" w:rsidRDefault="00381B89" w:rsidP="004833E2">
            <w:pPr>
              <w:jc w:val="center"/>
              <w:rPr>
                <w:sz w:val="20"/>
                <w:szCs w:val="22"/>
                <w:lang w:eastAsia="en-US"/>
              </w:rPr>
            </w:pPr>
          </w:p>
        </w:tc>
      </w:tr>
    </w:tbl>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76"/>
        <w:gridCol w:w="3860"/>
      </w:tblGrid>
      <w:tr w:rsidR="00580F76" w14:paraId="1F4DB1D2" w14:textId="77777777" w:rsidTr="008B754D">
        <w:trPr>
          <w:trHeight w:val="713"/>
          <w:jc w:val="center"/>
        </w:trPr>
        <w:tc>
          <w:tcPr>
            <w:tcW w:w="3823" w:type="dxa"/>
            <w:tcBorders>
              <w:bottom w:val="single" w:sz="4" w:space="0" w:color="auto"/>
            </w:tcBorders>
          </w:tcPr>
          <w:p w14:paraId="386F1DD5" w14:textId="77777777" w:rsidR="00580F76" w:rsidRDefault="00580F76" w:rsidP="008B754D">
            <w:pPr>
              <w:tabs>
                <w:tab w:val="left" w:pos="5812"/>
              </w:tabs>
              <w:rPr>
                <w:rFonts w:cs="Arial"/>
                <w:sz w:val="20"/>
                <w:szCs w:val="20"/>
              </w:rPr>
            </w:pPr>
          </w:p>
        </w:tc>
        <w:tc>
          <w:tcPr>
            <w:tcW w:w="676" w:type="dxa"/>
          </w:tcPr>
          <w:p w14:paraId="19D83A5D" w14:textId="77777777" w:rsidR="00580F76" w:rsidRDefault="00580F76" w:rsidP="008B754D">
            <w:pPr>
              <w:tabs>
                <w:tab w:val="left" w:pos="5812"/>
              </w:tabs>
              <w:rPr>
                <w:rFonts w:cs="Arial"/>
                <w:sz w:val="20"/>
                <w:szCs w:val="20"/>
              </w:rPr>
            </w:pPr>
          </w:p>
        </w:tc>
        <w:tc>
          <w:tcPr>
            <w:tcW w:w="3860" w:type="dxa"/>
            <w:tcBorders>
              <w:bottom w:val="single" w:sz="4" w:space="0" w:color="auto"/>
            </w:tcBorders>
          </w:tcPr>
          <w:p w14:paraId="1743CE4A" w14:textId="77777777" w:rsidR="00580F76" w:rsidRDefault="00580F76" w:rsidP="008B754D">
            <w:pPr>
              <w:tabs>
                <w:tab w:val="left" w:pos="5812"/>
              </w:tabs>
              <w:rPr>
                <w:rFonts w:cs="Arial"/>
                <w:sz w:val="20"/>
                <w:szCs w:val="20"/>
              </w:rPr>
            </w:pPr>
          </w:p>
        </w:tc>
      </w:tr>
      <w:tr w:rsidR="00580F76" w14:paraId="2309E070" w14:textId="77777777" w:rsidTr="008B754D">
        <w:trPr>
          <w:jc w:val="center"/>
        </w:trPr>
        <w:tc>
          <w:tcPr>
            <w:tcW w:w="3823" w:type="dxa"/>
            <w:tcBorders>
              <w:top w:val="single" w:sz="4" w:space="0" w:color="auto"/>
            </w:tcBorders>
          </w:tcPr>
          <w:p w14:paraId="02AB7CF7" w14:textId="77777777" w:rsidR="00580F76" w:rsidRDefault="00580F76" w:rsidP="00580F76">
            <w:pPr>
              <w:tabs>
                <w:tab w:val="left" w:pos="5812"/>
              </w:tabs>
              <w:spacing w:after="0"/>
              <w:jc w:val="center"/>
              <w:rPr>
                <w:rFonts w:cs="Arial"/>
                <w:sz w:val="20"/>
                <w:szCs w:val="20"/>
              </w:rPr>
            </w:pPr>
            <w:r>
              <w:rPr>
                <w:rFonts w:cs="Arial"/>
                <w:sz w:val="20"/>
                <w:szCs w:val="20"/>
              </w:rPr>
              <w:t>Tomáš Jílek, předseda představenstva</w:t>
            </w:r>
          </w:p>
          <w:p w14:paraId="07E5C1A3" w14:textId="77777777" w:rsidR="00580F76" w:rsidRDefault="00580F76" w:rsidP="008B754D">
            <w:pPr>
              <w:tabs>
                <w:tab w:val="left" w:pos="5812"/>
              </w:tabs>
              <w:jc w:val="center"/>
              <w:rPr>
                <w:rFonts w:cs="Arial"/>
                <w:sz w:val="20"/>
                <w:szCs w:val="20"/>
              </w:rPr>
            </w:pPr>
            <w:r>
              <w:rPr>
                <w:rFonts w:cs="Arial"/>
                <w:sz w:val="20"/>
                <w:szCs w:val="20"/>
              </w:rPr>
              <w:t>Technologie hlavního města Prahy, a.s.</w:t>
            </w:r>
          </w:p>
        </w:tc>
        <w:tc>
          <w:tcPr>
            <w:tcW w:w="676" w:type="dxa"/>
          </w:tcPr>
          <w:p w14:paraId="14423CA6" w14:textId="77777777" w:rsidR="00580F76" w:rsidRDefault="00580F76" w:rsidP="008B754D">
            <w:pPr>
              <w:tabs>
                <w:tab w:val="left" w:pos="5812"/>
              </w:tabs>
              <w:rPr>
                <w:rFonts w:cs="Arial"/>
                <w:sz w:val="20"/>
                <w:szCs w:val="20"/>
              </w:rPr>
            </w:pPr>
          </w:p>
        </w:tc>
        <w:tc>
          <w:tcPr>
            <w:tcW w:w="3860" w:type="dxa"/>
            <w:tcBorders>
              <w:top w:val="single" w:sz="4" w:space="0" w:color="auto"/>
            </w:tcBorders>
          </w:tcPr>
          <w:p w14:paraId="4C1D59C7" w14:textId="77777777" w:rsidR="00580F76" w:rsidRDefault="00580F76" w:rsidP="00580F76">
            <w:pPr>
              <w:tabs>
                <w:tab w:val="left" w:pos="5812"/>
              </w:tabs>
              <w:spacing w:after="0"/>
              <w:jc w:val="center"/>
              <w:rPr>
                <w:rFonts w:cs="Arial"/>
                <w:sz w:val="20"/>
                <w:szCs w:val="20"/>
              </w:rPr>
            </w:pPr>
            <w:r>
              <w:rPr>
                <w:rFonts w:cs="Arial"/>
                <w:sz w:val="20"/>
                <w:szCs w:val="20"/>
              </w:rPr>
              <w:t xml:space="preserve">Ing. Ondřej </w:t>
            </w:r>
            <w:proofErr w:type="spellStart"/>
            <w:r>
              <w:rPr>
                <w:rFonts w:cs="Arial"/>
                <w:sz w:val="20"/>
                <w:szCs w:val="20"/>
              </w:rPr>
              <w:t>Grohar</w:t>
            </w:r>
            <w:proofErr w:type="spellEnd"/>
            <w:r>
              <w:rPr>
                <w:rFonts w:cs="Arial"/>
                <w:sz w:val="20"/>
                <w:szCs w:val="20"/>
              </w:rPr>
              <w:t>, jednatel</w:t>
            </w:r>
          </w:p>
          <w:p w14:paraId="1D09FBB4" w14:textId="77777777" w:rsidR="00580F76" w:rsidRDefault="00580F76" w:rsidP="008B754D">
            <w:pPr>
              <w:tabs>
                <w:tab w:val="left" w:pos="5812"/>
              </w:tabs>
              <w:jc w:val="center"/>
              <w:rPr>
                <w:rFonts w:cs="Arial"/>
                <w:sz w:val="20"/>
                <w:szCs w:val="20"/>
              </w:rPr>
            </w:pPr>
            <w:r>
              <w:rPr>
                <w:rFonts w:cs="Arial"/>
                <w:sz w:val="20"/>
                <w:szCs w:val="20"/>
              </w:rPr>
              <w:t>ENSYTRA s.r.o.</w:t>
            </w:r>
          </w:p>
        </w:tc>
      </w:tr>
      <w:tr w:rsidR="00580F76" w14:paraId="35553582" w14:textId="77777777" w:rsidTr="008B754D">
        <w:trPr>
          <w:trHeight w:val="1152"/>
          <w:jc w:val="center"/>
        </w:trPr>
        <w:tc>
          <w:tcPr>
            <w:tcW w:w="3823" w:type="dxa"/>
            <w:tcBorders>
              <w:bottom w:val="single" w:sz="4" w:space="0" w:color="auto"/>
            </w:tcBorders>
          </w:tcPr>
          <w:p w14:paraId="4CF3FD6E" w14:textId="77777777" w:rsidR="00580F76" w:rsidRDefault="00580F76" w:rsidP="008B754D">
            <w:pPr>
              <w:tabs>
                <w:tab w:val="left" w:pos="5812"/>
              </w:tabs>
              <w:rPr>
                <w:rFonts w:cs="Arial"/>
                <w:sz w:val="20"/>
                <w:szCs w:val="20"/>
              </w:rPr>
            </w:pPr>
          </w:p>
          <w:p w14:paraId="474E4F82" w14:textId="77777777" w:rsidR="00580F76" w:rsidRDefault="00580F76" w:rsidP="008B754D">
            <w:pPr>
              <w:tabs>
                <w:tab w:val="left" w:pos="5812"/>
              </w:tabs>
              <w:rPr>
                <w:rFonts w:cs="Arial"/>
                <w:sz w:val="20"/>
                <w:szCs w:val="20"/>
              </w:rPr>
            </w:pPr>
          </w:p>
          <w:p w14:paraId="224D134F" w14:textId="77777777" w:rsidR="00580F76" w:rsidRDefault="00580F76" w:rsidP="008B754D">
            <w:pPr>
              <w:tabs>
                <w:tab w:val="left" w:pos="5812"/>
              </w:tabs>
              <w:rPr>
                <w:rFonts w:cs="Arial"/>
                <w:sz w:val="20"/>
                <w:szCs w:val="20"/>
              </w:rPr>
            </w:pPr>
          </w:p>
          <w:p w14:paraId="01EA7274" w14:textId="77777777" w:rsidR="00580F76" w:rsidRDefault="00580F76" w:rsidP="008B754D">
            <w:pPr>
              <w:tabs>
                <w:tab w:val="left" w:pos="5812"/>
              </w:tabs>
              <w:rPr>
                <w:rFonts w:cs="Arial"/>
                <w:sz w:val="20"/>
                <w:szCs w:val="20"/>
              </w:rPr>
            </w:pPr>
          </w:p>
          <w:p w14:paraId="1A357AD3" w14:textId="77777777" w:rsidR="00580F76" w:rsidRDefault="00580F76" w:rsidP="008B754D">
            <w:pPr>
              <w:tabs>
                <w:tab w:val="left" w:pos="5812"/>
              </w:tabs>
              <w:rPr>
                <w:rFonts w:cs="Arial"/>
                <w:sz w:val="20"/>
                <w:szCs w:val="20"/>
              </w:rPr>
            </w:pPr>
          </w:p>
          <w:p w14:paraId="10B5AA5A" w14:textId="77777777" w:rsidR="00580F76" w:rsidRDefault="00580F76" w:rsidP="008B754D">
            <w:pPr>
              <w:tabs>
                <w:tab w:val="left" w:pos="5812"/>
              </w:tabs>
              <w:rPr>
                <w:rFonts w:cs="Arial"/>
                <w:sz w:val="20"/>
                <w:szCs w:val="20"/>
              </w:rPr>
            </w:pPr>
          </w:p>
        </w:tc>
        <w:tc>
          <w:tcPr>
            <w:tcW w:w="676" w:type="dxa"/>
          </w:tcPr>
          <w:p w14:paraId="245503EE" w14:textId="77777777" w:rsidR="00580F76" w:rsidRDefault="00580F76" w:rsidP="008B754D">
            <w:pPr>
              <w:tabs>
                <w:tab w:val="left" w:pos="5812"/>
              </w:tabs>
              <w:rPr>
                <w:rFonts w:cs="Arial"/>
                <w:sz w:val="20"/>
                <w:szCs w:val="20"/>
              </w:rPr>
            </w:pPr>
          </w:p>
        </w:tc>
        <w:tc>
          <w:tcPr>
            <w:tcW w:w="3860" w:type="dxa"/>
          </w:tcPr>
          <w:p w14:paraId="6C849501" w14:textId="77777777" w:rsidR="00580F76" w:rsidRDefault="00580F76" w:rsidP="008B754D">
            <w:pPr>
              <w:tabs>
                <w:tab w:val="left" w:pos="5812"/>
              </w:tabs>
              <w:rPr>
                <w:rFonts w:cs="Arial"/>
                <w:sz w:val="20"/>
                <w:szCs w:val="20"/>
              </w:rPr>
            </w:pPr>
          </w:p>
        </w:tc>
      </w:tr>
      <w:tr w:rsidR="00580F76" w14:paraId="38686488" w14:textId="77777777" w:rsidTr="008B754D">
        <w:trPr>
          <w:jc w:val="center"/>
        </w:trPr>
        <w:tc>
          <w:tcPr>
            <w:tcW w:w="3823" w:type="dxa"/>
            <w:tcBorders>
              <w:top w:val="single" w:sz="4" w:space="0" w:color="auto"/>
            </w:tcBorders>
          </w:tcPr>
          <w:p w14:paraId="20F296AB" w14:textId="77777777" w:rsidR="00580F76" w:rsidRDefault="00580F76" w:rsidP="00580F76">
            <w:pPr>
              <w:tabs>
                <w:tab w:val="left" w:pos="5812"/>
              </w:tabs>
              <w:spacing w:after="0"/>
              <w:jc w:val="center"/>
              <w:rPr>
                <w:rFonts w:cs="Arial"/>
                <w:sz w:val="20"/>
                <w:szCs w:val="20"/>
              </w:rPr>
            </w:pPr>
            <w:r>
              <w:rPr>
                <w:rFonts w:cs="Arial"/>
                <w:sz w:val="20"/>
                <w:szCs w:val="20"/>
              </w:rPr>
              <w:t>Michal Fišer, člen představenstva</w:t>
            </w:r>
          </w:p>
          <w:p w14:paraId="158ADAD1" w14:textId="0C9A9884" w:rsidR="00580F76" w:rsidRDefault="00580F76" w:rsidP="008B754D">
            <w:pPr>
              <w:tabs>
                <w:tab w:val="left" w:pos="5812"/>
              </w:tabs>
              <w:jc w:val="center"/>
              <w:rPr>
                <w:rFonts w:cs="Arial"/>
                <w:sz w:val="20"/>
                <w:szCs w:val="20"/>
              </w:rPr>
            </w:pPr>
            <w:r>
              <w:rPr>
                <w:rFonts w:cs="Arial"/>
                <w:sz w:val="20"/>
                <w:szCs w:val="20"/>
              </w:rPr>
              <w:t>Technologie hlavního města Prahy, a.s</w:t>
            </w:r>
            <w:r w:rsidR="00F05BB9">
              <w:rPr>
                <w:rFonts w:cs="Arial"/>
                <w:sz w:val="20"/>
                <w:szCs w:val="20"/>
              </w:rPr>
              <w:t>.</w:t>
            </w:r>
          </w:p>
        </w:tc>
        <w:tc>
          <w:tcPr>
            <w:tcW w:w="676" w:type="dxa"/>
          </w:tcPr>
          <w:p w14:paraId="0AF93C5A" w14:textId="77777777" w:rsidR="00580F76" w:rsidRDefault="00580F76" w:rsidP="008B754D">
            <w:pPr>
              <w:tabs>
                <w:tab w:val="left" w:pos="5812"/>
              </w:tabs>
              <w:rPr>
                <w:rFonts w:cs="Arial"/>
                <w:sz w:val="20"/>
                <w:szCs w:val="20"/>
              </w:rPr>
            </w:pPr>
          </w:p>
        </w:tc>
        <w:tc>
          <w:tcPr>
            <w:tcW w:w="3860" w:type="dxa"/>
          </w:tcPr>
          <w:p w14:paraId="168CF38F" w14:textId="77777777" w:rsidR="00580F76" w:rsidRDefault="00580F76" w:rsidP="008B754D">
            <w:pPr>
              <w:tabs>
                <w:tab w:val="left" w:pos="5812"/>
              </w:tabs>
              <w:rPr>
                <w:rFonts w:cs="Arial"/>
                <w:sz w:val="20"/>
                <w:szCs w:val="20"/>
              </w:rPr>
            </w:pPr>
          </w:p>
        </w:tc>
      </w:tr>
    </w:tbl>
    <w:p w14:paraId="7FE33C1B" w14:textId="77777777" w:rsidR="00381B89" w:rsidRDefault="00381B89" w:rsidP="00381B89">
      <w:pPr>
        <w:rPr>
          <w:rFonts w:asciiTheme="minorHAnsi" w:hAnsiTheme="minorHAnsi" w:cstheme="minorHAnsi"/>
          <w:b/>
          <w:sz w:val="24"/>
          <w:szCs w:val="36"/>
        </w:rPr>
      </w:pPr>
    </w:p>
    <w:p w14:paraId="4B85DA55" w14:textId="77777777" w:rsidR="00381B89" w:rsidRDefault="00381B89" w:rsidP="00381B89">
      <w:pPr>
        <w:rPr>
          <w:rFonts w:asciiTheme="minorHAnsi" w:hAnsiTheme="minorHAnsi" w:cstheme="minorHAnsi"/>
          <w:b/>
          <w:sz w:val="24"/>
          <w:szCs w:val="36"/>
        </w:rPr>
      </w:pPr>
    </w:p>
    <w:p w14:paraId="6915D8E6" w14:textId="77777777" w:rsidR="00381B89" w:rsidRDefault="00381B89" w:rsidP="00381B89">
      <w:pPr>
        <w:rPr>
          <w:rFonts w:asciiTheme="minorHAnsi" w:hAnsiTheme="minorHAnsi" w:cstheme="minorHAnsi"/>
          <w:b/>
          <w:sz w:val="24"/>
          <w:szCs w:val="36"/>
        </w:rPr>
      </w:pPr>
    </w:p>
    <w:p w14:paraId="148EB211" w14:textId="77777777" w:rsidR="009D6066" w:rsidRDefault="009D6066"/>
    <w:sectPr w:rsidR="009D6066" w:rsidSect="00580F76">
      <w:footerReference w:type="default" r:id="rId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DF9C" w14:textId="77777777" w:rsidR="003C442D" w:rsidRDefault="003C442D">
      <w:pPr>
        <w:spacing w:after="0" w:line="240" w:lineRule="auto"/>
      </w:pPr>
      <w:r>
        <w:separator/>
      </w:r>
    </w:p>
  </w:endnote>
  <w:endnote w:type="continuationSeparator" w:id="0">
    <w:p w14:paraId="6E30613B" w14:textId="77777777" w:rsidR="003C442D" w:rsidRDefault="003C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722580"/>
      <w:docPartObj>
        <w:docPartGallery w:val="Page Numbers (Bottom of Page)"/>
        <w:docPartUnique/>
      </w:docPartObj>
    </w:sdtPr>
    <w:sdtEndPr/>
    <w:sdtContent>
      <w:sdt>
        <w:sdtPr>
          <w:id w:val="1728636285"/>
          <w:docPartObj>
            <w:docPartGallery w:val="Page Numbers (Top of Page)"/>
            <w:docPartUnique/>
          </w:docPartObj>
        </w:sdtPr>
        <w:sdtEndPr/>
        <w:sdtContent>
          <w:p w14:paraId="51D055BA" w14:textId="610BBAC7" w:rsidR="00F261EB" w:rsidRDefault="00580F76" w:rsidP="00580F76">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0314" w14:textId="77777777" w:rsidR="003C442D" w:rsidRDefault="003C442D">
      <w:pPr>
        <w:spacing w:after="0" w:line="240" w:lineRule="auto"/>
      </w:pPr>
      <w:r>
        <w:separator/>
      </w:r>
    </w:p>
  </w:footnote>
  <w:footnote w:type="continuationSeparator" w:id="0">
    <w:p w14:paraId="3F7D8EFA" w14:textId="77777777" w:rsidR="003C442D" w:rsidRDefault="003C4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DCB"/>
    <w:multiLevelType w:val="multilevel"/>
    <w:tmpl w:val="FBCC84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C23690"/>
    <w:multiLevelType w:val="hybridMultilevel"/>
    <w:tmpl w:val="CA605912"/>
    <w:lvl w:ilvl="0" w:tplc="32789A3C">
      <w:start w:val="1"/>
      <w:numFmt w:val="decimal"/>
      <w:lvlText w:val="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2C6FCD"/>
    <w:multiLevelType w:val="multilevel"/>
    <w:tmpl w:val="CED8A9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730"/>
        </w:tabs>
        <w:ind w:left="1730"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8E6490"/>
    <w:multiLevelType w:val="hybridMultilevel"/>
    <w:tmpl w:val="5E60F9A2"/>
    <w:lvl w:ilvl="0" w:tplc="3E0A625A">
      <w:start w:val="1"/>
      <w:numFmt w:val="upp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89141A"/>
    <w:multiLevelType w:val="multilevel"/>
    <w:tmpl w:val="762035CA"/>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heme="minorHAnsi" w:eastAsia="Calibr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39701829">
    <w:abstractNumId w:val="2"/>
  </w:num>
  <w:num w:numId="2" w16cid:durableId="1663195881">
    <w:abstractNumId w:val="3"/>
  </w:num>
  <w:num w:numId="3" w16cid:durableId="1627346659">
    <w:abstractNumId w:val="4"/>
  </w:num>
  <w:num w:numId="4" w16cid:durableId="2045590697">
    <w:abstractNumId w:val="0"/>
  </w:num>
  <w:num w:numId="5" w16cid:durableId="21326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77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9"/>
    <w:rsid w:val="0006214C"/>
    <w:rsid w:val="00065745"/>
    <w:rsid w:val="000A2820"/>
    <w:rsid w:val="000A74C9"/>
    <w:rsid w:val="000E0161"/>
    <w:rsid w:val="000F2B41"/>
    <w:rsid w:val="0013182A"/>
    <w:rsid w:val="00132263"/>
    <w:rsid w:val="001667DE"/>
    <w:rsid w:val="001936D8"/>
    <w:rsid w:val="001D33A4"/>
    <w:rsid w:val="001F43A9"/>
    <w:rsid w:val="00211345"/>
    <w:rsid w:val="00225A3F"/>
    <w:rsid w:val="002B76AB"/>
    <w:rsid w:val="002D6B9B"/>
    <w:rsid w:val="002E1A55"/>
    <w:rsid w:val="002F12F1"/>
    <w:rsid w:val="002F2878"/>
    <w:rsid w:val="00332D78"/>
    <w:rsid w:val="00374BB3"/>
    <w:rsid w:val="00381B89"/>
    <w:rsid w:val="003C442D"/>
    <w:rsid w:val="003D22D2"/>
    <w:rsid w:val="003E2220"/>
    <w:rsid w:val="0047147D"/>
    <w:rsid w:val="004B3D10"/>
    <w:rsid w:val="004C36EE"/>
    <w:rsid w:val="004D3C8D"/>
    <w:rsid w:val="00500231"/>
    <w:rsid w:val="00517C04"/>
    <w:rsid w:val="0053485A"/>
    <w:rsid w:val="00550517"/>
    <w:rsid w:val="00573ED6"/>
    <w:rsid w:val="0057616B"/>
    <w:rsid w:val="00580F76"/>
    <w:rsid w:val="005944C9"/>
    <w:rsid w:val="005E521B"/>
    <w:rsid w:val="00673B0F"/>
    <w:rsid w:val="00677BA2"/>
    <w:rsid w:val="006802F2"/>
    <w:rsid w:val="006913F5"/>
    <w:rsid w:val="006A5078"/>
    <w:rsid w:val="006C1F12"/>
    <w:rsid w:val="006C62FF"/>
    <w:rsid w:val="006E562A"/>
    <w:rsid w:val="007268F9"/>
    <w:rsid w:val="00732DB0"/>
    <w:rsid w:val="00737627"/>
    <w:rsid w:val="00767204"/>
    <w:rsid w:val="00794707"/>
    <w:rsid w:val="007A0D1F"/>
    <w:rsid w:val="007A7CAE"/>
    <w:rsid w:val="007B50E4"/>
    <w:rsid w:val="007B7B4C"/>
    <w:rsid w:val="007C11C2"/>
    <w:rsid w:val="0081382E"/>
    <w:rsid w:val="00821D22"/>
    <w:rsid w:val="00822A9A"/>
    <w:rsid w:val="00857F4C"/>
    <w:rsid w:val="008B47ED"/>
    <w:rsid w:val="008B5FEC"/>
    <w:rsid w:val="008E0F72"/>
    <w:rsid w:val="00975BBC"/>
    <w:rsid w:val="00985A35"/>
    <w:rsid w:val="009861B2"/>
    <w:rsid w:val="009A1B6C"/>
    <w:rsid w:val="009C45D5"/>
    <w:rsid w:val="009D6066"/>
    <w:rsid w:val="009F7084"/>
    <w:rsid w:val="00A03767"/>
    <w:rsid w:val="00A46841"/>
    <w:rsid w:val="00AC11F7"/>
    <w:rsid w:val="00B23D75"/>
    <w:rsid w:val="00B31B87"/>
    <w:rsid w:val="00B37D8B"/>
    <w:rsid w:val="00B466DD"/>
    <w:rsid w:val="00B91676"/>
    <w:rsid w:val="00BD2B48"/>
    <w:rsid w:val="00BD4B1A"/>
    <w:rsid w:val="00BD567F"/>
    <w:rsid w:val="00C10E7D"/>
    <w:rsid w:val="00C16FE7"/>
    <w:rsid w:val="00C3214E"/>
    <w:rsid w:val="00C757F0"/>
    <w:rsid w:val="00C8764C"/>
    <w:rsid w:val="00C93859"/>
    <w:rsid w:val="00CA0862"/>
    <w:rsid w:val="00CA096F"/>
    <w:rsid w:val="00D02839"/>
    <w:rsid w:val="00D07C5A"/>
    <w:rsid w:val="00D4605B"/>
    <w:rsid w:val="00D5112C"/>
    <w:rsid w:val="00D65065"/>
    <w:rsid w:val="00D83EB6"/>
    <w:rsid w:val="00D97D88"/>
    <w:rsid w:val="00DA2E97"/>
    <w:rsid w:val="00DB68BA"/>
    <w:rsid w:val="00DE22F2"/>
    <w:rsid w:val="00DE7602"/>
    <w:rsid w:val="00E0046A"/>
    <w:rsid w:val="00E0312A"/>
    <w:rsid w:val="00E05219"/>
    <w:rsid w:val="00E15D6C"/>
    <w:rsid w:val="00E20490"/>
    <w:rsid w:val="00E5589C"/>
    <w:rsid w:val="00E92AE1"/>
    <w:rsid w:val="00EB6A8D"/>
    <w:rsid w:val="00EC07BC"/>
    <w:rsid w:val="00EC6139"/>
    <w:rsid w:val="00F04717"/>
    <w:rsid w:val="00F05BB9"/>
    <w:rsid w:val="00F14DF8"/>
    <w:rsid w:val="00F2404C"/>
    <w:rsid w:val="00F261EB"/>
    <w:rsid w:val="00F83B06"/>
    <w:rsid w:val="00FA2A03"/>
    <w:rsid w:val="00FE3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73B"/>
  <w15:chartTrackingRefBased/>
  <w15:docId w15:val="{6F5460E1-B0D3-4257-89A4-A8C8E0F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717"/>
    <w:pPr>
      <w:spacing w:after="120" w:line="280" w:lineRule="exact"/>
    </w:pPr>
    <w:rPr>
      <w:rFonts w:ascii="Calibri" w:eastAsia="Times New Roman" w:hAnsi="Calibri" w:cs="Times New Roman"/>
      <w:kern w:val="0"/>
      <w:szCs w:val="24"/>
      <w:lang w:eastAsia="cs-CZ"/>
      <w14:ligatures w14:val="none"/>
    </w:rPr>
  </w:style>
  <w:style w:type="paragraph" w:styleId="Nadpis3">
    <w:name w:val="heading 3"/>
    <w:basedOn w:val="Normln"/>
    <w:next w:val="Normln"/>
    <w:link w:val="Nadpis3Char"/>
    <w:qFormat/>
    <w:rsid w:val="00AC11F7"/>
    <w:pPr>
      <w:keepNext/>
      <w:spacing w:before="240" w:after="60" w:line="240" w:lineRule="auto"/>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81B89"/>
    <w:pPr>
      <w:numPr>
        <w:ilvl w:val="1"/>
        <w:numId w:val="1"/>
      </w:numPr>
      <w:jc w:val="both"/>
    </w:pPr>
  </w:style>
  <w:style w:type="paragraph" w:customStyle="1" w:styleId="RLlneksmlouvy">
    <w:name w:val="RL Článek smlouvy"/>
    <w:basedOn w:val="Normln"/>
    <w:next w:val="RLTextlnkuslovan"/>
    <w:qFormat/>
    <w:rsid w:val="00381B89"/>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381B89"/>
    <w:pPr>
      <w:jc w:val="center"/>
    </w:pPr>
    <w:rPr>
      <w:lang w:eastAsia="en-US"/>
    </w:rPr>
  </w:style>
  <w:style w:type="paragraph" w:customStyle="1" w:styleId="RLProhlensmluvnchstran">
    <w:name w:val="RL Prohlášení smluvních stran"/>
    <w:basedOn w:val="Normln"/>
    <w:link w:val="RLProhlensmluvnchstranChar"/>
    <w:rsid w:val="00381B89"/>
    <w:pPr>
      <w:jc w:val="center"/>
    </w:pPr>
    <w:rPr>
      <w:b/>
    </w:rPr>
  </w:style>
  <w:style w:type="paragraph" w:customStyle="1" w:styleId="RLnzevsmlouvy">
    <w:name w:val="RL název smlouvy"/>
    <w:basedOn w:val="Normln"/>
    <w:next w:val="Normln"/>
    <w:rsid w:val="00381B8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81B8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81B89"/>
    <w:rPr>
      <w:rFonts w:ascii="Calibri" w:eastAsia="Times New Roman" w:hAnsi="Calibri" w:cs="Times New Roman"/>
      <w:color w:val="808080"/>
      <w:kern w:val="0"/>
      <w:sz w:val="16"/>
      <w:szCs w:val="24"/>
      <w:lang w:eastAsia="cs-CZ"/>
      <w14:ligatures w14:val="none"/>
    </w:rPr>
  </w:style>
  <w:style w:type="character" w:customStyle="1" w:styleId="RLProhlensmluvnchstranChar">
    <w:name w:val="RL Prohlášení smluvních stran Char"/>
    <w:basedOn w:val="Standardnpsmoodstavce"/>
    <w:link w:val="RLProhlensmluvnchstran"/>
    <w:rsid w:val="00381B89"/>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basedOn w:val="Standardnpsmoodstavce"/>
    <w:link w:val="RLTextlnkuslovan"/>
    <w:rsid w:val="00381B89"/>
    <w:rPr>
      <w:rFonts w:ascii="Calibri" w:eastAsia="Times New Roman" w:hAnsi="Calibri" w:cs="Times New Roman"/>
      <w:kern w:val="0"/>
      <w:szCs w:val="24"/>
      <w:lang w:eastAsia="cs-CZ"/>
      <w14:ligatures w14:val="none"/>
    </w:rPr>
  </w:style>
  <w:style w:type="character" w:customStyle="1" w:styleId="ZKLADNChar">
    <w:name w:val="ZÁKLADNÍ Char"/>
    <w:link w:val="ZKLADN"/>
    <w:locked/>
    <w:rsid w:val="00381B89"/>
    <w:rPr>
      <w:rFonts w:ascii="Garamond" w:hAnsi="Garamond"/>
      <w:sz w:val="24"/>
      <w:szCs w:val="24"/>
      <w:lang w:val="x-none" w:eastAsia="x-none"/>
    </w:rPr>
  </w:style>
  <w:style w:type="paragraph" w:customStyle="1" w:styleId="ZKLADN">
    <w:name w:val="ZÁKLADNÍ"/>
    <w:basedOn w:val="Zkladntext"/>
    <w:link w:val="ZKLADNChar"/>
    <w:rsid w:val="00381B89"/>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381B89"/>
    <w:pPr>
      <w:jc w:val="center"/>
    </w:pPr>
    <w:rPr>
      <w:b/>
      <w:snapToGrid w:val="0"/>
      <w:sz w:val="20"/>
      <w:szCs w:val="20"/>
      <w:lang w:val="x-none" w:eastAsia="x-none"/>
    </w:rPr>
  </w:style>
  <w:style w:type="character" w:customStyle="1" w:styleId="doplnuchazeChar">
    <w:name w:val="doplní uchazeč Char"/>
    <w:link w:val="doplnuchaze"/>
    <w:rsid w:val="00381B89"/>
    <w:rPr>
      <w:rFonts w:ascii="Calibri" w:eastAsia="Times New Roman" w:hAnsi="Calibri" w:cs="Times New Roman"/>
      <w:b/>
      <w:snapToGrid w:val="0"/>
      <w:kern w:val="0"/>
      <w:sz w:val="20"/>
      <w:szCs w:val="20"/>
      <w:lang w:val="x-none" w:eastAsia="x-none"/>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qFormat/>
    <w:rsid w:val="00381B89"/>
    <w:pPr>
      <w:spacing w:after="160" w:line="259" w:lineRule="auto"/>
      <w:ind w:left="720"/>
      <w:contextualSpacing/>
    </w:pPr>
    <w:rPr>
      <w:rFonts w:asciiTheme="minorHAnsi" w:eastAsiaTheme="minorHAnsi" w:hAnsiTheme="minorHAnsi" w:cstheme="minorBidi"/>
      <w:szCs w:val="2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rsid w:val="00381B89"/>
    <w:rPr>
      <w:kern w:val="0"/>
      <w14:ligatures w14:val="none"/>
    </w:rPr>
  </w:style>
  <w:style w:type="paragraph" w:styleId="Zkladntext">
    <w:name w:val="Body Text"/>
    <w:basedOn w:val="Normln"/>
    <w:link w:val="ZkladntextChar"/>
    <w:uiPriority w:val="99"/>
    <w:semiHidden/>
    <w:unhideWhenUsed/>
    <w:rsid w:val="00381B89"/>
  </w:style>
  <w:style w:type="character" w:customStyle="1" w:styleId="ZkladntextChar">
    <w:name w:val="Základní text Char"/>
    <w:basedOn w:val="Standardnpsmoodstavce"/>
    <w:link w:val="Zkladntext"/>
    <w:uiPriority w:val="99"/>
    <w:semiHidden/>
    <w:rsid w:val="00381B89"/>
    <w:rPr>
      <w:rFonts w:ascii="Calibri" w:eastAsia="Times New Roman" w:hAnsi="Calibri" w:cs="Times New Roman"/>
      <w:kern w:val="0"/>
      <w:szCs w:val="24"/>
      <w:lang w:eastAsia="cs-CZ"/>
      <w14:ligatures w14:val="none"/>
    </w:rPr>
  </w:style>
  <w:style w:type="paragraph" w:styleId="Revize">
    <w:name w:val="Revision"/>
    <w:hidden/>
    <w:uiPriority w:val="99"/>
    <w:semiHidden/>
    <w:rsid w:val="00BD4B1A"/>
    <w:pPr>
      <w:spacing w:after="0" w:line="240" w:lineRule="auto"/>
    </w:pPr>
    <w:rPr>
      <w:rFonts w:ascii="Calibri" w:eastAsia="Times New Roman" w:hAnsi="Calibri" w:cs="Times New Roman"/>
      <w:kern w:val="0"/>
      <w:szCs w:val="24"/>
      <w:lang w:eastAsia="cs-CZ"/>
      <w14:ligatures w14:val="none"/>
    </w:rPr>
  </w:style>
  <w:style w:type="character" w:styleId="Odkaznakoment">
    <w:name w:val="annotation reference"/>
    <w:basedOn w:val="Standardnpsmoodstavce"/>
    <w:uiPriority w:val="99"/>
    <w:semiHidden/>
    <w:unhideWhenUsed/>
    <w:rsid w:val="00CA096F"/>
    <w:rPr>
      <w:sz w:val="16"/>
      <w:szCs w:val="16"/>
    </w:rPr>
  </w:style>
  <w:style w:type="paragraph" w:styleId="Textkomente">
    <w:name w:val="annotation text"/>
    <w:basedOn w:val="Normln"/>
    <w:link w:val="TextkomenteChar"/>
    <w:uiPriority w:val="99"/>
    <w:unhideWhenUsed/>
    <w:rsid w:val="00CA096F"/>
    <w:pPr>
      <w:spacing w:line="240" w:lineRule="auto"/>
    </w:pPr>
    <w:rPr>
      <w:sz w:val="20"/>
      <w:szCs w:val="20"/>
    </w:rPr>
  </w:style>
  <w:style w:type="character" w:customStyle="1" w:styleId="TextkomenteChar">
    <w:name w:val="Text komentáře Char"/>
    <w:basedOn w:val="Standardnpsmoodstavce"/>
    <w:link w:val="Textkomente"/>
    <w:uiPriority w:val="99"/>
    <w:rsid w:val="00CA096F"/>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CA096F"/>
    <w:rPr>
      <w:b/>
      <w:bCs/>
    </w:rPr>
  </w:style>
  <w:style w:type="character" w:customStyle="1" w:styleId="PedmtkomenteChar">
    <w:name w:val="Předmět komentáře Char"/>
    <w:basedOn w:val="TextkomenteChar"/>
    <w:link w:val="Pedmtkomente"/>
    <w:uiPriority w:val="99"/>
    <w:semiHidden/>
    <w:rsid w:val="00CA096F"/>
    <w:rPr>
      <w:rFonts w:ascii="Calibri" w:eastAsia="Times New Roman" w:hAnsi="Calibri" w:cs="Times New Roman"/>
      <w:b/>
      <w:bCs/>
      <w:kern w:val="0"/>
      <w:sz w:val="20"/>
      <w:szCs w:val="20"/>
      <w:lang w:eastAsia="cs-CZ"/>
      <w14:ligatures w14:val="none"/>
    </w:rPr>
  </w:style>
  <w:style w:type="character" w:customStyle="1" w:styleId="Nadpis3Char">
    <w:name w:val="Nadpis 3 Char"/>
    <w:basedOn w:val="Standardnpsmoodstavce"/>
    <w:link w:val="Nadpis3"/>
    <w:rsid w:val="00AC11F7"/>
    <w:rPr>
      <w:rFonts w:ascii="Cambria" w:eastAsia="Times New Roman" w:hAnsi="Cambria" w:cs="Times New Roman"/>
      <w:b/>
      <w:bCs/>
      <w:kern w:val="0"/>
      <w:sz w:val="26"/>
      <w:szCs w:val="26"/>
      <w:lang w:val="x-none" w:eastAsia="x-none"/>
      <w14:ligatures w14:val="none"/>
    </w:rPr>
  </w:style>
  <w:style w:type="paragraph" w:styleId="Normlnodsazen">
    <w:name w:val="Normal Indent"/>
    <w:basedOn w:val="Normln"/>
    <w:rsid w:val="00AC11F7"/>
    <w:pPr>
      <w:spacing w:before="120" w:after="0" w:line="240" w:lineRule="atLeast"/>
    </w:pPr>
    <w:rPr>
      <w:rFonts w:ascii="Arial" w:hAnsi="Arial" w:cs="Arial"/>
      <w:sz w:val="20"/>
      <w:szCs w:val="20"/>
    </w:rPr>
  </w:style>
  <w:style w:type="character" w:styleId="Hypertextovodkaz">
    <w:name w:val="Hyperlink"/>
    <w:uiPriority w:val="99"/>
    <w:qFormat/>
    <w:rsid w:val="00AC11F7"/>
    <w:rPr>
      <w:color w:val="0000FF"/>
      <w:u w:val="single"/>
    </w:rPr>
  </w:style>
  <w:style w:type="table" w:styleId="Mkatabulky">
    <w:name w:val="Table Grid"/>
    <w:basedOn w:val="Normlntabulka"/>
    <w:uiPriority w:val="39"/>
    <w:rsid w:val="00580F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80F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0F76"/>
    <w:rPr>
      <w:rFonts w:ascii="Calibri" w:eastAsia="Times New Roman" w:hAnsi="Calibri"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0656-007B-414C-B7F3-3968819F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5963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THMP</dc:creator>
  <cp:keywords/>
  <dc:description/>
  <cp:lastModifiedBy>Vítová Petra</cp:lastModifiedBy>
  <cp:revision>2</cp:revision>
  <cp:lastPrinted>2023-09-05T08:13:00Z</cp:lastPrinted>
  <dcterms:created xsi:type="dcterms:W3CDTF">2025-03-03T08:24:00Z</dcterms:created>
  <dcterms:modified xsi:type="dcterms:W3CDTF">2025-03-03T08:24:00Z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2023-06-12T07:23:07Z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5ddfa006-0eed-405f-b156-bf5e44f0a3ea</vt:lpwstr>
  </property>
  <property fmtid="{D5CDD505-2E9C-101B-9397-08002B2CF9AE}" pid="8" name="MSIP_Label_53b2c928-728b-4698-a3fd-c5d03555aa71_ContentBits">
    <vt:lpwstr>0</vt:lpwstr>
  </property>
</Properties>
</file>