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90"/>
      </w:pPr>
      <w:r>
        <w:rPr/>
        <w:t>Úhonice, květen 2017</w:t>
      </w:r>
    </w:p>
    <w:p>
      <w:pPr>
        <w:pStyle w:val="Heading1"/>
        <w:spacing w:before="163"/>
      </w:pPr>
      <w:r>
        <w:rPr/>
        <w:t>Zadavatel:</w:t>
      </w:r>
    </w:p>
    <w:p>
      <w:pPr>
        <w:pStyle w:val="BodyText"/>
        <w:spacing w:before="115"/>
      </w:pPr>
      <w:r>
        <w:rPr/>
        <w:t>FZU AV ČR, v. v. i.</w:t>
      </w:r>
    </w:p>
    <w:p>
      <w:pPr>
        <w:pStyle w:val="BodyText"/>
        <w:spacing w:before="119"/>
      </w:pPr>
      <w:r>
        <w:rPr/>
        <w:t>ELI Beamlines, Dolní Břežany</w:t>
      </w:r>
    </w:p>
    <w:p>
      <w:pPr>
        <w:pStyle w:val="Heading1"/>
        <w:spacing w:before="124"/>
      </w:pPr>
      <w:r>
        <w:rPr/>
        <w:t>Dodavatel:</w:t>
      </w:r>
    </w:p>
    <w:p>
      <w:pPr>
        <w:spacing w:before="122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Solaris Production s.r.o.</w:t>
      </w:r>
    </w:p>
    <w:p>
      <w:pPr>
        <w:pStyle w:val="BodyText"/>
        <w:spacing w:line="276" w:lineRule="auto" w:before="38"/>
        <w:ind w:right="5312"/>
      </w:pPr>
      <w:r>
        <w:rPr/>
        <w:t>se sídlem: Úhonice, Lesní 311, PSČ 252 18 IČ: 277 95 250</w:t>
      </w:r>
    </w:p>
    <w:p>
      <w:pPr>
        <w:pStyle w:val="BodyText"/>
        <w:spacing w:before="1"/>
      </w:pPr>
      <w:r>
        <w:rPr/>
        <w:t>DIČ: CZ 277 95 250</w:t>
      </w:r>
    </w:p>
    <w:p>
      <w:pPr>
        <w:pStyle w:val="BodyText"/>
        <w:spacing w:line="278" w:lineRule="auto" w:before="40"/>
        <w:ind w:right="1985"/>
      </w:pPr>
      <w:r>
        <w:rPr/>
        <w:t>zastoupená: Mgr. Taťána Václavková, MSc., jednatelkou jednající samostatně Bankovní spojení: číslo účtu 3288741329/0800 , vedený u ČS, a.s.</w:t>
      </w:r>
    </w:p>
    <w:p>
      <w:pPr>
        <w:pStyle w:val="BodyText"/>
        <w:spacing w:line="274" w:lineRule="exact"/>
      </w:pPr>
      <w:r>
        <w:rPr/>
        <w:t>Kontaktní spojení:</w:t>
      </w:r>
    </w:p>
    <w:p>
      <w:pPr>
        <w:pStyle w:val="BodyText"/>
        <w:spacing w:before="41"/>
      </w:pPr>
      <w:r>
        <w:rPr/>
        <w:t>Úhonice, Lesní 311, PSČ 252 18</w:t>
      </w:r>
    </w:p>
    <w:p>
      <w:pPr>
        <w:pStyle w:val="BodyText"/>
        <w:spacing w:before="40"/>
      </w:pPr>
      <w:r>
        <w:rPr/>
        <w:t>mobil: 00420 775 105 874</w:t>
      </w:r>
    </w:p>
    <w:p>
      <w:pPr>
        <w:pStyle w:val="BodyText"/>
        <w:spacing w:before="40"/>
      </w:pPr>
      <w:r>
        <w:rPr/>
        <w:t>e-mail: </w:t>
      </w:r>
      <w:hyperlink r:id="rId7">
        <w:r>
          <w:rPr>
            <w:color w:val="0000FF"/>
            <w:u w:val="single" w:color="0000FF"/>
          </w:rPr>
          <w:t>t.vaclavkova@solpro.cz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21"/>
        <w:ind w:left="1026"/>
      </w:pPr>
      <w:r>
        <w:rPr/>
        <w:t>Cenová nabídka za inženýrskou činnost dle rozsahu zadání objednatele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tabs>
          <w:tab w:pos="1549" w:val="left" w:leader="none"/>
        </w:tabs>
        <w:spacing w:line="276" w:lineRule="auto" w:before="0"/>
        <w:ind w:left="1550" w:right="1254" w:hanging="1412"/>
        <w:jc w:val="left"/>
        <w:rPr>
          <w:sz w:val="22"/>
        </w:rPr>
      </w:pPr>
      <w:r>
        <w:rPr>
          <w:sz w:val="22"/>
          <w:u w:val="single"/>
        </w:rPr>
        <w:t>Název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akce</w:t>
      </w:r>
      <w:r>
        <w:rPr>
          <w:sz w:val="22"/>
        </w:rPr>
        <w:t>:</w:t>
        <w:tab/>
      </w:r>
      <w:r>
        <w:rPr>
          <w:b/>
          <w:sz w:val="22"/>
        </w:rPr>
        <w:t>Stavební úpravy vnitřních dispozic prostoru laboratoří _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ELI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Beamlines,</w:t>
      </w:r>
      <w:r>
        <w:rPr>
          <w:b/>
          <w:w w:val="100"/>
          <w:sz w:val="22"/>
        </w:rPr>
        <w:t> </w:t>
      </w:r>
      <w:r>
        <w:rPr>
          <w:b/>
          <w:sz w:val="22"/>
        </w:rPr>
        <w:t>Dolní Břežany - </w:t>
      </w:r>
      <w:r>
        <w:rPr>
          <w:sz w:val="22"/>
        </w:rPr>
        <w:t>stavební</w:t>
      </w:r>
      <w:r>
        <w:rPr>
          <w:spacing w:val="-8"/>
          <w:sz w:val="22"/>
        </w:rPr>
        <w:t> </w:t>
      </w:r>
      <w:r>
        <w:rPr>
          <w:sz w:val="22"/>
        </w:rPr>
        <w:t>povolení</w:t>
      </w: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sz w:val="22"/>
        </w:rPr>
        <w:t>Dobrý den,</w:t>
      </w:r>
    </w:p>
    <w:p>
      <w:pPr>
        <w:pStyle w:val="BodyText"/>
        <w:spacing w:line="276" w:lineRule="auto" w:before="40"/>
        <w:ind w:right="434"/>
        <w:jc w:val="both"/>
      </w:pPr>
      <w:r>
        <w:rPr/>
        <w:t>předkládáme soupis rozsahu a specifikace prací inženýrské činnosti včetně zpracovaného přehledu rozsahu a kalkulace ceny IČ k zajištění stavebního povolení pro výše uvedenou stavbu.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</w:pPr>
    </w:p>
    <w:p>
      <w:pPr>
        <w:pStyle w:val="BodyText"/>
        <w:jc w:val="both"/>
      </w:pPr>
      <w:r>
        <w:rPr/>
        <w:t>Období plnění: bude doplněno dle zadání zadavatele.</w:t>
      </w:r>
    </w:p>
    <w:p>
      <w:pPr>
        <w:spacing w:before="141"/>
        <w:ind w:left="138" w:right="436" w:firstLine="0"/>
        <w:jc w:val="both"/>
        <w:rPr>
          <w:b/>
          <w:sz w:val="22"/>
        </w:rPr>
      </w:pPr>
      <w:r>
        <w:rPr>
          <w:b/>
          <w:sz w:val="22"/>
        </w:rPr>
        <w:t>Ad A/ Inženýrská činnost - zajištění stavebního povolení v souladu se stavebním zákonem 183/2006 Sb. v platném znění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13" w:after="0"/>
        <w:ind w:left="858" w:right="432" w:hanging="360"/>
        <w:jc w:val="both"/>
        <w:rPr>
          <w:sz w:val="22"/>
        </w:rPr>
      </w:pPr>
      <w:r>
        <w:rPr>
          <w:sz w:val="22"/>
        </w:rPr>
        <w:t>projednání a kompletace podkladů požadovaných k doložení SÚ za účelem vydání stavebního povolení - konzultace s investorem a projektanty a DOSS (jednání v rámci předprojektové přípravy)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20" w:after="0"/>
        <w:ind w:left="858" w:right="573" w:hanging="360"/>
        <w:jc w:val="both"/>
        <w:rPr>
          <w:sz w:val="22"/>
        </w:rPr>
      </w:pPr>
      <w:r>
        <w:rPr>
          <w:sz w:val="22"/>
        </w:rPr>
        <w:t>zajištění vydání vyjádření, stanovisek, výjimek (vč. práce v ochranných pásmech atd.) a rozhodnutí DOSS popř. vlastníků a správců IS a SEK, organizací a osob potřebných pro vydání rozhodnutí v souladu se SZ a dle požadavků SÚ (projednávání PD s jednotlivými odbory státní správy a jinými</w:t>
      </w:r>
      <w:r>
        <w:rPr>
          <w:spacing w:val="-11"/>
          <w:sz w:val="22"/>
        </w:rPr>
        <w:t> </w:t>
      </w:r>
      <w:r>
        <w:rPr>
          <w:sz w:val="22"/>
        </w:rPr>
        <w:t>institucemi)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20" w:after="0"/>
        <w:ind w:left="858" w:right="582" w:hanging="360"/>
        <w:jc w:val="both"/>
        <w:rPr>
          <w:sz w:val="22"/>
        </w:rPr>
      </w:pPr>
      <w:r>
        <w:rPr>
          <w:sz w:val="22"/>
        </w:rPr>
        <w:t>předání stanovisek a vyjádření DOSS a vlastníků a správců IS projektantům k zapracování řešení podmínek a doplnění podkladů do čistopisu PD po projednání se</w:t>
      </w:r>
      <w:r>
        <w:rPr>
          <w:spacing w:val="-11"/>
          <w:sz w:val="22"/>
        </w:rPr>
        <w:t> </w:t>
      </w:r>
      <w:r>
        <w:rPr>
          <w:sz w:val="22"/>
        </w:rPr>
        <w:t>SÚ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21" w:after="0"/>
        <w:ind w:left="846" w:right="0" w:hanging="348"/>
        <w:jc w:val="left"/>
        <w:rPr>
          <w:sz w:val="22"/>
        </w:rPr>
      </w:pPr>
      <w:r>
        <w:rPr>
          <w:sz w:val="22"/>
        </w:rPr>
        <w:t>sestavení seznamu účastníků</w:t>
      </w:r>
      <w:r>
        <w:rPr>
          <w:spacing w:val="-8"/>
          <w:sz w:val="22"/>
        </w:rPr>
        <w:t> </w:t>
      </w:r>
      <w:r>
        <w:rPr>
          <w:sz w:val="22"/>
        </w:rPr>
        <w:t>řízení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01" w:footer="1110" w:top="1380" w:bottom="1300" w:left="1280" w:right="980"/>
          <w:pgNumType w:start="1"/>
        </w:sectPr>
      </w:pPr>
    </w:p>
    <w:p>
      <w:pPr>
        <w:pStyle w:val="BodyText"/>
        <w:ind w:left="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94" w:after="0"/>
        <w:ind w:left="846" w:right="0" w:hanging="348"/>
        <w:jc w:val="left"/>
        <w:rPr>
          <w:sz w:val="22"/>
        </w:rPr>
      </w:pPr>
      <w:r>
        <w:rPr>
          <w:sz w:val="22"/>
        </w:rPr>
        <w:t>vyhotovení návrhu a podání žádosti o vydání</w:t>
      </w:r>
      <w:r>
        <w:rPr>
          <w:spacing w:val="-9"/>
          <w:sz w:val="22"/>
        </w:rPr>
        <w:t> </w:t>
      </w:r>
      <w:r>
        <w:rPr>
          <w:sz w:val="22"/>
        </w:rPr>
        <w:t>rozhodnutí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20" w:after="0"/>
        <w:ind w:left="846" w:right="0" w:hanging="348"/>
        <w:jc w:val="left"/>
        <w:rPr>
          <w:sz w:val="22"/>
        </w:rPr>
      </w:pPr>
      <w:r>
        <w:rPr>
          <w:sz w:val="22"/>
        </w:rPr>
        <w:t>účast při veřejném projednání (bude-li</w:t>
      </w:r>
      <w:r>
        <w:rPr>
          <w:spacing w:val="-9"/>
          <w:sz w:val="22"/>
        </w:rPr>
        <w:t> </w:t>
      </w:r>
      <w:r>
        <w:rPr>
          <w:sz w:val="22"/>
        </w:rPr>
        <w:t>nařízeno)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20" w:after="0"/>
        <w:ind w:left="846" w:right="0" w:hanging="348"/>
        <w:jc w:val="left"/>
        <w:rPr>
          <w:sz w:val="22"/>
        </w:rPr>
      </w:pPr>
      <w:r>
        <w:rPr>
          <w:sz w:val="22"/>
        </w:rPr>
        <w:t>zajištění vydání rozhodnutí včetně vyznačení NPM - předání</w:t>
      </w:r>
      <w:r>
        <w:rPr>
          <w:spacing w:val="-13"/>
          <w:sz w:val="22"/>
        </w:rPr>
        <w:t> </w:t>
      </w:r>
      <w:r>
        <w:rPr>
          <w:sz w:val="22"/>
        </w:rPr>
        <w:t>zadavateli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20" w:after="0"/>
        <w:ind w:left="846" w:right="0" w:hanging="348"/>
        <w:jc w:val="left"/>
        <w:rPr>
          <w:sz w:val="22"/>
        </w:rPr>
      </w:pPr>
      <w:r>
        <w:rPr>
          <w:sz w:val="22"/>
        </w:rPr>
        <w:t>průběžná konzultační činnost v průběhu řízení se zadavatelem, SÚ a</w:t>
      </w:r>
      <w:r>
        <w:rPr>
          <w:spacing w:val="-17"/>
          <w:sz w:val="22"/>
        </w:rPr>
        <w:t> </w:t>
      </w:r>
      <w:r>
        <w:rPr>
          <w:sz w:val="22"/>
        </w:rPr>
        <w:t>dalšími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138" w:right="0" w:firstLine="0"/>
        <w:jc w:val="both"/>
        <w:rPr>
          <w:b/>
          <w:sz w:val="22"/>
        </w:rPr>
      </w:pPr>
      <w:r>
        <w:rPr>
          <w:b/>
          <w:sz w:val="22"/>
        </w:rPr>
        <w:t>Ad B/ Inženýrská činnost - zajištění kolaudačního souhlasu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13" w:after="0"/>
        <w:ind w:left="858" w:right="575" w:hanging="360"/>
        <w:jc w:val="left"/>
        <w:rPr>
          <w:sz w:val="22"/>
        </w:rPr>
      </w:pPr>
      <w:r>
        <w:rPr>
          <w:sz w:val="22"/>
        </w:rPr>
        <w:t>zajištění  vydání  vyjádření,  stanovisek,   potřebných  pro  vydání  kolaudačního  souhlasu    v souladu se SZ dle podmínek stavebního</w:t>
      </w:r>
      <w:r>
        <w:rPr>
          <w:spacing w:val="-8"/>
          <w:sz w:val="22"/>
        </w:rPr>
        <w:t> </w:t>
      </w:r>
      <w:r>
        <w:rPr>
          <w:sz w:val="22"/>
        </w:rPr>
        <w:t>povolení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2" w:lineRule="auto" w:before="118" w:after="0"/>
        <w:ind w:left="858" w:right="574" w:hanging="360"/>
        <w:jc w:val="left"/>
        <w:rPr>
          <w:sz w:val="22"/>
        </w:rPr>
      </w:pPr>
      <w:r>
        <w:rPr>
          <w:sz w:val="22"/>
        </w:rPr>
        <w:t>vyhotovení návrhu a podání žádosti o vydání souhlasu včetně sestavení a kompletace dokladové</w:t>
      </w:r>
      <w:r>
        <w:rPr>
          <w:spacing w:val="-2"/>
          <w:sz w:val="22"/>
        </w:rPr>
        <w:t> </w:t>
      </w:r>
      <w:r>
        <w:rPr>
          <w:sz w:val="22"/>
        </w:rPr>
        <w:t>části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18" w:after="0"/>
        <w:ind w:left="846" w:right="0" w:hanging="348"/>
        <w:jc w:val="left"/>
        <w:rPr>
          <w:sz w:val="22"/>
        </w:rPr>
      </w:pPr>
      <w:r>
        <w:rPr>
          <w:sz w:val="22"/>
        </w:rPr>
        <w:t>účast při závěrečné kontrolní prohlídce</w:t>
      </w:r>
      <w:r>
        <w:rPr>
          <w:spacing w:val="-10"/>
          <w:sz w:val="22"/>
        </w:rPr>
        <w:t> </w:t>
      </w:r>
      <w:r>
        <w:rPr>
          <w:sz w:val="22"/>
        </w:rPr>
        <w:t>stavby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18" w:after="0"/>
        <w:ind w:left="846" w:right="0" w:hanging="348"/>
        <w:jc w:val="left"/>
        <w:rPr>
          <w:sz w:val="22"/>
        </w:rPr>
      </w:pPr>
      <w:r>
        <w:rPr>
          <w:sz w:val="22"/>
        </w:rPr>
        <w:t>zajištění vydání rozhodnutí, předání</w:t>
      </w:r>
      <w:r>
        <w:rPr>
          <w:spacing w:val="-9"/>
          <w:sz w:val="22"/>
        </w:rPr>
        <w:t> </w:t>
      </w:r>
      <w:r>
        <w:rPr>
          <w:sz w:val="22"/>
        </w:rPr>
        <w:t>zadavateli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7" w:val="left" w:leader="none"/>
        </w:tabs>
        <w:spacing w:line="240" w:lineRule="auto" w:before="120" w:after="0"/>
        <w:ind w:left="846" w:right="0" w:hanging="348"/>
        <w:jc w:val="left"/>
        <w:rPr>
          <w:sz w:val="22"/>
        </w:rPr>
      </w:pPr>
      <w:r>
        <w:rPr>
          <w:sz w:val="22"/>
        </w:rPr>
        <w:t>průběžná konzultační činnost v průběhu řízení se zadavatelem, SÚ a dalšími dotč.</w:t>
      </w:r>
      <w:r>
        <w:rPr>
          <w:spacing w:val="-18"/>
          <w:sz w:val="22"/>
        </w:rPr>
        <w:t> </w:t>
      </w:r>
      <w:r>
        <w:rPr>
          <w:sz w:val="22"/>
        </w:rPr>
        <w:t>orgány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138" w:right="0" w:firstLine="0"/>
        <w:jc w:val="both"/>
        <w:rPr>
          <w:b/>
          <w:sz w:val="22"/>
        </w:rPr>
      </w:pPr>
      <w:r>
        <w:rPr>
          <w:b/>
          <w:sz w:val="22"/>
        </w:rPr>
        <w:t>Předpokládaná alokace času cca 195 hod. á 500,- Kč = 97.500,- Kč</w:t>
      </w:r>
    </w:p>
    <w:p>
      <w:pPr>
        <w:pStyle w:val="BodyText"/>
        <w:spacing w:before="6"/>
        <w:ind w:left="0"/>
        <w:rPr>
          <w:b/>
          <w:sz w:val="20"/>
        </w:rPr>
      </w:pPr>
    </w:p>
    <w:p>
      <w:pPr>
        <w:pStyle w:val="BodyText"/>
        <w:spacing w:line="276" w:lineRule="auto" w:before="1"/>
      </w:pPr>
      <w:r>
        <w:rPr/>
        <w:t>Ceny jsou uvedeny jako nejvýše přípustné a obsahují veškeré náklady dodavatele spojené s přípravou a realizací zakázky. </w:t>
      </w:r>
      <w:r>
        <w:rPr>
          <w:u w:val="single"/>
        </w:rPr>
        <w:t>Cena nezahrnuje úhradu správních a jiných poplatků</w:t>
      </w:r>
      <w:r>
        <w:rPr/>
        <w:t>.</w:t>
      </w:r>
    </w:p>
    <w:p>
      <w:pPr>
        <w:pStyle w:val="Heading1"/>
        <w:spacing w:line="276" w:lineRule="auto" w:before="126"/>
        <w:ind w:right="441"/>
        <w:jc w:val="both"/>
      </w:pPr>
      <w:r>
        <w:rPr/>
        <w:t>Veškeré změny rozsahu IČ nad rámec výše uvedeného rozsahu budou projednávány a řešeny se zadavatelem písemně, při navýšení rozsahu IČ budou tyto změny stanoveny formou samostatné objednávky.</w:t>
      </w:r>
    </w:p>
    <w:p>
      <w:pPr>
        <w:pStyle w:val="BodyText"/>
        <w:spacing w:line="276" w:lineRule="auto" w:before="116"/>
      </w:pPr>
      <w:r>
        <w:rPr/>
        <w:t>Stanovení frekvence dílčích plateb bude upřesněna po projednání se zadavatelem, specifikace včetně platebních podmínek bude uvedena v objednávce.</w:t>
      </w:r>
    </w:p>
    <w:p>
      <w:pPr>
        <w:pStyle w:val="BodyText"/>
        <w:spacing w:before="121"/>
        <w:ind w:right="461"/>
      </w:pPr>
      <w:r>
        <w:rPr/>
        <w:t>Nabídková cena může být měněna pouze v souvislosti se změnou daňových předpisů, majících prokazatelný vliv na cenu předmětu</w:t>
      </w:r>
      <w:r>
        <w:rPr>
          <w:spacing w:val="-6"/>
        </w:rPr>
        <w:t> </w:t>
      </w:r>
      <w:r>
        <w:rPr/>
        <w:t>plnění.</w:t>
      </w:r>
    </w:p>
    <w:p>
      <w:pPr>
        <w:pStyle w:val="Heading1"/>
        <w:spacing w:before="120"/>
        <w:jc w:val="both"/>
        <w:rPr>
          <w:b w:val="0"/>
        </w:rPr>
      </w:pPr>
      <w:r>
        <w:rPr/>
        <w:t>Do výše uvedené celkové ceny </w:t>
      </w:r>
      <w:r>
        <w:rPr>
          <w:u w:val="thick"/>
        </w:rPr>
        <w:t>jsou </w:t>
      </w:r>
      <w:r>
        <w:rPr/>
        <w:t>zahrnuty</w:t>
      </w:r>
      <w:r>
        <w:rPr>
          <w:b w:val="0"/>
        </w:rPr>
        <w:t>: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120" w:after="0"/>
        <w:ind w:left="422" w:right="0" w:hanging="284"/>
        <w:jc w:val="both"/>
        <w:rPr>
          <w:sz w:val="24"/>
        </w:rPr>
      </w:pPr>
      <w:r>
        <w:rPr>
          <w:sz w:val="24"/>
        </w:rPr>
        <w:t>náklady na hovorné (mobilní telefon) spojené s vykonáváním inženýrské</w:t>
      </w:r>
      <w:r>
        <w:rPr>
          <w:spacing w:val="-10"/>
          <w:sz w:val="24"/>
        </w:rPr>
        <w:t> </w:t>
      </w:r>
      <w:r>
        <w:rPr>
          <w:sz w:val="24"/>
        </w:rPr>
        <w:t>činnosti;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2" w:right="0" w:hanging="284"/>
        <w:jc w:val="both"/>
        <w:rPr>
          <w:sz w:val="24"/>
        </w:rPr>
      </w:pPr>
      <w:r>
        <w:rPr>
          <w:sz w:val="24"/>
        </w:rPr>
        <w:t>náklady na cestovné spojené s vykonáváním pracovní</w:t>
      </w:r>
      <w:r>
        <w:rPr>
          <w:spacing w:val="-6"/>
          <w:sz w:val="24"/>
        </w:rPr>
        <w:t> </w:t>
      </w:r>
      <w:r>
        <w:rPr>
          <w:sz w:val="24"/>
        </w:rPr>
        <w:t>činnosti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4" w:right="0" w:hanging="246"/>
        <w:jc w:val="both"/>
        <w:rPr>
          <w:sz w:val="24"/>
        </w:rPr>
      </w:pPr>
      <w:r>
        <w:rPr>
          <w:sz w:val="24"/>
        </w:rPr>
        <w:t>tisky dokumentů, podkladů a</w:t>
      </w:r>
      <w:r>
        <w:rPr>
          <w:spacing w:val="-3"/>
          <w:sz w:val="24"/>
        </w:rPr>
        <w:t> </w:t>
      </w:r>
      <w:r>
        <w:rPr>
          <w:sz w:val="24"/>
        </w:rPr>
        <w:t>žádostí.</w:t>
      </w:r>
    </w:p>
    <w:p>
      <w:pPr>
        <w:pStyle w:val="Heading1"/>
        <w:jc w:val="both"/>
        <w:rPr>
          <w:b w:val="0"/>
        </w:rPr>
      </w:pPr>
      <w:r>
        <w:rPr/>
        <w:t>Do celkové ceny </w:t>
      </w:r>
      <w:r>
        <w:rPr>
          <w:u w:val="thick"/>
        </w:rPr>
        <w:t>nejsou </w:t>
      </w:r>
      <w:r>
        <w:rPr/>
        <w:t>zahrnuty</w:t>
      </w:r>
      <w:r>
        <w:rPr>
          <w:b w:val="0"/>
        </w:rPr>
        <w:t>:</w:t>
      </w:r>
    </w:p>
    <w:p>
      <w:pPr>
        <w:pStyle w:val="BodyText"/>
        <w:ind w:right="1254"/>
        <w:rPr>
          <w:b/>
        </w:rPr>
      </w:pPr>
      <w:r>
        <w:rPr/>
        <w:t>náklady za úhradu správních poplatků a ostatní poplatků (např. poplatky za konverzi dokumentů doručených datovými schránkami - </w:t>
      </w:r>
      <w:r>
        <w:rPr>
          <w:b/>
        </w:rPr>
        <w:t>tyto budou účtovány samostatně.</w:t>
      </w:r>
    </w:p>
    <w:p>
      <w:pPr>
        <w:pStyle w:val="BodyText"/>
        <w:jc w:val="both"/>
      </w:pPr>
      <w:r>
        <w:rPr/>
        <w:t>Po dohodě s investorem lze fakturovat formou přeúčtování nákladů přímo investorovi.</w:t>
      </w:r>
    </w:p>
    <w:p>
      <w:pPr>
        <w:pStyle w:val="BodyText"/>
        <w:spacing w:before="120"/>
        <w:ind w:right="1254"/>
      </w:pPr>
      <w:r>
        <w:rPr/>
        <w:t>Veškeré činnosti (time management) budou vždy v plném rozsahu konzultovány a aktualizovány se souhlasem zadavatele.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>
          <w:u w:val="single"/>
        </w:rPr>
        <w:t>Termíny dílčích plnění:</w:t>
      </w:r>
    </w:p>
    <w:p>
      <w:pPr>
        <w:pStyle w:val="BodyText"/>
        <w:spacing w:before="120"/>
      </w:pPr>
      <w:r>
        <w:rPr/>
        <w:t>Termíny dílčích plnění a frekvence fakturace bude sjednána se zadavatelem po odsouhlasení předložené cenové nabídky.</w:t>
      </w:r>
    </w:p>
    <w:p>
      <w:pPr>
        <w:spacing w:after="0"/>
        <w:sectPr>
          <w:pgSz w:w="11910" w:h="16840"/>
          <w:pgMar w:header="701" w:footer="1110" w:top="1380" w:bottom="1300" w:left="1280" w:right="98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spacing w:line="480" w:lineRule="auto" w:before="92" w:after="16"/>
        <w:ind w:left="138" w:right="7616" w:firstLine="0"/>
        <w:jc w:val="left"/>
        <w:rPr>
          <w:sz w:val="22"/>
        </w:rPr>
      </w:pPr>
      <w:r>
        <w:rPr>
          <w:sz w:val="22"/>
        </w:rPr>
        <w:t>Děkuji za spolupráci, s pozdravem</w:t>
      </w: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2029943" cy="11525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43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38" w:right="0" w:firstLine="0"/>
        <w:jc w:val="left"/>
        <w:rPr>
          <w:sz w:val="22"/>
        </w:rPr>
      </w:pPr>
      <w:r>
        <w:rPr>
          <w:sz w:val="22"/>
        </w:rPr>
        <w:t>Mgr. Taťána Václavková, MSc.</w:t>
      </w:r>
    </w:p>
    <w:p>
      <w:pPr>
        <w:spacing w:before="119"/>
        <w:ind w:left="138" w:right="0" w:firstLine="0"/>
        <w:jc w:val="left"/>
        <w:rPr>
          <w:sz w:val="22"/>
        </w:rPr>
      </w:pPr>
      <w:r>
        <w:rPr>
          <w:sz w:val="22"/>
        </w:rPr>
        <w:t>jednatelka společnosti Solaris Production s.r.o.</w:t>
      </w:r>
    </w:p>
    <w:sectPr>
      <w:pgSz w:w="11910" w:h="16840"/>
      <w:pgMar w:header="701" w:footer="1110" w:top="1380" w:bottom="130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nstantia">
    <w:altName w:val="Constantia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4120" from="69.503998pt,773.640015pt" to="525.933998pt,773.640015pt" stroked="true" strokeweight=".47998pt" strokecolor="#a4a4a4">
          <v:stroke dashstyle="solid"/>
          <w10:wrap type="none"/>
        </v:line>
      </w:pict>
    </w:r>
    <w:r>
      <w:rPr/>
      <w:pict>
        <v:shape style="position:absolute;margin-left:69.944pt;margin-top:778.240234pt;width:146.2pt;height:41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onstantia"/>
                    <w:sz w:val="20"/>
                  </w:rPr>
                </w:pPr>
                <w:r>
                  <w:rPr>
                    <w:rFonts w:ascii="Constantia"/>
                    <w:sz w:val="20"/>
                  </w:rPr>
                  <w:t>Solaris Production s. r. o.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rFonts w:ascii="Constantia" w:hAnsi="Constantia"/>
                    <w:sz w:val="20"/>
                  </w:rPr>
                </w:pPr>
                <w:r>
                  <w:rPr>
                    <w:rFonts w:ascii="Constantia" w:hAnsi="Constantia"/>
                    <w:sz w:val="20"/>
                  </w:rPr>
                  <w:t>Lesní 311, 252 18 Úhonice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rFonts w:ascii="Constantia" w:hAnsi="Constantia"/>
                    <w:sz w:val="20"/>
                  </w:rPr>
                </w:pPr>
                <w:r>
                  <w:rPr>
                    <w:rFonts w:ascii="Constantia" w:hAnsi="Constantia"/>
                    <w:sz w:val="20"/>
                  </w:rPr>
                  <w:t>IČ: 277 95 250, DIČ: CZ277 95 250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910004pt;margin-top:778.240234pt;width:138.550pt;height:26.5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onstantia"/>
                    <w:sz w:val="20"/>
                  </w:rPr>
                </w:pPr>
                <w:r>
                  <w:rPr>
                    <w:rFonts w:ascii="Constantia"/>
                    <w:sz w:val="20"/>
                  </w:rPr>
                  <w:t>Tel: +420 775 105 874</w:t>
                </w:r>
              </w:p>
              <w:p>
                <w:pPr>
                  <w:spacing w:before="46"/>
                  <w:ind w:left="67" w:right="0" w:firstLine="0"/>
                  <w:jc w:val="left"/>
                  <w:rPr>
                    <w:rFonts w:ascii="Constantia"/>
                    <w:sz w:val="20"/>
                  </w:rPr>
                </w:pPr>
                <w:r>
                  <w:rPr>
                    <w:rFonts w:ascii="Constantia"/>
                    <w:sz w:val="20"/>
                  </w:rPr>
                  <w:t>E-mail: </w:t>
                </w:r>
                <w:hyperlink r:id="rId1">
                  <w:r>
                    <w:rPr>
                      <w:rFonts w:ascii="Constantia"/>
                      <w:sz w:val="20"/>
                    </w:rPr>
                    <w:t>t.vaclavkova@solpro.cz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4192" from="529.899963pt,35.399982pt" to="529.899963pt,69.599982pt" stroked="true" strokeweight=".71997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299988pt;margin-top:35.226624pt;width:10pt;height:15.3pt;mso-position-horizontal-relative:page;mso-position-vertical-relative:page;z-index:-41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color w:val="001F5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33.75pt;margin-top:37.534397pt;width:191.8pt;height:32.85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rFonts w:ascii="Constantia"/>
                    <w:sz w:val="32"/>
                  </w:rPr>
                </w:pPr>
                <w:r>
                  <w:rPr>
                    <w:rFonts w:ascii="Constantia"/>
                    <w:b/>
                    <w:color w:val="001F5F"/>
                    <w:sz w:val="32"/>
                  </w:rPr>
                  <w:t>Solaris Production s. r. o</w:t>
                </w:r>
                <w:r>
                  <w:rPr>
                    <w:rFonts w:ascii="Constantia"/>
                    <w:color w:val="001F5F"/>
                    <w:sz w:val="32"/>
                  </w:rPr>
                  <w:t>.</w:t>
                </w:r>
              </w:p>
              <w:p>
                <w:pPr>
                  <w:pStyle w:val="BodyText"/>
                  <w:spacing w:before="2"/>
                  <w:ind w:left="509"/>
                  <w:rPr>
                    <w:rFonts w:ascii="Constantia" w:hAnsi="Constantia"/>
                  </w:rPr>
                </w:pPr>
                <w:r>
                  <w:rPr>
                    <w:rFonts w:ascii="Constantia" w:hAnsi="Constantia"/>
                    <w:color w:val="001F5F"/>
                  </w:rPr>
                  <w:t>Projektová a inženýrská činnost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spacing w:val="-23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4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1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58" w:hanging="348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8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9" w:hanging="34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38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8"/>
      <w:ind w:left="138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0"/>
      <w:ind w:left="846" w:hanging="3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t.vaclavkova@solpro.cz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vaclavkova@solpro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Václavek</dc:creator>
  <dc:title>Nabídka řešení Windows &amp; Office</dc:title>
  <dcterms:created xsi:type="dcterms:W3CDTF">2017-08-08T14:29:58Z</dcterms:created>
  <dcterms:modified xsi:type="dcterms:W3CDTF">2017-08-08T14:29:58Z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2017-08-08T00:00:00Z</vt:filetime>
  </property>
</Properties>
</file>