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Pr="00C95F17" w:rsidRDefault="00DA6AD8" w:rsidP="008E237D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bookmarkStart w:id="0" w:name="OLE_LINK1"/>
      <w:bookmarkStart w:id="1" w:name="OLE_LINK2"/>
    </w:p>
    <w:p w14:paraId="69C22DC0" w14:textId="13609BB4" w:rsidR="00BB3714" w:rsidRPr="00C95F17" w:rsidRDefault="005A0BDA" w:rsidP="008E237D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r w:rsidRPr="00C95F17">
        <w:rPr>
          <w:rFonts w:cs="Times New Roman"/>
          <w:bCs w:val="0"/>
          <w:caps w:val="0"/>
          <w:spacing w:val="0"/>
          <w:kern w:val="0"/>
          <w:szCs w:val="24"/>
        </w:rPr>
        <w:t>D</w:t>
      </w:r>
      <w:r w:rsidR="00C95F17" w:rsidRPr="00C95F17">
        <w:rPr>
          <w:rFonts w:cs="Times New Roman"/>
          <w:bCs w:val="0"/>
          <w:caps w:val="0"/>
          <w:spacing w:val="0"/>
          <w:kern w:val="0"/>
          <w:szCs w:val="24"/>
        </w:rPr>
        <w:t xml:space="preserve">odatek </w:t>
      </w:r>
      <w:r w:rsidRPr="00C95F17">
        <w:rPr>
          <w:rFonts w:cs="Times New Roman"/>
          <w:bCs w:val="0"/>
          <w:caps w:val="0"/>
          <w:spacing w:val="0"/>
          <w:kern w:val="0"/>
          <w:szCs w:val="24"/>
        </w:rPr>
        <w:t xml:space="preserve">č. </w:t>
      </w:r>
      <w:r w:rsidR="00852475">
        <w:rPr>
          <w:rFonts w:cs="Times New Roman"/>
          <w:bCs w:val="0"/>
          <w:caps w:val="0"/>
          <w:spacing w:val="0"/>
          <w:kern w:val="0"/>
          <w:szCs w:val="24"/>
        </w:rPr>
        <w:t>2</w:t>
      </w:r>
    </w:p>
    <w:p w14:paraId="50D14621" w14:textId="23023633" w:rsidR="00C95F17" w:rsidRDefault="008158DC" w:rsidP="00C95F17">
      <w:pPr>
        <w:spacing w:after="0" w:line="259" w:lineRule="auto"/>
        <w:ind w:left="79"/>
        <w:jc w:val="center"/>
      </w:pPr>
      <w:r w:rsidRPr="00C95F17">
        <w:rPr>
          <w:b/>
          <w:sz w:val="32"/>
        </w:rPr>
        <w:t>k</w:t>
      </w:r>
      <w:r w:rsidR="00C95F17" w:rsidRPr="00C95F17">
        <w:rPr>
          <w:b/>
          <w:sz w:val="32"/>
        </w:rPr>
        <w:t xml:space="preserve">e </w:t>
      </w:r>
      <w:r w:rsidR="00C95F17">
        <w:rPr>
          <w:b/>
          <w:sz w:val="32"/>
        </w:rPr>
        <w:t xml:space="preserve">Smlouvě o zpracování analýzy  </w:t>
      </w:r>
    </w:p>
    <w:p w14:paraId="2E2E395D" w14:textId="077C472B" w:rsidR="000F2A45" w:rsidRPr="00040C60" w:rsidRDefault="00040C60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 </w:t>
      </w:r>
    </w:p>
    <w:bookmarkEnd w:id="0"/>
    <w:bookmarkEnd w:id="1"/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4211FAC" w14:textId="77777777" w:rsidR="0030262C" w:rsidRDefault="00C95F17" w:rsidP="00C95F17">
      <w:pPr>
        <w:keepNext/>
        <w:keepLines/>
        <w:spacing w:after="5" w:line="327" w:lineRule="auto"/>
        <w:ind w:left="137" w:right="3003" w:hanging="10"/>
        <w:outlineLvl w:val="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b/>
          <w:color w:val="000000"/>
          <w:kern w:val="2"/>
          <w:szCs w:val="22"/>
          <w14:ligatures w14:val="standardContextual"/>
        </w:rPr>
        <w:t xml:space="preserve">Česká republika – Ministerstvo práce a sociálních věcí </w:t>
      </w:r>
    </w:p>
    <w:p w14:paraId="42326E9F" w14:textId="6B7DE0EC" w:rsidR="00C95F17" w:rsidRPr="00C95F17" w:rsidRDefault="0030262C" w:rsidP="00C95F17">
      <w:pPr>
        <w:keepNext/>
        <w:keepLines/>
        <w:spacing w:after="5" w:line="327" w:lineRule="auto"/>
        <w:ind w:left="137" w:right="3003" w:hanging="10"/>
        <w:outlineLvl w:val="0"/>
        <w:rPr>
          <w:rFonts w:eastAsia="Arial" w:cs="Arial"/>
          <w:b/>
          <w:color w:val="000000"/>
          <w:kern w:val="2"/>
          <w:szCs w:val="22"/>
          <w14:ligatures w14:val="standardContextual"/>
        </w:rPr>
      </w:pP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se 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>sídlem:</w:t>
      </w:r>
      <w:r w:rsid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>Na Poříčním právu 1/376, 128 0</w:t>
      </w:r>
      <w:r w:rsidR="00286108">
        <w:rPr>
          <w:rFonts w:eastAsia="Arial" w:cs="Arial"/>
          <w:color w:val="000000"/>
          <w:kern w:val="2"/>
          <w:szCs w:val="22"/>
          <w14:ligatures w14:val="standardContextual"/>
        </w:rPr>
        <w:t>0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Praha 2 </w:t>
      </w:r>
    </w:p>
    <w:p w14:paraId="23CA9D75" w14:textId="4E29C54C" w:rsidR="00C95F17" w:rsidRPr="00C95F17" w:rsidRDefault="00C95F17" w:rsidP="00C95F17">
      <w:pPr>
        <w:spacing w:after="5" w:line="337" w:lineRule="auto"/>
        <w:ind w:left="1276" w:right="56" w:hanging="1134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zastoupena: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6B2080" w:rsidRPr="006B2080">
        <w:rPr>
          <w:rFonts w:eastAsia="Arial" w:cs="Arial"/>
          <w:b/>
          <w:bCs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neveřejný údaj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, ředitelem odboru odvolání a správních činností nepojistných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dávek a LPS</w:t>
      </w:r>
    </w:p>
    <w:p w14:paraId="2F076739" w14:textId="290962C8" w:rsidR="00C95F17" w:rsidRPr="00C95F17" w:rsidRDefault="00C95F17" w:rsidP="00C95F17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IČ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>O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: 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ab/>
        <w:t xml:space="preserve">00551023  </w:t>
      </w:r>
    </w:p>
    <w:p w14:paraId="0657C5EB" w14:textId="086998C3" w:rsidR="00C95F17" w:rsidRDefault="00C95F17" w:rsidP="00C95F17">
      <w:pPr>
        <w:spacing w:after="5" w:line="315" w:lineRule="auto"/>
        <w:ind w:left="142" w:right="1433" w:hanging="1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bankovní spojení: </w:t>
      </w:r>
      <w:r w:rsidR="006B2080" w:rsidRPr="006B2080">
        <w:rPr>
          <w:rFonts w:eastAsia="Arial" w:cs="Arial"/>
          <w:b/>
          <w:bCs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neveřejný údaj</w:t>
      </w:r>
    </w:p>
    <w:p w14:paraId="4A0FC7C1" w14:textId="220E2785" w:rsidR="00C95F17" w:rsidRPr="00C95F17" w:rsidRDefault="00C95F17" w:rsidP="00C95F17">
      <w:pPr>
        <w:spacing w:after="5" w:line="315" w:lineRule="auto"/>
        <w:ind w:left="142" w:right="1433" w:hanging="1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číslo účtu: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6B2080" w:rsidRPr="006B2080">
        <w:rPr>
          <w:rFonts w:eastAsia="Arial" w:cs="Arial"/>
          <w:b/>
          <w:bCs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neveřejný údaj</w:t>
      </w:r>
    </w:p>
    <w:p w14:paraId="5A6F0CFB" w14:textId="4177757C" w:rsidR="00C95F17" w:rsidRPr="00C95F17" w:rsidRDefault="00C95F17" w:rsidP="00C95F17">
      <w:pPr>
        <w:tabs>
          <w:tab w:val="center" w:pos="2638"/>
        </w:tabs>
        <w:spacing w:after="34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ID datové schránky: sc9aavg </w:t>
      </w:r>
    </w:p>
    <w:p w14:paraId="6C05143F" w14:textId="21411F7F" w:rsidR="00C95F17" w:rsidRPr="00C95F17" w:rsidRDefault="00C95F17" w:rsidP="00C95F17">
      <w:pPr>
        <w:spacing w:before="60" w:after="67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(dále jen „Objednatel“ nebo „MPSV“) </w:t>
      </w:r>
    </w:p>
    <w:p w14:paraId="2350DCBA" w14:textId="2A075EFE" w:rsidR="00C95F17" w:rsidRPr="00C95F17" w:rsidRDefault="00C95F17" w:rsidP="00C95F17">
      <w:pPr>
        <w:spacing w:after="68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</w:p>
    <w:p w14:paraId="703091C7" w14:textId="77777777" w:rsidR="00C95F17" w:rsidRPr="00C95F17" w:rsidRDefault="00C95F17" w:rsidP="00C95F17">
      <w:pPr>
        <w:spacing w:after="28" w:line="266" w:lineRule="auto"/>
        <w:ind w:left="137" w:right="56" w:hanging="10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a </w:t>
      </w:r>
    </w:p>
    <w:p w14:paraId="125560B4" w14:textId="77777777" w:rsidR="00C95F17" w:rsidRPr="00C95F17" w:rsidRDefault="00C95F17" w:rsidP="00C95F17">
      <w:pPr>
        <w:spacing w:after="68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</w:p>
    <w:p w14:paraId="7FC7A80B" w14:textId="77777777" w:rsidR="00C95F17" w:rsidRPr="00AB733F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b/>
          <w:bCs/>
          <w:color w:val="000000"/>
          <w:kern w:val="2"/>
          <w:szCs w:val="22"/>
          <w14:ligatures w14:val="standardContextual"/>
        </w:rPr>
      </w:pPr>
      <w:r w:rsidRPr="00AB733F">
        <w:rPr>
          <w:rFonts w:eastAsia="Arial" w:cs="Arial"/>
          <w:b/>
          <w:bCs/>
          <w:color w:val="000000"/>
          <w:kern w:val="2"/>
          <w:szCs w:val="22"/>
          <w14:ligatures w14:val="standardContextual"/>
        </w:rPr>
        <w:t xml:space="preserve">Česká asociace ergoterapeutů </w:t>
      </w:r>
    </w:p>
    <w:p w14:paraId="5430286C" w14:textId="2899B6AE" w:rsidR="00C95F17" w:rsidRDefault="0030262C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se </w:t>
      </w:r>
      <w:r w:rsidR="00C95F17">
        <w:rPr>
          <w:rFonts w:eastAsia="Arial" w:cs="Arial"/>
          <w:color w:val="000000"/>
          <w:kern w:val="2"/>
          <w:szCs w:val="22"/>
          <w14:ligatures w14:val="standardContextual"/>
        </w:rPr>
        <w:t>s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>ídlem</w:t>
      </w:r>
      <w:r w:rsid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: 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Albertov 2049/7, 128 00 </w:t>
      </w:r>
      <w:r w:rsidR="00AB733F" w:rsidRPr="00C95F17">
        <w:rPr>
          <w:rFonts w:eastAsia="Arial" w:cs="Arial"/>
          <w:color w:val="000000"/>
          <w:kern w:val="2"/>
          <w:szCs w:val="22"/>
          <w14:ligatures w14:val="standardContextual"/>
        </w:rPr>
        <w:t>Praha – Nové</w:t>
      </w:r>
      <w:r w:rsidR="00C95F17"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Město </w:t>
      </w:r>
    </w:p>
    <w:p w14:paraId="706B91F5" w14:textId="2D10E3F3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zastoupena: </w:t>
      </w:r>
      <w:r w:rsidR="006B2080" w:rsidRPr="006B2080">
        <w:rPr>
          <w:rFonts w:eastAsia="Arial" w:cs="Arial"/>
          <w:b/>
          <w:bCs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neveřejný údaj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.</w:t>
      </w:r>
      <w:r w:rsidR="00286108">
        <w:rPr>
          <w:rFonts w:eastAsia="Arial" w:cs="Arial"/>
          <w:color w:val="000000"/>
          <w:kern w:val="2"/>
          <w:szCs w:val="22"/>
          <w14:ligatures w14:val="standardContextual"/>
        </w:rPr>
        <w:t>, prezidentkou</w:t>
      </w:r>
    </w:p>
    <w:p w14:paraId="69CB6986" w14:textId="4128EA52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IČ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>O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62348451 </w:t>
      </w:r>
    </w:p>
    <w:p w14:paraId="3B9C2DE5" w14:textId="77777777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zapsána v obchodním rejstříku Městského soudu v Praze pod spisovou značkou: L 6459/MSPH. </w:t>
      </w:r>
    </w:p>
    <w:p w14:paraId="7CAE100C" w14:textId="2F2BF676" w:rsid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bankovní spojení: </w:t>
      </w:r>
      <w:r w:rsidR="006B2080" w:rsidRPr="006B2080">
        <w:rPr>
          <w:rFonts w:eastAsia="Arial" w:cs="Arial"/>
          <w:b/>
          <w:bCs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neveřejný údaj</w:t>
      </w:r>
    </w:p>
    <w:p w14:paraId="71997976" w14:textId="09AA9CF2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číslo účtu: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  <w:r w:rsidR="006B2080" w:rsidRPr="006B2080">
        <w:rPr>
          <w:rFonts w:eastAsia="Arial" w:cs="Arial"/>
          <w:b/>
          <w:bCs/>
          <w:i/>
          <w:iCs/>
          <w:color w:val="FFFFFF" w:themeColor="background1"/>
          <w:kern w:val="2"/>
          <w:szCs w:val="22"/>
          <w:highlight w:val="black"/>
          <w14:ligatures w14:val="standardContextual"/>
        </w:rPr>
        <w:t>neveřejný údaj</w:t>
      </w:r>
    </w:p>
    <w:p w14:paraId="27D5AAD1" w14:textId="17B1DDFC" w:rsidR="00C95F17" w:rsidRP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ID datové schránky: </w:t>
      </w:r>
      <w:proofErr w:type="spellStart"/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>fyjdcmh</w:t>
      </w:r>
      <w:proofErr w:type="spellEnd"/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</w:p>
    <w:p w14:paraId="5EE5C309" w14:textId="3E18A24D" w:rsidR="00C95F17" w:rsidRDefault="00C95F17" w:rsidP="00AB733F">
      <w:pPr>
        <w:tabs>
          <w:tab w:val="center" w:pos="850"/>
          <w:tab w:val="center" w:pos="1558"/>
          <w:tab w:val="center" w:pos="2710"/>
        </w:tabs>
        <w:spacing w:after="69" w:line="266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(dále jen „Zpracovatel“) </w:t>
      </w:r>
    </w:p>
    <w:p w14:paraId="77C96D94" w14:textId="77777777" w:rsidR="00C95F17" w:rsidRDefault="00C95F17" w:rsidP="00C95F17">
      <w:pPr>
        <w:spacing w:before="60" w:after="50" w:line="259" w:lineRule="auto"/>
        <w:ind w:left="142"/>
        <w:rPr>
          <w:rFonts w:eastAsia="Arial" w:cs="Arial"/>
          <w:color w:val="000000"/>
          <w:kern w:val="2"/>
          <w:szCs w:val="22"/>
          <w14:ligatures w14:val="standardContextual"/>
        </w:rPr>
      </w:pPr>
    </w:p>
    <w:p w14:paraId="469FDA52" w14:textId="039926DB" w:rsidR="00C95F17" w:rsidRPr="00C95F17" w:rsidRDefault="00C95F17" w:rsidP="00C95F17">
      <w:pPr>
        <w:spacing w:before="60" w:after="50" w:line="259" w:lineRule="auto"/>
        <w:ind w:left="142"/>
        <w:jc w:val="both"/>
        <w:rPr>
          <w:rFonts w:eastAsia="Arial" w:cs="Arial"/>
          <w:color w:val="000000"/>
          <w:kern w:val="2"/>
          <w:szCs w:val="22"/>
          <w14:ligatures w14:val="standardContextual"/>
        </w:rPr>
      </w:pP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(Objednatel a </w:t>
      </w:r>
      <w:r>
        <w:rPr>
          <w:rFonts w:eastAsia="Arial" w:cs="Arial"/>
          <w:color w:val="000000"/>
          <w:kern w:val="2"/>
          <w:szCs w:val="22"/>
          <w14:ligatures w14:val="standardContextual"/>
        </w:rPr>
        <w:t>Zpracovatel</w:t>
      </w:r>
      <w:r w:rsidRPr="00C95F17">
        <w:rPr>
          <w:rFonts w:eastAsia="Arial" w:cs="Arial"/>
          <w:color w:val="000000"/>
          <w:kern w:val="2"/>
          <w:szCs w:val="22"/>
          <w14:ligatures w14:val="standardContextual"/>
        </w:rPr>
        <w:t xml:space="preserve"> společně též jako „Smluvní strany“ a/nebo jednotlivě jako „Smluvní strana“)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DC5A1BC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852475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C95F17">
        <w:rPr>
          <w:rFonts w:cs="Arial"/>
          <w:szCs w:val="22"/>
          <w:lang w:eastAsia="en-US"/>
        </w:rPr>
        <w:t xml:space="preserve">e Smlouvě o zpracování analýzy uzavřené </w:t>
      </w:r>
      <w:r w:rsidRPr="00333042">
        <w:rPr>
          <w:rFonts w:cs="Arial"/>
          <w:szCs w:val="22"/>
          <w:lang w:eastAsia="en-US"/>
        </w:rPr>
        <w:t xml:space="preserve">dne </w:t>
      </w:r>
      <w:r w:rsidR="00C95F17">
        <w:rPr>
          <w:rFonts w:cs="Arial"/>
          <w:szCs w:val="22"/>
          <w:lang w:eastAsia="en-US"/>
        </w:rPr>
        <w:t>23</w:t>
      </w:r>
      <w:r w:rsidRPr="00333042">
        <w:rPr>
          <w:rFonts w:cs="Arial"/>
          <w:szCs w:val="22"/>
          <w:lang w:eastAsia="en-US"/>
        </w:rPr>
        <w:t xml:space="preserve">. </w:t>
      </w:r>
      <w:r w:rsidR="00C95F17">
        <w:rPr>
          <w:rFonts w:cs="Arial"/>
          <w:szCs w:val="22"/>
          <w:lang w:eastAsia="en-US"/>
        </w:rPr>
        <w:t>7</w:t>
      </w:r>
      <w:r w:rsidRPr="00333042">
        <w:rPr>
          <w:rFonts w:cs="Arial"/>
          <w:szCs w:val="22"/>
          <w:lang w:eastAsia="en-US"/>
        </w:rPr>
        <w:t>. 202</w:t>
      </w:r>
      <w:r w:rsidR="002C7653">
        <w:rPr>
          <w:rFonts w:cs="Arial"/>
          <w:szCs w:val="22"/>
          <w:lang w:eastAsia="en-US"/>
        </w:rPr>
        <w:t>4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</w:t>
      </w:r>
      <w:r w:rsidR="00C95F17">
        <w:rPr>
          <w:rFonts w:cs="Arial"/>
          <w:szCs w:val="22"/>
          <w:lang w:eastAsia="en-US"/>
        </w:rPr>
        <w:t xml:space="preserve">2586 a násl. </w:t>
      </w:r>
      <w:r w:rsidRPr="00333042">
        <w:rPr>
          <w:rFonts w:cs="Arial"/>
          <w:szCs w:val="22"/>
          <w:lang w:eastAsia="en-US"/>
        </w:rPr>
        <w:t>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852475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0025AC7C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852475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852475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852475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2052457D" w:rsidR="005B4150" w:rsidRPr="00C95F17" w:rsidRDefault="005B4150" w:rsidP="00C95F17">
      <w:pPr>
        <w:pStyle w:val="RLlneksmlouvy"/>
        <w:tabs>
          <w:tab w:val="clear" w:pos="737"/>
          <w:tab w:val="num" w:pos="567"/>
        </w:tabs>
        <w:spacing w:before="600" w:after="0" w:line="280" w:lineRule="atLeast"/>
        <w:ind w:left="567" w:hanging="567"/>
        <w:rPr>
          <w:rFonts w:cs="Arial"/>
          <w:szCs w:val="22"/>
          <w:lang w:val="cs-CZ"/>
        </w:rPr>
      </w:pPr>
      <w:r w:rsidRPr="00C95F17">
        <w:rPr>
          <w:rFonts w:cs="Arial"/>
          <w:szCs w:val="22"/>
          <w:lang w:val="cs-CZ"/>
        </w:rPr>
        <w:t>PREAMBULE</w:t>
      </w:r>
    </w:p>
    <w:p w14:paraId="00941358" w14:textId="536AD7B7" w:rsidR="00C95F17" w:rsidRDefault="009C4E18" w:rsidP="00C95F1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C95F17">
        <w:rPr>
          <w:rFonts w:cs="Arial"/>
          <w:szCs w:val="22"/>
          <w:lang w:val="cs-CZ" w:eastAsia="en-US"/>
        </w:rPr>
        <w:t>23</w:t>
      </w:r>
      <w:r w:rsidRPr="00333042">
        <w:rPr>
          <w:rFonts w:cs="Arial"/>
          <w:szCs w:val="22"/>
          <w:lang w:eastAsia="en-US"/>
        </w:rPr>
        <w:t xml:space="preserve">. </w:t>
      </w:r>
      <w:r w:rsidR="00C95F17">
        <w:rPr>
          <w:rFonts w:cs="Arial"/>
          <w:szCs w:val="22"/>
          <w:lang w:eastAsia="en-US"/>
        </w:rPr>
        <w:t>7</w:t>
      </w:r>
      <w:r w:rsidRPr="00333042">
        <w:rPr>
          <w:rFonts w:cs="Arial"/>
          <w:szCs w:val="22"/>
          <w:lang w:eastAsia="en-US"/>
        </w:rPr>
        <w:t>. 202</w:t>
      </w:r>
      <w:r w:rsidR="002C7653"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 w:rsidR="00C95F17">
        <w:rPr>
          <w:rFonts w:cs="Arial"/>
          <w:szCs w:val="22"/>
          <w:lang w:eastAsia="en-US"/>
        </w:rPr>
        <w:t>Smlouvu o zpracování analýzy</w:t>
      </w:r>
      <w:r>
        <w:rPr>
          <w:rFonts w:cs="Arial"/>
          <w:szCs w:val="22"/>
          <w:lang w:val="cs-CZ" w:eastAsia="en-US"/>
        </w:rPr>
        <w:t xml:space="preserve"> (dále jen „</w:t>
      </w:r>
      <w:r w:rsidR="00C95F17" w:rsidRPr="00C95F17">
        <w:rPr>
          <w:rFonts w:cs="Arial"/>
          <w:szCs w:val="22"/>
          <w:lang w:val="cs-CZ" w:eastAsia="en-US"/>
        </w:rPr>
        <w:t>S</w:t>
      </w:r>
      <w:r w:rsidRPr="00C95F17">
        <w:rPr>
          <w:rFonts w:cs="Arial"/>
          <w:szCs w:val="22"/>
          <w:lang w:val="cs-CZ" w:eastAsia="en-US"/>
        </w:rPr>
        <w:t>mlouva</w:t>
      </w:r>
      <w:r>
        <w:rPr>
          <w:rFonts w:cs="Arial"/>
          <w:szCs w:val="22"/>
          <w:lang w:val="cs-CZ" w:eastAsia="en-US"/>
        </w:rPr>
        <w:t>“)</w:t>
      </w:r>
      <w:r w:rsidR="00FB40F3">
        <w:rPr>
          <w:rFonts w:cs="Arial"/>
          <w:szCs w:val="22"/>
          <w:lang w:val="cs-CZ" w:eastAsia="en-US"/>
        </w:rPr>
        <w:t xml:space="preserve">, </w:t>
      </w:r>
      <w:r w:rsidR="00C95F17">
        <w:rPr>
          <w:rFonts w:cs="Arial"/>
          <w:szCs w:val="22"/>
          <w:lang w:val="cs-CZ" w:eastAsia="en-US"/>
        </w:rPr>
        <w:br/>
      </w:r>
      <w:r w:rsidR="00FB40F3">
        <w:rPr>
          <w:rFonts w:cs="Arial"/>
          <w:szCs w:val="22"/>
          <w:lang w:val="cs-CZ" w:eastAsia="en-US"/>
        </w:rPr>
        <w:t>a to</w:t>
      </w:r>
      <w:r>
        <w:rPr>
          <w:rFonts w:cs="Arial"/>
          <w:szCs w:val="22"/>
          <w:lang w:val="cs-CZ" w:eastAsia="en-US"/>
        </w:rPr>
        <w:t xml:space="preserve"> na základě </w:t>
      </w:r>
      <w:r w:rsidR="00C95F17">
        <w:rPr>
          <w:rFonts w:cs="Arial"/>
          <w:szCs w:val="22"/>
          <w:lang w:val="cs-CZ" w:eastAsia="en-US"/>
        </w:rPr>
        <w:t>výsledku zadávacího řízení veřejné zakázky malého rozsahu s názvem „</w:t>
      </w:r>
      <w:r w:rsidR="00C95F17" w:rsidRPr="00C95F17">
        <w:rPr>
          <w:rFonts w:cs="Arial"/>
          <w:i/>
          <w:iCs/>
          <w:szCs w:val="22"/>
          <w:lang w:val="cs-CZ" w:eastAsia="en-US"/>
        </w:rPr>
        <w:t xml:space="preserve">Revidovat kritéria pro hodnocení funkčních schopností a disability lidí s duševním onemocněním v rámci posuzování výše příspěvku na péči tak, aby reflektovala funkční postižení související </w:t>
      </w:r>
      <w:r w:rsidR="00C95F17">
        <w:rPr>
          <w:rFonts w:cs="Arial"/>
          <w:i/>
          <w:iCs/>
          <w:szCs w:val="22"/>
          <w:lang w:val="cs-CZ" w:eastAsia="en-US"/>
        </w:rPr>
        <w:br/>
      </w:r>
      <w:r w:rsidR="00C95F17" w:rsidRPr="00C95F17">
        <w:rPr>
          <w:rFonts w:cs="Arial"/>
          <w:i/>
          <w:iCs/>
          <w:szCs w:val="22"/>
          <w:lang w:val="cs-CZ" w:eastAsia="en-US"/>
        </w:rPr>
        <w:t xml:space="preserve">s typem a </w:t>
      </w:r>
      <w:proofErr w:type="gramStart"/>
      <w:r w:rsidR="00C95F17" w:rsidRPr="00C95F17">
        <w:rPr>
          <w:rFonts w:cs="Arial"/>
          <w:i/>
          <w:iCs/>
          <w:szCs w:val="22"/>
          <w:lang w:val="cs-CZ" w:eastAsia="en-US"/>
        </w:rPr>
        <w:t>tíží</w:t>
      </w:r>
      <w:proofErr w:type="gramEnd"/>
      <w:r w:rsidR="00C95F17" w:rsidRPr="00C95F17">
        <w:rPr>
          <w:rFonts w:cs="Arial"/>
          <w:i/>
          <w:iCs/>
          <w:szCs w:val="22"/>
          <w:lang w:val="cs-CZ" w:eastAsia="en-US"/>
        </w:rPr>
        <w:t xml:space="preserve"> onemocnění. Optimalizovat čekací dobu na přiznání příspěvku na péči II</w:t>
      </w:r>
      <w:r w:rsidR="00C95F17" w:rsidRPr="00C95F17">
        <w:rPr>
          <w:rFonts w:cs="Arial"/>
          <w:szCs w:val="22"/>
          <w:lang w:val="cs-CZ" w:eastAsia="en-US"/>
        </w:rPr>
        <w:t>.</w:t>
      </w:r>
      <w:r w:rsidR="00C95F17">
        <w:rPr>
          <w:rFonts w:cs="Arial"/>
          <w:szCs w:val="22"/>
          <w:lang w:val="cs-CZ" w:eastAsia="en-US"/>
        </w:rPr>
        <w:t>“</w:t>
      </w:r>
      <w:r w:rsidR="00C95F17">
        <w:rPr>
          <w:rFonts w:cs="Arial"/>
          <w:lang w:val="cs-CZ"/>
        </w:rPr>
        <w:t xml:space="preserve"> (dále jen „Veřejná zakázka“). </w:t>
      </w:r>
    </w:p>
    <w:p w14:paraId="5D4A4448" w14:textId="773E8B21" w:rsidR="00295E08" w:rsidRPr="00F869F8" w:rsidRDefault="00C95F17" w:rsidP="00C95F1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lastRenderedPageBreak/>
        <w:t>Zpracovatel se Smlouvou</w:t>
      </w:r>
      <w:r>
        <w:rPr>
          <w:rFonts w:cs="Arial"/>
          <w:szCs w:val="20"/>
        </w:rPr>
        <w:t xml:space="preserve"> </w:t>
      </w:r>
      <w:r w:rsidR="00FB40F3" w:rsidRPr="00C95F17">
        <w:rPr>
          <w:rFonts w:cs="Arial"/>
          <w:szCs w:val="20"/>
        </w:rPr>
        <w:t xml:space="preserve">zavázal </w:t>
      </w:r>
      <w:r w:rsidRPr="00C95F17">
        <w:rPr>
          <w:rFonts w:cs="Arial"/>
          <w:szCs w:val="20"/>
        </w:rPr>
        <w:t>zpracovat pro potřeby Objednatele v souladu s</w:t>
      </w:r>
      <w:r>
        <w:rPr>
          <w:rFonts w:cs="Arial"/>
          <w:szCs w:val="20"/>
        </w:rPr>
        <w:t>e</w:t>
      </w:r>
      <w:r w:rsidRPr="00C95F17">
        <w:rPr>
          <w:rFonts w:cs="Arial"/>
          <w:szCs w:val="20"/>
        </w:rPr>
        <w:t xml:space="preserve"> Smlouvou </w:t>
      </w:r>
      <w:r>
        <w:rPr>
          <w:rFonts w:cs="Arial"/>
          <w:szCs w:val="20"/>
        </w:rPr>
        <w:br/>
      </w:r>
      <w:r w:rsidRPr="00C95F17">
        <w:rPr>
          <w:rFonts w:cs="Arial"/>
          <w:szCs w:val="20"/>
        </w:rPr>
        <w:t xml:space="preserve">a jejími přílohami analýzu k možnostem revidování kritérií pro hodnocení funkčních schopností </w:t>
      </w:r>
      <w:r>
        <w:rPr>
          <w:rFonts w:cs="Arial"/>
          <w:szCs w:val="20"/>
        </w:rPr>
        <w:br/>
      </w:r>
      <w:r w:rsidRPr="00C95F17">
        <w:rPr>
          <w:rFonts w:cs="Arial"/>
          <w:szCs w:val="20"/>
        </w:rPr>
        <w:t xml:space="preserve">a disability lidí s duševním onemocněním v rámci posuzování výše příspěvku na péči tak, </w:t>
      </w:r>
      <w:r>
        <w:rPr>
          <w:rFonts w:cs="Arial"/>
          <w:szCs w:val="20"/>
        </w:rPr>
        <w:br/>
      </w:r>
      <w:r w:rsidRPr="00C95F17">
        <w:rPr>
          <w:rFonts w:cs="Arial"/>
          <w:szCs w:val="20"/>
        </w:rPr>
        <w:t>aby reflektovala funkční postižení související s typem a tíží onemocnění a optimalizovat čekací dobu na přiznání příspěvku na péči a poskytnout Objednateli související služby (dále též jako „dílo“)</w:t>
      </w:r>
      <w:r w:rsidR="00307317">
        <w:rPr>
          <w:rFonts w:cs="Arial"/>
          <w:szCs w:val="20"/>
        </w:rPr>
        <w:t xml:space="preserve"> s tím, že dílo, </w:t>
      </w:r>
      <w:r w:rsidR="00307317" w:rsidRPr="00307317">
        <w:rPr>
          <w:rFonts w:cs="Arial"/>
          <w:szCs w:val="20"/>
        </w:rPr>
        <w:t xml:space="preserve">resp. jednotlivé výstupy plnění </w:t>
      </w:r>
      <w:r w:rsidR="00307317">
        <w:rPr>
          <w:rFonts w:cs="Arial"/>
          <w:szCs w:val="20"/>
        </w:rPr>
        <w:t xml:space="preserve">budou předány </w:t>
      </w:r>
      <w:r w:rsidR="00307317" w:rsidRPr="00307317">
        <w:rPr>
          <w:rFonts w:cs="Arial"/>
          <w:szCs w:val="20"/>
        </w:rPr>
        <w:t>Objednatel</w:t>
      </w:r>
      <w:r w:rsidR="00307317">
        <w:rPr>
          <w:rFonts w:cs="Arial"/>
          <w:szCs w:val="20"/>
        </w:rPr>
        <w:t xml:space="preserve">i </w:t>
      </w:r>
      <w:r w:rsidR="00307317" w:rsidRPr="00307317">
        <w:rPr>
          <w:rFonts w:cs="Arial"/>
          <w:szCs w:val="20"/>
        </w:rPr>
        <w:t>v termínech uvedených v Příloze č. 2 Smlouvy – Specifikace předmětu plnění, v kapitole č. 3 Indikativní harmonogram.</w:t>
      </w:r>
    </w:p>
    <w:p w14:paraId="3E545A96" w14:textId="1F59A8EA" w:rsidR="00F869F8" w:rsidRPr="001C5EBA" w:rsidRDefault="00F869F8" w:rsidP="00C95F1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1C5EBA">
        <w:rPr>
          <w:rFonts w:cs="Arial"/>
          <w:lang w:val="cs-CZ"/>
        </w:rPr>
        <w:t xml:space="preserve">Smluvní strany dále dne 29.11.2024 uzavřely Dodatek č. 1 ke Smlouvě, </w:t>
      </w:r>
      <w:r w:rsidR="00150F5C" w:rsidRPr="001C5EBA">
        <w:rPr>
          <w:rFonts w:cs="Arial"/>
          <w:lang w:val="cs-CZ"/>
        </w:rPr>
        <w:t xml:space="preserve">kterým </w:t>
      </w:r>
      <w:r w:rsidRPr="001C5EBA">
        <w:rPr>
          <w:rFonts w:cs="Arial"/>
          <w:lang w:val="cs-CZ"/>
        </w:rPr>
        <w:t>byl</w:t>
      </w:r>
      <w:r w:rsidR="00150F5C" w:rsidRPr="001C5EBA">
        <w:rPr>
          <w:rFonts w:cs="Arial"/>
          <w:lang w:val="cs-CZ"/>
        </w:rPr>
        <w:t xml:space="preserve">y upraveny </w:t>
      </w:r>
      <w:r w:rsidR="00150F5C" w:rsidRPr="001C5EBA">
        <w:rPr>
          <w:rFonts w:cs="Arial"/>
          <w:szCs w:val="22"/>
          <w:lang w:eastAsia="en-US"/>
        </w:rPr>
        <w:t>termíny předání jednotlivých výstupů plnění.</w:t>
      </w:r>
    </w:p>
    <w:p w14:paraId="4B04A12C" w14:textId="24159D2D" w:rsidR="001C5EBA" w:rsidRPr="001C5EBA" w:rsidRDefault="00AB733F" w:rsidP="001C5EB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6A5566">
        <w:rPr>
          <w:rFonts w:cs="Arial"/>
          <w:szCs w:val="22"/>
          <w:lang w:eastAsia="en-US"/>
        </w:rPr>
        <w:t xml:space="preserve">Důvodem uzavření tohoto Dodatku </w:t>
      </w:r>
      <w:r w:rsidRPr="006A5566">
        <w:rPr>
          <w:rFonts w:cs="Arial"/>
          <w:szCs w:val="22"/>
          <w:lang w:val="cs-CZ" w:eastAsia="en-US"/>
        </w:rPr>
        <w:t xml:space="preserve">č. </w:t>
      </w:r>
      <w:r w:rsidR="00F869F8">
        <w:rPr>
          <w:rFonts w:cs="Arial"/>
          <w:szCs w:val="22"/>
          <w:lang w:val="cs-CZ" w:eastAsia="en-US"/>
        </w:rPr>
        <w:t>2</w:t>
      </w:r>
      <w:r w:rsidRPr="006A5566">
        <w:rPr>
          <w:rFonts w:cs="Arial"/>
          <w:szCs w:val="22"/>
          <w:lang w:val="cs-CZ" w:eastAsia="en-US"/>
        </w:rPr>
        <w:t xml:space="preserve"> je </w:t>
      </w:r>
      <w:r w:rsidR="00F869F8">
        <w:rPr>
          <w:rFonts w:cs="Arial"/>
          <w:szCs w:val="22"/>
          <w:lang w:val="cs-CZ" w:eastAsia="en-US"/>
        </w:rPr>
        <w:t xml:space="preserve">opakovaná </w:t>
      </w:r>
      <w:r w:rsidRPr="006A5566">
        <w:rPr>
          <w:rFonts w:cs="Arial"/>
          <w:szCs w:val="22"/>
          <w:lang w:val="cs-CZ" w:eastAsia="en-US"/>
        </w:rPr>
        <w:t xml:space="preserve">důvodná </w:t>
      </w:r>
      <w:r w:rsidRPr="006A5566">
        <w:rPr>
          <w:rFonts w:cs="Arial"/>
          <w:szCs w:val="22"/>
          <w:lang w:eastAsia="en-US"/>
        </w:rPr>
        <w:t xml:space="preserve">potřeba Smluvních stran sjednat </w:t>
      </w:r>
      <w:r w:rsidR="00D768BB">
        <w:rPr>
          <w:rFonts w:cs="Arial"/>
          <w:szCs w:val="22"/>
          <w:lang w:eastAsia="en-US"/>
        </w:rPr>
        <w:t xml:space="preserve">a </w:t>
      </w:r>
      <w:r w:rsidRPr="006A5566">
        <w:rPr>
          <w:rFonts w:cs="Arial"/>
          <w:szCs w:val="22"/>
          <w:lang w:eastAsia="en-US"/>
        </w:rPr>
        <w:t>upravit termíny předání jednotlivých výstupů plnění. Oprávnění Smluvních stran provést změn</w:t>
      </w:r>
      <w:r>
        <w:rPr>
          <w:rFonts w:cs="Arial"/>
          <w:szCs w:val="22"/>
          <w:lang w:eastAsia="en-US"/>
        </w:rPr>
        <w:t>u</w:t>
      </w:r>
      <w:r w:rsidRPr="006A5566">
        <w:rPr>
          <w:rFonts w:cs="Arial"/>
          <w:szCs w:val="22"/>
          <w:lang w:eastAsia="en-US"/>
        </w:rPr>
        <w:t xml:space="preserve"> termínů předání </w:t>
      </w:r>
      <w:r>
        <w:rPr>
          <w:rFonts w:cs="Arial"/>
          <w:szCs w:val="22"/>
          <w:lang w:eastAsia="en-US"/>
        </w:rPr>
        <w:t>některých</w:t>
      </w:r>
      <w:r w:rsidRPr="006A5566">
        <w:rPr>
          <w:rFonts w:cs="Arial"/>
          <w:szCs w:val="22"/>
          <w:lang w:eastAsia="en-US"/>
        </w:rPr>
        <w:t xml:space="preserve"> výstupů plnění byla sjednána v odst. 4.2 Smlouvy. </w:t>
      </w:r>
    </w:p>
    <w:p w14:paraId="4C5A7C06" w14:textId="77777777" w:rsidR="001C5EBA" w:rsidRPr="001C5EBA" w:rsidRDefault="001C5EBA" w:rsidP="001C5EB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1C5EBA">
        <w:rPr>
          <w:b/>
          <w:bCs/>
        </w:rPr>
        <w:t>Důvodem úpravy termínů předání jednotlivých výstupů plnění</w:t>
      </w:r>
      <w:r w:rsidRPr="00AC519C">
        <w:t xml:space="preserve"> je skutečnost, </w:t>
      </w:r>
      <w:r w:rsidRPr="009727BB">
        <w:t>že</w:t>
      </w:r>
      <w:r>
        <w:t> </w:t>
      </w:r>
      <w:r w:rsidRPr="009727BB">
        <w:t>realizační tým Zpracovatele</w:t>
      </w:r>
      <w:r>
        <w:t xml:space="preserve"> dospěl k závěru, že je možné </w:t>
      </w:r>
      <w:r w:rsidRPr="009727BB">
        <w:t xml:space="preserve">německý model posuzování </w:t>
      </w:r>
      <w:r>
        <w:t xml:space="preserve">přenést </w:t>
      </w:r>
      <w:r w:rsidRPr="009727BB">
        <w:t xml:space="preserve">do systému posuzování příspěvku na péči v České republice. </w:t>
      </w:r>
    </w:p>
    <w:p w14:paraId="3CD91C5C" w14:textId="77777777" w:rsidR="001C5EBA" w:rsidRDefault="001C5EBA" w:rsidP="001C5EBA">
      <w:pPr>
        <w:pStyle w:val="RLTextlnkuslovan"/>
        <w:numPr>
          <w:ilvl w:val="0"/>
          <w:numId w:val="0"/>
        </w:numPr>
        <w:spacing w:before="120" w:after="0" w:line="280" w:lineRule="atLeast"/>
        <w:ind w:left="567"/>
      </w:pPr>
      <w:r>
        <w:t>Ve vztahu k tomuto závěru je ovšem nutné podrobit další analýze možnosti</w:t>
      </w:r>
      <w:r w:rsidRPr="009727BB">
        <w:t xml:space="preserve"> modifik</w:t>
      </w:r>
      <w:r>
        <w:t>ace německého modelu posuzování</w:t>
      </w:r>
      <w:r w:rsidRPr="009727BB">
        <w:t xml:space="preserve"> ve vztahu k posuzování osob do 18 let věku</w:t>
      </w:r>
      <w:r>
        <w:t xml:space="preserve">. Český systém se oproti německému modelu v tomto liší, </w:t>
      </w:r>
      <w:r w:rsidRPr="00DD4D85">
        <w:t>neboť zohledňuje mimořádnou péči dle</w:t>
      </w:r>
      <w:r>
        <w:t> </w:t>
      </w:r>
      <w:r w:rsidRPr="00DD4D85">
        <w:t>psychomotorického vývoje dané věkové kategorie.</w:t>
      </w:r>
      <w:r w:rsidRPr="009727BB">
        <w:t xml:space="preserve"> </w:t>
      </w:r>
    </w:p>
    <w:p w14:paraId="5E101861" w14:textId="77777777" w:rsidR="001C5EBA" w:rsidRDefault="001C5EBA" w:rsidP="001C5EBA">
      <w:pPr>
        <w:pStyle w:val="RLTextlnkuslovan"/>
        <w:numPr>
          <w:ilvl w:val="0"/>
          <w:numId w:val="0"/>
        </w:numPr>
        <w:spacing w:before="120" w:after="0" w:line="280" w:lineRule="atLeast"/>
        <w:ind w:left="567"/>
      </w:pPr>
      <w:r>
        <w:t xml:space="preserve">Dále je ve vztahu k převzetí německého modelu posuzování potřeba hlubší analýzy ve věci </w:t>
      </w:r>
      <w:r w:rsidRPr="009727BB">
        <w:t>důraz</w:t>
      </w:r>
      <w:r>
        <w:t>u</w:t>
      </w:r>
      <w:r w:rsidRPr="009727BB">
        <w:t xml:space="preserve"> na objektivizaci potřebnosti péče na základě zdravotních zpráv</w:t>
      </w:r>
      <w:r>
        <w:t>, neboť</w:t>
      </w:r>
      <w:r w:rsidRPr="00E4413A">
        <w:t xml:space="preserve"> </w:t>
      </w:r>
      <w:r>
        <w:t>příspěvek na péči je nepojistnou dávkou hrazenou z obecných daní. N</w:t>
      </w:r>
      <w:r w:rsidRPr="009727BB">
        <w:t xml:space="preserve">ěkteré druhy nemocí, především </w:t>
      </w:r>
      <w:r>
        <w:t xml:space="preserve">pak </w:t>
      </w:r>
      <w:r w:rsidRPr="009727BB">
        <w:t>duševní onemocnění, nelze pouze na základě návštěvy v domácnosti (rozhovor, pozorování) dostatečně posoudit, neboť může být osoba v</w:t>
      </w:r>
      <w:r>
        <w:t> </w:t>
      </w:r>
      <w:r w:rsidRPr="009727BB">
        <w:t xml:space="preserve">daný čas stabilizována. </w:t>
      </w:r>
    </w:p>
    <w:p w14:paraId="2A295344" w14:textId="77777777" w:rsidR="001C5EBA" w:rsidRDefault="001C5EBA" w:rsidP="001C5EBA">
      <w:pPr>
        <w:pStyle w:val="RLTextlnkuslovan"/>
        <w:numPr>
          <w:ilvl w:val="0"/>
          <w:numId w:val="0"/>
        </w:numPr>
        <w:spacing w:before="120" w:after="0" w:line="280" w:lineRule="atLeast"/>
        <w:ind w:left="567"/>
      </w:pPr>
      <w:r>
        <w:t xml:space="preserve">V tomto směru </w:t>
      </w:r>
      <w:r w:rsidRPr="009727BB">
        <w:t>je potřeba</w:t>
      </w:r>
      <w:r>
        <w:t xml:space="preserve"> provedení</w:t>
      </w:r>
      <w:r w:rsidRPr="009727BB">
        <w:t xml:space="preserve"> </w:t>
      </w:r>
      <w:r>
        <w:t>dalšího rozboru</w:t>
      </w:r>
      <w:r w:rsidRPr="009727BB">
        <w:t xml:space="preserve"> </w:t>
      </w:r>
      <w:r>
        <w:t xml:space="preserve">ve vztahu k možnostem modifikací </w:t>
      </w:r>
      <w:r w:rsidRPr="009727BB">
        <w:t xml:space="preserve">německého modelu a jeho částí tak, aby výsledný návrh modelu posuzování </w:t>
      </w:r>
      <w:r>
        <w:t>reflektoval pozitiva současného i německého systému posuzování a zároveň dokázal dostatečně objektivně posoudit funkční stav osob s</w:t>
      </w:r>
      <w:r w:rsidRPr="009727BB">
        <w:t xml:space="preserve"> duševní</w:t>
      </w:r>
      <w:r>
        <w:t>m</w:t>
      </w:r>
      <w:r w:rsidRPr="009727BB">
        <w:t xml:space="preserve"> onemocnění</w:t>
      </w:r>
      <w:r>
        <w:t>m</w:t>
      </w:r>
      <w:r w:rsidRPr="009727BB">
        <w:t xml:space="preserve">. </w:t>
      </w:r>
    </w:p>
    <w:p w14:paraId="667B468D" w14:textId="2A84226C" w:rsidR="001C5EBA" w:rsidRDefault="001C5EBA" w:rsidP="001C5EBA">
      <w:pPr>
        <w:pStyle w:val="RLTextlnkuslovan"/>
        <w:numPr>
          <w:ilvl w:val="0"/>
          <w:numId w:val="0"/>
        </w:numPr>
        <w:spacing w:before="120" w:after="0" w:line="280" w:lineRule="atLeast"/>
        <w:ind w:left="567"/>
      </w:pPr>
      <w:r>
        <w:t>Na základě výše uvedeného není</w:t>
      </w:r>
      <w:r w:rsidRPr="009727BB">
        <w:t xml:space="preserve"> dle harmonogramu plnění dané</w:t>
      </w:r>
      <w:r>
        <w:t>ho</w:t>
      </w:r>
      <w:r w:rsidRPr="009727BB">
        <w:t xml:space="preserve"> Dodatkem č. 1 ke</w:t>
      </w:r>
      <w:r>
        <w:t> </w:t>
      </w:r>
      <w:r w:rsidRPr="009727BB">
        <w:t>Smlouvě</w:t>
      </w:r>
      <w:r>
        <w:t> </w:t>
      </w:r>
      <w:r w:rsidRPr="009727BB">
        <w:t>možné analýzu kvalitně zpracovat v potřebném rozsahu tak, aby mohla být následně uplatnitelná v praxi, na základě čehož je nutné prodloužit celkový harmonogram plnění. Na celkový rozsah veřejné zakázky však nemá úprava termínů (viz odůvodnění výše) žádný dopad.</w:t>
      </w:r>
      <w:r>
        <w:t xml:space="preserve"> </w:t>
      </w:r>
    </w:p>
    <w:p w14:paraId="42ACCDC3" w14:textId="7DE1EBE3" w:rsidR="0086673A" w:rsidRPr="006B2080" w:rsidRDefault="0086673A" w:rsidP="0086673A">
      <w:pPr>
        <w:pStyle w:val="RLTextlnkuslovan"/>
        <w:tabs>
          <w:tab w:val="clear" w:pos="1474"/>
        </w:tabs>
        <w:spacing w:before="120" w:after="0" w:line="280" w:lineRule="atLeast"/>
        <w:ind w:left="567" w:hanging="567"/>
      </w:pPr>
      <w:r w:rsidRPr="006B2080">
        <w:t xml:space="preserve">Smluvní strany prohlašují, že skutečnosti uvedené v odst. 1.5 tohoto článku Dodatku č. 2, v důsledku kterých je nezbytná změna harmonogramu plnění, nastaly před dosažením příslušného rozhodného termínu, který byl sjednán pro předložení návrhu Závěrečné zprávy Objednateli. </w:t>
      </w:r>
    </w:p>
    <w:p w14:paraId="3ADB5A87" w14:textId="77777777" w:rsidR="001C5EBA" w:rsidRPr="001C5EBA" w:rsidRDefault="001C5EBA" w:rsidP="001C5EBA">
      <w:pPr>
        <w:pStyle w:val="RLTextlnkuslovan"/>
        <w:numPr>
          <w:ilvl w:val="0"/>
          <w:numId w:val="0"/>
        </w:numPr>
        <w:ind w:left="1474"/>
        <w:rPr>
          <w:lang w:val="cs-CZ" w:eastAsia="en-US"/>
        </w:rPr>
      </w:pPr>
    </w:p>
    <w:p w14:paraId="55A3B7D0" w14:textId="18E6BA06" w:rsidR="005B4150" w:rsidRDefault="005B4150" w:rsidP="0028610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9A1AE1">
        <w:rPr>
          <w:rFonts w:cs="Arial"/>
          <w:lang w:val="cs-CZ"/>
        </w:rPr>
        <w:t>2</w:t>
      </w:r>
    </w:p>
    <w:p w14:paraId="7327C8A6" w14:textId="1126892E" w:rsidR="00073A7C" w:rsidRDefault="006D615D" w:rsidP="00DC2EC6">
      <w:pPr>
        <w:pStyle w:val="RLTextlnkuslovan"/>
        <w:widowControl w:val="0"/>
        <w:numPr>
          <w:ilvl w:val="0"/>
          <w:numId w:val="0"/>
        </w:numPr>
        <w:tabs>
          <w:tab w:val="num" w:pos="567"/>
        </w:tabs>
        <w:spacing w:before="120" w:after="0" w:line="280" w:lineRule="atLeast"/>
        <w:ind w:left="567"/>
        <w:rPr>
          <w:rFonts w:cs="Arial"/>
          <w:szCs w:val="22"/>
          <w:lang w:eastAsia="en-US"/>
        </w:rPr>
      </w:pPr>
      <w:r w:rsidRPr="00307317">
        <w:rPr>
          <w:rFonts w:cs="Arial"/>
          <w:szCs w:val="20"/>
        </w:rPr>
        <w:t xml:space="preserve">Smluvní strany </w:t>
      </w:r>
      <w:r w:rsidRPr="00307317">
        <w:rPr>
          <w:rFonts w:cs="Arial"/>
          <w:szCs w:val="20"/>
          <w:lang w:val="cs-CZ"/>
        </w:rPr>
        <w:t>sjednávají</w:t>
      </w:r>
      <w:r w:rsidR="00307317" w:rsidRPr="00307317">
        <w:rPr>
          <w:rFonts w:cs="Arial"/>
          <w:szCs w:val="20"/>
          <w:lang w:val="cs-CZ"/>
        </w:rPr>
        <w:t xml:space="preserve"> v souladu s odst. 4.2 Smlouvy</w:t>
      </w:r>
      <w:r w:rsidRPr="00307317">
        <w:rPr>
          <w:rFonts w:cs="Arial"/>
          <w:szCs w:val="22"/>
          <w:lang w:val="cs-CZ" w:eastAsia="en-US"/>
        </w:rPr>
        <w:t xml:space="preserve"> </w:t>
      </w:r>
      <w:r w:rsidR="00307317" w:rsidRPr="00307317">
        <w:rPr>
          <w:rFonts w:cs="Arial"/>
          <w:szCs w:val="22"/>
          <w:lang w:eastAsia="en-US"/>
        </w:rPr>
        <w:t xml:space="preserve">úpravu Přílohy č. 2 Smlouvy – Specifikace předmětu plnění, v kapitole č. 3 Indikativní harmonogram, jejíž aktualizované znění </w:t>
      </w:r>
      <w:proofErr w:type="gramStart"/>
      <w:r w:rsidR="00307317" w:rsidRPr="00307317">
        <w:rPr>
          <w:rFonts w:cs="Arial"/>
          <w:szCs w:val="22"/>
          <w:lang w:eastAsia="en-US"/>
        </w:rPr>
        <w:t>tvoří</w:t>
      </w:r>
      <w:proofErr w:type="gramEnd"/>
      <w:r w:rsidR="00307317" w:rsidRPr="00307317">
        <w:rPr>
          <w:rFonts w:cs="Arial"/>
          <w:szCs w:val="22"/>
          <w:lang w:eastAsia="en-US"/>
        </w:rPr>
        <w:t xml:space="preserve"> přílohu tohoto Dodatku č. </w:t>
      </w:r>
      <w:r w:rsidR="009A1AE1">
        <w:rPr>
          <w:rFonts w:cs="Arial"/>
          <w:szCs w:val="22"/>
          <w:lang w:eastAsia="en-US"/>
        </w:rPr>
        <w:t>2</w:t>
      </w:r>
      <w:r w:rsidR="00307317" w:rsidRPr="00307317">
        <w:rPr>
          <w:rFonts w:cs="Arial"/>
          <w:szCs w:val="22"/>
          <w:lang w:eastAsia="en-US"/>
        </w:rPr>
        <w:t xml:space="preserve">. </w:t>
      </w:r>
    </w:p>
    <w:p w14:paraId="2A0F01D2" w14:textId="449AD33A" w:rsidR="006B2080" w:rsidRDefault="006B2080">
      <w:pPr>
        <w:spacing w:after="0" w:line="240" w:lineRule="auto"/>
        <w:rPr>
          <w:rFonts w:cs="Arial"/>
          <w:szCs w:val="22"/>
          <w:lang w:val="x-none" w:eastAsia="en-US"/>
        </w:rPr>
      </w:pPr>
      <w:r>
        <w:rPr>
          <w:rFonts w:cs="Arial"/>
          <w:szCs w:val="22"/>
          <w:lang w:eastAsia="en-US"/>
        </w:rPr>
        <w:br w:type="page"/>
      </w:r>
    </w:p>
    <w:p w14:paraId="3BD681D7" w14:textId="78DFF387" w:rsidR="00E720C5" w:rsidRDefault="00E720C5" w:rsidP="00286108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ZÁVĚREČNÁ USTANOVENÍ</w:t>
      </w:r>
    </w:p>
    <w:p w14:paraId="0E6F855F" w14:textId="36B06761" w:rsidR="00073A7C" w:rsidRDefault="00307317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>
        <w:rPr>
          <w:rFonts w:cs="Arial"/>
          <w:szCs w:val="22"/>
          <w:lang w:val="cs-CZ" w:eastAsia="en-US"/>
        </w:rPr>
        <w:t>Smlouva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D9550E">
        <w:rPr>
          <w:rFonts w:cs="Arial"/>
          <w:szCs w:val="22"/>
          <w:lang w:val="cs-CZ" w:eastAsia="en-US"/>
        </w:rPr>
        <w:t>2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08803B1E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D9550E">
        <w:rPr>
          <w:rFonts w:cs="Arial"/>
          <w:szCs w:val="22"/>
          <w:lang w:val="cs-CZ" w:eastAsia="en-US"/>
        </w:rPr>
        <w:t>2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proofErr w:type="gramStart"/>
      <w:r w:rsidR="004645DE" w:rsidRPr="005C2C20">
        <w:rPr>
          <w:rFonts w:cs="Arial"/>
          <w:szCs w:val="22"/>
          <w:lang w:val="cs-CZ" w:eastAsia="en-US"/>
        </w:rPr>
        <w:t>tvoří</w:t>
      </w:r>
      <w:proofErr w:type="gramEnd"/>
      <w:r w:rsidR="004645DE" w:rsidRPr="005C2C20">
        <w:rPr>
          <w:rFonts w:cs="Arial"/>
          <w:szCs w:val="22"/>
          <w:lang w:val="cs-CZ" w:eastAsia="en-US"/>
        </w:rPr>
        <w:t xml:space="preserve">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307317">
        <w:rPr>
          <w:rFonts w:cs="Arial"/>
          <w:szCs w:val="22"/>
          <w:lang w:val="cs-CZ" w:eastAsia="en-US"/>
        </w:rPr>
        <w:t>Smlouvy, resp. její Přílohy č. 2.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598E025C" w:rsidR="00BB3714" w:rsidRPr="00015496" w:rsidRDefault="00307317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Uzavření </w:t>
      </w:r>
      <w:r w:rsidR="00073A7C" w:rsidRPr="00015496">
        <w:rPr>
          <w:rFonts w:cs="Arial"/>
          <w:szCs w:val="22"/>
          <w:lang w:val="cs-CZ" w:eastAsia="en-US"/>
        </w:rPr>
        <w:t xml:space="preserve">tohoto Dodatku č. </w:t>
      </w:r>
      <w:r w:rsidR="00D9550E">
        <w:rPr>
          <w:rFonts w:cs="Arial"/>
          <w:szCs w:val="22"/>
          <w:lang w:val="cs-CZ" w:eastAsia="en-US"/>
        </w:rPr>
        <w:t>2</w:t>
      </w:r>
      <w:r w:rsidR="00073A7C" w:rsidRPr="00015496">
        <w:rPr>
          <w:rFonts w:cs="Arial"/>
          <w:szCs w:val="22"/>
          <w:lang w:val="cs-CZ" w:eastAsia="en-US"/>
        </w:rPr>
        <w:t xml:space="preserve"> není podstatnou změnu závazku ze </w:t>
      </w:r>
      <w:r w:rsidR="00286108">
        <w:rPr>
          <w:rFonts w:cs="Arial"/>
          <w:szCs w:val="22"/>
          <w:lang w:val="cs-CZ" w:eastAsia="en-US"/>
        </w:rPr>
        <w:t>S</w:t>
      </w:r>
      <w:r w:rsidR="00073A7C" w:rsidRPr="00015496">
        <w:rPr>
          <w:rFonts w:cs="Arial"/>
          <w:szCs w:val="22"/>
          <w:lang w:val="cs-CZ" w:eastAsia="en-US"/>
        </w:rPr>
        <w:t xml:space="preserve">mlouvy ve smyslu </w:t>
      </w:r>
      <w:r w:rsidR="00286108" w:rsidRPr="00286108">
        <w:rPr>
          <w:rFonts w:cs="Arial"/>
          <w:szCs w:val="22"/>
          <w:lang w:val="cs-CZ" w:eastAsia="en-US"/>
        </w:rPr>
        <w:t>§ 222 zákona č. 134/2016 Sb., o zadávání veřejných zakázek, ve znění pozdějších předpisů</w:t>
      </w:r>
      <w:r w:rsidR="00286108">
        <w:rPr>
          <w:rFonts w:cs="Arial"/>
          <w:szCs w:val="22"/>
          <w:lang w:val="cs-CZ" w:eastAsia="en-US"/>
        </w:rPr>
        <w:t>.</w:t>
      </w:r>
      <w:r w:rsidR="00073A7C" w:rsidRPr="00015496">
        <w:rPr>
          <w:rFonts w:cs="Arial"/>
          <w:szCs w:val="22"/>
          <w:lang w:val="cs-CZ" w:eastAsia="en-US"/>
        </w:rPr>
        <w:t xml:space="preserve"> </w:t>
      </w:r>
    </w:p>
    <w:p w14:paraId="6EEF7D35" w14:textId="0DAAA81E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D9550E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120DE10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D9550E">
        <w:rPr>
          <w:rFonts w:cs="Arial"/>
          <w:szCs w:val="22"/>
          <w:lang w:val="cs-CZ"/>
        </w:rPr>
        <w:t>2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576878DE" w14:textId="74884ABF" w:rsidR="0030262C" w:rsidRDefault="0030262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Přílohu a nedílnou součást tohoto Dodatku č. </w:t>
      </w:r>
      <w:r w:rsidR="00D9550E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tvoří příloha s názvem </w:t>
      </w:r>
      <w:r w:rsidRPr="00C95F17">
        <w:rPr>
          <w:rFonts w:cs="Arial"/>
          <w:szCs w:val="20"/>
        </w:rPr>
        <w:t>„</w:t>
      </w:r>
      <w:r w:rsidRPr="0030262C">
        <w:rPr>
          <w:rFonts w:cs="Arial"/>
          <w:szCs w:val="22"/>
        </w:rPr>
        <w:t>Přílo</w:t>
      </w:r>
      <w:r>
        <w:rPr>
          <w:rFonts w:cs="Arial"/>
          <w:szCs w:val="22"/>
        </w:rPr>
        <w:t>ha</w:t>
      </w:r>
      <w:r w:rsidRPr="0030262C">
        <w:rPr>
          <w:rFonts w:cs="Arial"/>
          <w:szCs w:val="22"/>
        </w:rPr>
        <w:t xml:space="preserve"> č. 2 Smlouvy – Specifikace předmětu plnění</w:t>
      </w:r>
      <w:r>
        <w:rPr>
          <w:rFonts w:cs="Arial"/>
          <w:szCs w:val="22"/>
        </w:rPr>
        <w:t>, ve znění D</w:t>
      </w:r>
      <w:r w:rsidR="00D9550E">
        <w:rPr>
          <w:rFonts w:cs="Arial"/>
          <w:szCs w:val="22"/>
        </w:rPr>
        <w:t>2</w:t>
      </w:r>
      <w:r>
        <w:rPr>
          <w:rFonts w:cs="Arial"/>
          <w:szCs w:val="22"/>
        </w:rPr>
        <w:t>”.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4C08889" w14:textId="77777777" w:rsidR="00AB733F" w:rsidRDefault="00AB733F" w:rsidP="00AB733F">
      <w:pPr>
        <w:spacing w:after="0" w:line="240" w:lineRule="auto"/>
        <w:rPr>
          <w:rFonts w:cs="Arial"/>
        </w:rPr>
      </w:pPr>
    </w:p>
    <w:p w14:paraId="7EBDED68" w14:textId="76BA7B0D" w:rsidR="00E720C5" w:rsidRPr="00AB733F" w:rsidRDefault="00E720C5" w:rsidP="00AB733F">
      <w:pPr>
        <w:spacing w:after="0" w:line="240" w:lineRule="auto"/>
        <w:rPr>
          <w:rFonts w:cs="Arial"/>
          <w:b/>
          <w:bCs/>
          <w:lang w:eastAsia="x-none"/>
        </w:rPr>
      </w:pPr>
      <w:r w:rsidRPr="00AB733F">
        <w:rPr>
          <w:rFonts w:cs="Arial"/>
          <w:b/>
          <w:bCs/>
        </w:rPr>
        <w:t xml:space="preserve">Smluvní strany prohlašují, že si tento Dodatek </w:t>
      </w:r>
      <w:r w:rsidR="005A62D6" w:rsidRPr="00AB733F">
        <w:rPr>
          <w:rFonts w:cs="Arial"/>
          <w:b/>
          <w:bCs/>
        </w:rPr>
        <w:t xml:space="preserve">č. </w:t>
      </w:r>
      <w:r w:rsidR="00D9550E">
        <w:rPr>
          <w:rFonts w:cs="Arial"/>
          <w:b/>
          <w:bCs/>
        </w:rPr>
        <w:t>2</w:t>
      </w:r>
      <w:r w:rsidR="005A62D6" w:rsidRPr="00AB733F">
        <w:rPr>
          <w:rFonts w:cs="Arial"/>
          <w:b/>
          <w:bCs/>
        </w:rPr>
        <w:t xml:space="preserve"> </w:t>
      </w:r>
      <w:r w:rsidRPr="00AB733F">
        <w:rPr>
          <w:rFonts w:cs="Arial"/>
          <w:b/>
          <w:bCs/>
        </w:rPr>
        <w:t>přečetly, že s jeho obsahem souhlasí a</w:t>
      </w:r>
      <w:r w:rsidR="00FF7633" w:rsidRPr="00AB733F">
        <w:rPr>
          <w:rFonts w:cs="Arial"/>
          <w:b/>
          <w:bCs/>
        </w:rPr>
        <w:t> </w:t>
      </w:r>
      <w:r w:rsidRPr="00AB733F">
        <w:rPr>
          <w:rFonts w:cs="Arial"/>
          <w:b/>
          <w:bCs/>
        </w:rPr>
        <w:t>na</w:t>
      </w:r>
      <w:r w:rsidR="00FF7633" w:rsidRPr="00AB733F">
        <w:rPr>
          <w:rFonts w:cs="Arial"/>
          <w:b/>
          <w:bCs/>
        </w:rPr>
        <w:t> </w:t>
      </w:r>
      <w:r w:rsidRPr="00AB733F">
        <w:rPr>
          <w:rFonts w:cs="Arial"/>
          <w:b/>
          <w:bCs/>
        </w:rPr>
        <w:t>důkaz toho k němu připojují svoje podpisy.</w:t>
      </w:r>
    </w:p>
    <w:p w14:paraId="020F80F5" w14:textId="77777777" w:rsidR="0030262C" w:rsidRDefault="0030262C" w:rsidP="00333042">
      <w:pPr>
        <w:pStyle w:val="RLProhlensmluvnchstran"/>
        <w:spacing w:after="0"/>
        <w:rPr>
          <w:rFonts w:cs="Arial"/>
          <w:lang w:val="cs-CZ"/>
        </w:rPr>
      </w:pP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524"/>
      </w:tblGrid>
      <w:tr w:rsidR="00E04F94" w14:paraId="3705ECB3" w14:textId="77777777" w:rsidTr="00286108">
        <w:trPr>
          <w:trHeight w:val="818"/>
        </w:trPr>
        <w:tc>
          <w:tcPr>
            <w:tcW w:w="4633" w:type="dxa"/>
          </w:tcPr>
          <w:p w14:paraId="1992CC59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2FB63026" w14:textId="77777777" w:rsidR="00E04F94" w:rsidRPr="00E07D66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24" w:type="dxa"/>
          </w:tcPr>
          <w:p w14:paraId="7B61F605" w14:textId="07CAABC1" w:rsidR="00E04F94" w:rsidRPr="00A16B28" w:rsidRDefault="00286108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Zpracovatel</w:t>
            </w:r>
          </w:p>
          <w:p w14:paraId="7828244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E04F94" w14:paraId="4E22D0D7" w14:textId="77777777" w:rsidTr="00286108">
        <w:trPr>
          <w:trHeight w:val="2251"/>
        </w:trPr>
        <w:tc>
          <w:tcPr>
            <w:tcW w:w="4633" w:type="dxa"/>
          </w:tcPr>
          <w:p w14:paraId="03DC547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661E7A0" w14:textId="77777777" w:rsidR="00AB733F" w:rsidRDefault="00AB733F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6A23905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8724717" w14:textId="77777777" w:rsidR="00E04F94" w:rsidRPr="00A16B28" w:rsidRDefault="00E04F94" w:rsidP="006E113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61CCFB57" w14:textId="77777777" w:rsidR="006B2080" w:rsidRDefault="006B2080" w:rsidP="006E1132">
            <w:pPr>
              <w:pStyle w:val="RLProhlensmluvnchstran"/>
              <w:widowControl w:val="0"/>
              <w:spacing w:after="0" w:line="280" w:lineRule="atLeast"/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</w:pPr>
            <w:r w:rsidRPr="006B2080">
              <w:rPr>
                <w:rFonts w:eastAsia="Arial" w:cs="Arial"/>
                <w:b w:val="0"/>
                <w:bCs/>
                <w:i/>
                <w:iCs/>
                <w:color w:val="FFFFFF" w:themeColor="background1"/>
                <w:kern w:val="2"/>
                <w:szCs w:val="22"/>
                <w:highlight w:val="black"/>
                <w14:ligatures w14:val="standardContextual"/>
              </w:rPr>
              <w:t>neveřejný údaj</w:t>
            </w:r>
            <w:r w:rsidRPr="00C95F17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</w:p>
          <w:p w14:paraId="51368FD3" w14:textId="6362D688" w:rsidR="00E04F94" w:rsidRPr="00796AF1" w:rsidRDefault="00286108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C95F17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>ředitel odboru odvolání a správních činností nepojistných</w:t>
            </w:r>
            <w:r w:rsidRPr="00286108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 w:rsidRPr="00C95F17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>dávek a LPS</w:t>
            </w:r>
          </w:p>
        </w:tc>
        <w:tc>
          <w:tcPr>
            <w:tcW w:w="4524" w:type="dxa"/>
          </w:tcPr>
          <w:p w14:paraId="4ED72596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E90A678" w14:textId="77777777" w:rsidR="00AB733F" w:rsidRDefault="00AB733F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EC9C0FD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809DD8" w14:textId="77777777" w:rsidR="00286108" w:rsidRDefault="00286108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Cs/>
                <w:szCs w:val="20"/>
                <w:lang w:val="cs-CZ" w:eastAsia="en-US"/>
              </w:rPr>
            </w:pPr>
            <w:r w:rsidRPr="00286108">
              <w:rPr>
                <w:rFonts w:cs="Arial"/>
                <w:bCs/>
                <w:szCs w:val="20"/>
                <w:lang w:val="cs-CZ" w:eastAsia="en-US"/>
              </w:rPr>
              <w:t xml:space="preserve">Česká asociace ergoterapeutů </w:t>
            </w:r>
          </w:p>
          <w:p w14:paraId="59EBB276" w14:textId="77777777" w:rsidR="006B2080" w:rsidRDefault="006B2080" w:rsidP="00286108">
            <w:pPr>
              <w:pStyle w:val="RLProhlensmluvnchstran"/>
              <w:widowControl w:val="0"/>
              <w:spacing w:after="0" w:line="280" w:lineRule="atLeast"/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</w:pPr>
            <w:r w:rsidRPr="006B2080">
              <w:rPr>
                <w:rFonts w:eastAsia="Arial" w:cs="Arial"/>
                <w:b w:val="0"/>
                <w:bCs/>
                <w:i/>
                <w:iCs/>
                <w:color w:val="FFFFFF" w:themeColor="background1"/>
                <w:kern w:val="2"/>
                <w:szCs w:val="22"/>
                <w:highlight w:val="black"/>
                <w14:ligatures w14:val="standardContextual"/>
              </w:rPr>
              <w:t>neveřejný údaj</w:t>
            </w:r>
            <w:r w:rsidRPr="00286108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</w:p>
          <w:p w14:paraId="440D5280" w14:textId="212D1783" w:rsidR="00E04F94" w:rsidRDefault="00286108" w:rsidP="00286108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286108">
              <w:rPr>
                <w:rFonts w:eastAsia="Arial" w:cs="Arial"/>
                <w:b w:val="0"/>
                <w:bCs/>
                <w:color w:val="000000"/>
                <w:kern w:val="2"/>
                <w:szCs w:val="22"/>
                <w14:ligatures w14:val="standardContextual"/>
              </w:rPr>
              <w:t>prezidentka</w:t>
            </w:r>
            <w:r w:rsidRPr="00286108">
              <w:rPr>
                <w:rFonts w:cs="Arial"/>
                <w:bCs/>
              </w:rPr>
              <w:t xml:space="preserve"> </w:t>
            </w:r>
          </w:p>
        </w:tc>
      </w:tr>
    </w:tbl>
    <w:p w14:paraId="053B03BF" w14:textId="16F827C1" w:rsidR="005F3175" w:rsidRDefault="005F3175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0E19F693" w14:textId="77777777" w:rsidR="008F5DB6" w:rsidRDefault="008F5DB6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6670B583" w14:textId="77777777" w:rsidR="008F5DB6" w:rsidRDefault="008F5DB6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77E652A5" w14:textId="77777777" w:rsidR="008F5DB6" w:rsidRDefault="008F5DB6" w:rsidP="00286108">
      <w:pPr>
        <w:spacing w:after="0" w:line="240" w:lineRule="auto"/>
        <w:rPr>
          <w:rFonts w:cs="Arial"/>
          <w:b/>
          <w:lang w:val="x-none" w:eastAsia="x-none"/>
        </w:rPr>
      </w:pPr>
    </w:p>
    <w:p w14:paraId="587CCB1B" w14:textId="77777777" w:rsidR="008F5DB6" w:rsidRDefault="008F5DB6">
      <w:pPr>
        <w:spacing w:after="0" w:line="240" w:lineRule="auto"/>
        <w:rPr>
          <w:b/>
          <w:sz w:val="32"/>
        </w:rPr>
      </w:pPr>
      <w:r>
        <w:rPr>
          <w:bCs/>
          <w:caps/>
        </w:rPr>
        <w:br w:type="page"/>
      </w:r>
    </w:p>
    <w:p w14:paraId="12108D10" w14:textId="4AEB40D2" w:rsidR="007756D3" w:rsidRDefault="008F5DB6" w:rsidP="008F5DB6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r w:rsidRPr="008F5DB6">
        <w:rPr>
          <w:rFonts w:cs="Times New Roman"/>
          <w:bCs w:val="0"/>
          <w:caps w:val="0"/>
          <w:spacing w:val="0"/>
          <w:kern w:val="0"/>
          <w:szCs w:val="24"/>
        </w:rPr>
        <w:lastRenderedPageBreak/>
        <w:t>Příloha č. 2 Smlouvy – Specifikace předmětu plnění</w:t>
      </w:r>
    </w:p>
    <w:p w14:paraId="6ED744C5" w14:textId="5347E176" w:rsidR="008F5DB6" w:rsidRDefault="008F5DB6" w:rsidP="008F5DB6">
      <w:pPr>
        <w:pStyle w:val="RLNzevsmlouvy"/>
        <w:spacing w:before="0" w:after="0" w:line="280" w:lineRule="atLeast"/>
        <w:rPr>
          <w:rFonts w:cs="Times New Roman"/>
          <w:bCs w:val="0"/>
          <w:caps w:val="0"/>
          <w:spacing w:val="0"/>
          <w:kern w:val="0"/>
          <w:szCs w:val="24"/>
        </w:rPr>
      </w:pPr>
      <w:r w:rsidRPr="008F5DB6">
        <w:rPr>
          <w:rFonts w:cs="Times New Roman"/>
          <w:bCs w:val="0"/>
          <w:caps w:val="0"/>
          <w:spacing w:val="0"/>
          <w:kern w:val="0"/>
          <w:szCs w:val="24"/>
        </w:rPr>
        <w:t>ve znění D</w:t>
      </w:r>
      <w:r w:rsidR="00D9550E">
        <w:rPr>
          <w:rFonts w:cs="Times New Roman"/>
          <w:bCs w:val="0"/>
          <w:caps w:val="0"/>
          <w:spacing w:val="0"/>
          <w:kern w:val="0"/>
          <w:szCs w:val="24"/>
        </w:rPr>
        <w:t>2</w:t>
      </w:r>
    </w:p>
    <w:p w14:paraId="079672A3" w14:textId="77777777" w:rsidR="008F5DB6" w:rsidRDefault="008F5DB6" w:rsidP="008F5DB6"/>
    <w:p w14:paraId="11A48358" w14:textId="77777777" w:rsidR="008F5DB6" w:rsidRDefault="008F5DB6" w:rsidP="008F5DB6"/>
    <w:p w14:paraId="439BE0C1" w14:textId="77777777" w:rsidR="008F5DB6" w:rsidRDefault="008F5DB6" w:rsidP="008F5DB6">
      <w:pPr>
        <w:pStyle w:val="Nadpis2"/>
        <w:spacing w:after="33" w:line="259" w:lineRule="auto"/>
        <w:ind w:left="137"/>
      </w:pPr>
      <w:r>
        <w:rPr>
          <w:color w:val="4F81BD"/>
        </w:rPr>
        <w:t xml:space="preserve">1. Východiska a cíle </w:t>
      </w:r>
    </w:p>
    <w:p w14:paraId="4E0A1445" w14:textId="77777777" w:rsidR="008F5DB6" w:rsidRDefault="008F5DB6" w:rsidP="008F5DB6">
      <w:pPr>
        <w:spacing w:after="33" w:line="259" w:lineRule="auto"/>
        <w:ind w:left="142"/>
      </w:pPr>
      <w:r>
        <w:rPr>
          <w:color w:val="4F81BD"/>
        </w:rPr>
        <w:t xml:space="preserve"> </w:t>
      </w:r>
    </w:p>
    <w:p w14:paraId="73B871D5" w14:textId="77777777" w:rsidR="008F5DB6" w:rsidRDefault="008F5DB6" w:rsidP="008F5DB6">
      <w:pPr>
        <w:spacing w:after="169" w:line="319" w:lineRule="auto"/>
        <w:ind w:left="127" w:right="58"/>
        <w:jc w:val="both"/>
      </w:pPr>
      <w:r>
        <w:t xml:space="preserve">Předmětem dané veřejné zakázky jsou služby spočívající ve vytvoření </w:t>
      </w:r>
      <w:r>
        <w:rPr>
          <w:b/>
        </w:rPr>
        <w:t>odborného medicínského materiálu ve vztahu k současné právní úpravě</w:t>
      </w:r>
      <w:r>
        <w:t xml:space="preserve">, tj.  zákonu č. 108/2006 Sb., o sociálních službách, ve znění pozdějších předpisů (dále jen „zákon o sociálních službách“) a vyhlášce č. 505/2006 Sb., kterou se provádějí některá ustanovení zákona o sociálních službách, ve znění pozdějších předpisů (dále jen „vyhláška“) a její příloze č. 1, která vymezuje schopnosti zvládat základní životní potřeby, </w:t>
      </w:r>
      <w:r>
        <w:rPr>
          <w:b/>
        </w:rPr>
        <w:t>obsahujícího revizi kritérií pro hodnocení funkčních schopností a disability lidí s duševním onemocněním a poruchami chování v rámci posuzování příspěvku na péči</w:t>
      </w:r>
      <w:r>
        <w:t xml:space="preserve">. Revize, výsledky (analytické výstupy) a doporučení změn by měly být provedeny v systému posuzování příspěvku na péči u duševních onemocnění tak, aby reflektovaly funkční postižení související s typem a tíží onemocnění včetně optimalizace čekací doby na přiznání příspěvku na péči.  </w:t>
      </w:r>
    </w:p>
    <w:p w14:paraId="05F3DF42" w14:textId="77777777" w:rsidR="008F5DB6" w:rsidRDefault="008F5DB6" w:rsidP="008F5DB6">
      <w:pPr>
        <w:spacing w:after="163" w:line="319" w:lineRule="auto"/>
        <w:ind w:left="127" w:right="58"/>
        <w:jc w:val="both"/>
      </w:pPr>
      <w:r>
        <w:t xml:space="preserve">Lékařství je velmi dynamický obor a od přijetí zákona o sociálních službách a vyhlášky do současné doby lékařská věda doznala řady změn, které mohou mít zásadní dopad na posuzování zdravotního stavu a na posuzování schopnosti zvládat základní životní potřeby u příspěvku na péči.  Výskyt nových infekčních nemocí, celosvětová pandemie COVID-19, ale i nárůst počtu osob vyhledávajících psychiatrickou péči vede k tomu, že je potřebné a nezbytné </w:t>
      </w:r>
      <w:proofErr w:type="gramStart"/>
      <w:r>
        <w:t xml:space="preserve">formulovat,  </w:t>
      </w:r>
      <w:r>
        <w:rPr>
          <w:b/>
        </w:rPr>
        <w:t>resp.</w:t>
      </w:r>
      <w:proofErr w:type="gramEnd"/>
      <w:r>
        <w:rPr>
          <w:b/>
        </w:rPr>
        <w:t xml:space="preserve"> vymezit pokroky lékařské vědy</w:t>
      </w:r>
      <w:r>
        <w:t xml:space="preserve">, v daném případě u duševních poruch a poruch chování, </w:t>
      </w:r>
      <w:r>
        <w:rPr>
          <w:b/>
        </w:rPr>
        <w:t>které se promítají do posuzování zdravotního stavu a schopnosti zvládat základní životní potřeby</w:t>
      </w:r>
      <w:r>
        <w:t xml:space="preserve">. Ostatně právě z tohoto důvodu bylo také MPSV k této revizi </w:t>
      </w:r>
      <w:proofErr w:type="gramStart"/>
      <w:r>
        <w:t>zavázáno,  a</w:t>
      </w:r>
      <w:proofErr w:type="gramEnd"/>
      <w:r>
        <w:t xml:space="preserve"> to v rámci Implementace Národního akčního plánu pro duševní zdraví 2020-2030,  konkrétně v opatření 2.1.3. </w:t>
      </w:r>
    </w:p>
    <w:p w14:paraId="77C8A996" w14:textId="77777777" w:rsidR="008F5DB6" w:rsidRDefault="008F5DB6" w:rsidP="008F5DB6">
      <w:pPr>
        <w:spacing w:after="168" w:line="319" w:lineRule="auto"/>
        <w:ind w:left="127" w:right="58"/>
        <w:jc w:val="both"/>
      </w:pPr>
      <w:r>
        <w:t xml:space="preserve">V rámci analýzy je požadováno </w:t>
      </w:r>
      <w:r>
        <w:rPr>
          <w:b/>
        </w:rPr>
        <w:t>vycházet také alespoň z jednoho obdobného a funkčního zahraničního modelu a zhodnotit míru jeho využitelnosti</w:t>
      </w:r>
      <w:r>
        <w:t xml:space="preserve"> při formulování případného doporučení změny kritérií při posuzování v České republice. Jako vhodný/využitelný model pro </w:t>
      </w:r>
      <w:proofErr w:type="gramStart"/>
      <w:r>
        <w:t>komparaci  a</w:t>
      </w:r>
      <w:proofErr w:type="gramEnd"/>
      <w:r>
        <w:t xml:space="preserve"> případnou přenositelnost se jeví systém posuzování stupně závislosti pro účely dávky dlouhodobé péče </w:t>
      </w:r>
      <w:proofErr w:type="spellStart"/>
      <w:r>
        <w:t>Pflegegeld</w:t>
      </w:r>
      <w:proofErr w:type="spellEnd"/>
      <w:r>
        <w:t xml:space="preserve">, jenž je používaný ve </w:t>
      </w:r>
      <w:r>
        <w:rPr>
          <w:b/>
        </w:rPr>
        <w:t>Spolkové republice Německo</w:t>
      </w:r>
      <w:r>
        <w:t xml:space="preserve"> institucí </w:t>
      </w:r>
      <w:proofErr w:type="spellStart"/>
      <w:r>
        <w:t>Medizinischer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 viz příloha, který má nejen žádoucím způsobem nastavena kritéria u duševních poruch a poruch chování, ale také komplexně nastavena kritéria ve vztahu k onemocněním ostatního typu.  Důvodem volby tohoto systému pro komparaci a případnou přenositelnost (všech modulů či dílčích částí), je nejen precizní nastavení hodnocení funkčních schopností a disability </w:t>
      </w:r>
      <w:proofErr w:type="gramStart"/>
      <w:r>
        <w:t>právě  u</w:t>
      </w:r>
      <w:proofErr w:type="gramEnd"/>
      <w:r>
        <w:t xml:space="preserve"> osob s duševním onemocněním, ale také proto, že obsahuje (má nastavena) kritéria komplexně  a tato vycházejí z dlouhodobého celosvětového výzkumu. Současně je zapotřebí přihlédnout také k rychlosti zpracování výsledného posouzení zdravotního stavu v tomto systému (25denní lhůta v případě lehkých a středně těžkých stavů a 7denní lhůta v případě těžkých stavů), což přímo souvisí s požadavkem na zhodnocení možnosti optimalizovat čekací dobu na přiznání příspěvku na péči včetně využitelnosti nelékařských zdravotnických pracovníků při posuzovaní přímo v domácnosti (obdoba v České republice nově zavedených pozic odborných nelékařských zdravotnických pracovníků do plnění úkolů lékařské posudkové služby okresních správ sociálního zabezpečení).  Při volbě tohoto systému ke komparaci je důležitým faktorem také </w:t>
      </w:r>
      <w:r>
        <w:rPr>
          <w:b/>
        </w:rPr>
        <w:t>napojení na pokročilý elektronický nástroj</w:t>
      </w:r>
      <w:r>
        <w:t xml:space="preserve"> (s možností do budoucna rozšíření o umělou inteligenci). </w:t>
      </w:r>
    </w:p>
    <w:p w14:paraId="681ECBB0" w14:textId="77777777" w:rsidR="008F5DB6" w:rsidRDefault="008F5DB6" w:rsidP="008F5DB6">
      <w:pPr>
        <w:spacing w:after="156" w:line="319" w:lineRule="auto"/>
        <w:ind w:left="127" w:right="58"/>
        <w:jc w:val="both"/>
      </w:pPr>
      <w:r>
        <w:lastRenderedPageBreak/>
        <w:t xml:space="preserve">Stěžejní pozornost tedy bude věnována zdravotním postižením z oblasti duševních poruch a poruch chování, která jsou nejčastějšími příčinami posuzování schopnosti zvládat základní životní potřeby včetně samostatného vyjádření k dopadům celosvětové pandemie COVID-19 do oblasti duševních onemocnění a poruch chování (dle aktuálně dostupných zdrojů). Zároveň je potřeba data z oblasti duševních poruch a poruch chování rozpracovat </w:t>
      </w:r>
      <w:r>
        <w:rPr>
          <w:b/>
        </w:rPr>
        <w:t>zvlášť pro dětskou a dospělou populaci</w:t>
      </w:r>
      <w:r>
        <w:t xml:space="preserve"> (kategorizace do 18 let věku a nad 18 let věku), a to s ohledem na rychle vzrůstající počty dětí s těmito diagnózami především v době po pandemii COVID - 19, kdy cílem je získat také odborný medicínský materiál/podklad obsahující doporučení potřebných opatření v oblasti posuzování zdravotního stavu a schopnosti zvládat základní životní potřeby, a to jak v obecné rovině,  tak ve vztahu ke konkrétním duševním onemocněním.  </w:t>
      </w:r>
    </w:p>
    <w:p w14:paraId="007903DF" w14:textId="77777777" w:rsidR="008F5DB6" w:rsidRDefault="008F5DB6" w:rsidP="008F5DB6">
      <w:pPr>
        <w:spacing w:after="168" w:line="319" w:lineRule="auto"/>
        <w:ind w:left="127" w:right="58"/>
        <w:jc w:val="both"/>
      </w:pPr>
      <w:r>
        <w:t xml:space="preserve">Základním principem řešení bude tedy </w:t>
      </w:r>
      <w:r>
        <w:rPr>
          <w:b/>
        </w:rPr>
        <w:t>nejen</w:t>
      </w:r>
      <w:r>
        <w:t xml:space="preserve"> </w:t>
      </w:r>
      <w:r>
        <w:rPr>
          <w:b/>
        </w:rPr>
        <w:t xml:space="preserve">revize aktuálnosti současné právní úpravy a </w:t>
      </w:r>
      <w:proofErr w:type="gramStart"/>
      <w:r>
        <w:rPr>
          <w:b/>
        </w:rPr>
        <w:t>kritérií  pro</w:t>
      </w:r>
      <w:proofErr w:type="gramEnd"/>
      <w:r>
        <w:rPr>
          <w:b/>
        </w:rPr>
        <w:t xml:space="preserve"> hodnocení funkčních schopností a disability lidí</w:t>
      </w:r>
      <w:r>
        <w:t xml:space="preserve"> s duševním onemocněním a poruchami chování při posuzování stupně závislosti pro účely příspěvku na péči v České republice,  ale </w:t>
      </w:r>
      <w:r>
        <w:rPr>
          <w:b/>
        </w:rPr>
        <w:t>také přímé porovnání se zahraničním systémem</w:t>
      </w:r>
      <w:r>
        <w:t xml:space="preserve">, konkrétně posuzování stupně závislosti  pro účely dávky dlouhodobé péče </w:t>
      </w:r>
      <w:proofErr w:type="spellStart"/>
      <w:r>
        <w:t>Pflegegeld</w:t>
      </w:r>
      <w:proofErr w:type="spellEnd"/>
      <w:r>
        <w:t xml:space="preserve">, jenž je používaný ve Spolkové republice Německo institucí </w:t>
      </w:r>
      <w:proofErr w:type="spellStart"/>
      <w:r>
        <w:t>Medizinischer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. Dle výsledků revize a analýz dojde k vyhodnocení porovnání výše uvedených systémů. V případě vhodnosti a využitelnosti systému používaného ve Spolkové republice Německo dojde následně ke </w:t>
      </w:r>
      <w:r>
        <w:rPr>
          <w:b/>
        </w:rPr>
        <w:t>koncipování doporučení na vhodnost převzetí tohoto systému jako celku</w:t>
      </w:r>
      <w:r>
        <w:t xml:space="preserve"> (s ohledem na posuzování všech základních životních potřeb</w:t>
      </w:r>
      <w:proofErr w:type="gramStart"/>
      <w:r>
        <w:t xml:space="preserve">),  </w:t>
      </w:r>
      <w:r>
        <w:rPr>
          <w:b/>
        </w:rPr>
        <w:t>příp.</w:t>
      </w:r>
      <w:proofErr w:type="gramEnd"/>
      <w:r>
        <w:rPr>
          <w:b/>
        </w:rPr>
        <w:t xml:space="preserve"> těch vhodných modulových částí</w:t>
      </w:r>
      <w:r>
        <w:t xml:space="preserve">, které by vhodně akcentovaly hodnocení funkčních schopností a disability lidí s duševním onemocněním a poruchami chování. </w:t>
      </w:r>
    </w:p>
    <w:p w14:paraId="3D9628D3" w14:textId="77777777" w:rsidR="008F5DB6" w:rsidRDefault="008F5DB6" w:rsidP="008F5DB6">
      <w:pPr>
        <w:spacing w:after="168" w:line="319" w:lineRule="auto"/>
        <w:ind w:left="127" w:right="58"/>
        <w:jc w:val="both"/>
      </w:pPr>
      <w:r>
        <w:t xml:space="preserve">Záměrem je zpracování revize v takovém rozsahu, aby bylo zřejmě, </w:t>
      </w:r>
      <w:r>
        <w:rPr>
          <w:b/>
        </w:rPr>
        <w:t xml:space="preserve">zda je aktuálně </w:t>
      </w:r>
      <w:proofErr w:type="gramStart"/>
      <w:r>
        <w:rPr>
          <w:b/>
        </w:rPr>
        <w:t>vhodné  a</w:t>
      </w:r>
      <w:proofErr w:type="gramEnd"/>
      <w:r>
        <w:rPr>
          <w:b/>
        </w:rPr>
        <w:t xml:space="preserve"> žádoucí provádět nějaké změny ve stávající právní úpravě</w:t>
      </w:r>
      <w:r>
        <w:t xml:space="preserve">, a to nejen ve vztahu ke konkrétním duševním onemocněním, ale ve vztahu ke všem typům onemocnění, příp. </w:t>
      </w:r>
      <w:r>
        <w:rPr>
          <w:b/>
        </w:rPr>
        <w:t>zda je vhodnější přistoupit k úplné (celkové) změně přístupu</w:t>
      </w:r>
      <w:r>
        <w:t xml:space="preserve"> (celkové změně kritérií) při posuzování osob  s duševní poruchou a poruchou chování (a ostatních typů onemocnění) pro účely příspěvku na péči. Z revize a analýzy by tedy mělo být dostatečně patrné, </w:t>
      </w:r>
      <w:r>
        <w:rPr>
          <w:b/>
        </w:rPr>
        <w:t xml:space="preserve">zda alespoň jeden zahraniční </w:t>
      </w:r>
      <w:proofErr w:type="gramStart"/>
      <w:r>
        <w:rPr>
          <w:b/>
        </w:rPr>
        <w:t>model</w:t>
      </w:r>
      <w:r>
        <w:t xml:space="preserve">  (</w:t>
      </w:r>
      <w:proofErr w:type="gramEnd"/>
      <w:r>
        <w:t xml:space="preserve">vybrán systém používaný ve Spolkové republice Německo) </w:t>
      </w:r>
      <w:r>
        <w:rPr>
          <w:b/>
        </w:rPr>
        <w:t>může být v podmínkách českého prostředí vhodně využitelný</w:t>
      </w:r>
      <w:r>
        <w:t xml:space="preserve"> (převzat zcela či částečně) či naopak nikoliv. V této </w:t>
      </w:r>
      <w:proofErr w:type="gramStart"/>
      <w:r>
        <w:t>souvislosti  je</w:t>
      </w:r>
      <w:proofErr w:type="gramEnd"/>
      <w:r>
        <w:t xml:space="preserve"> pak potřeba znát i </w:t>
      </w:r>
      <w:r>
        <w:rPr>
          <w:b/>
        </w:rPr>
        <w:t>důvody pro doporučení/nedoporučení implementace</w:t>
      </w:r>
      <w:r>
        <w:t xml:space="preserve"> německého systému jako celku, příp. jeho jednotlivých částí (modulů).  </w:t>
      </w:r>
    </w:p>
    <w:p w14:paraId="44A903F0" w14:textId="77777777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Následně na základě odborné analýzy a zhodnocení výsledků </w:t>
      </w:r>
      <w:r>
        <w:rPr>
          <w:b/>
        </w:rPr>
        <w:t xml:space="preserve">navrhnout potřebné </w:t>
      </w:r>
      <w:proofErr w:type="gramStart"/>
      <w:r>
        <w:rPr>
          <w:b/>
        </w:rPr>
        <w:t>změny</w:t>
      </w:r>
      <w:r>
        <w:t>,  a</w:t>
      </w:r>
      <w:proofErr w:type="gramEnd"/>
      <w:r>
        <w:t xml:space="preserve"> to dle závěrů </w:t>
      </w:r>
      <w:r>
        <w:rPr>
          <w:b/>
        </w:rPr>
        <w:t>buď v rovině legislativní nebo v rovině metodické</w:t>
      </w:r>
      <w:r>
        <w:t xml:space="preserve"> (řešení formou metodických pokynů, instrukcí, standardů nebo </w:t>
      </w:r>
      <w:proofErr w:type="spellStart"/>
      <w:r>
        <w:t>guidelines</w:t>
      </w:r>
      <w:proofErr w:type="spellEnd"/>
      <w:r>
        <w:t xml:space="preserve"> zpracovaných k jednotlivým oblastem, problémům, druhům zdravotních postižení či ke zcela konkrétním jednotlivým zdravotním postižením). </w:t>
      </w:r>
    </w:p>
    <w:p w14:paraId="2308F8F6" w14:textId="77777777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Vzhledem k tomu, že při hodnocení schopnosti zvládat základní životní potřeby je nutné posoudit úroveň mentálních, psychických a sociálních funkcí, požaduje se dále </w:t>
      </w:r>
      <w:r>
        <w:rPr>
          <w:b/>
        </w:rPr>
        <w:t>zvážení využití standardizovaných škál používaných v psychiatrické praxi</w:t>
      </w:r>
      <w:r>
        <w:t xml:space="preserve"> při posuzování zdravotního stavu pro účely příspěvku na péči. Považujeme za důležité zaměřit se i na možnosti budoucích </w:t>
      </w:r>
      <w:proofErr w:type="gramStart"/>
      <w:r>
        <w:t>změn  v</w:t>
      </w:r>
      <w:proofErr w:type="gramEnd"/>
      <w:r>
        <w:t xml:space="preserve"> souvislosti s plánovaným </w:t>
      </w:r>
      <w:r>
        <w:rPr>
          <w:b/>
        </w:rPr>
        <w:t>zavedením MKN-11</w:t>
      </w:r>
      <w:r>
        <w:t xml:space="preserve"> (rozdíl oproti stávající MKN-10).   </w:t>
      </w:r>
    </w:p>
    <w:p w14:paraId="2A43C8FD" w14:textId="77777777" w:rsidR="008F5DB6" w:rsidRDefault="008F5DB6" w:rsidP="008F5DB6">
      <w:pPr>
        <w:spacing w:after="164" w:line="319" w:lineRule="auto"/>
        <w:ind w:left="127" w:right="58"/>
        <w:jc w:val="both"/>
      </w:pPr>
      <w:r>
        <w:t xml:space="preserve">Současná doba v oblasti lékařské posudkové služby zvyšuje nároky na přesnost posudkového závěru. Vzhledem k výše uvedenému je nezbytná kvalitní medicínsko-právní legislativa </w:t>
      </w:r>
      <w:proofErr w:type="gramStart"/>
      <w:r>
        <w:t>opírající  se</w:t>
      </w:r>
      <w:proofErr w:type="gramEnd"/>
      <w:r>
        <w:t xml:space="preserve"> o odbornou materii zpracovanou renomovaným řešitelem s obsáhlými a ucelenými znalostmi  z lékařské vědy. </w:t>
      </w:r>
    </w:p>
    <w:p w14:paraId="058260AA" w14:textId="77777777" w:rsidR="008F5DB6" w:rsidRDefault="008F5DB6" w:rsidP="008F5DB6">
      <w:pPr>
        <w:pStyle w:val="Nadpis2"/>
        <w:spacing w:after="180" w:line="259" w:lineRule="auto"/>
        <w:ind w:left="137"/>
      </w:pPr>
      <w:r>
        <w:rPr>
          <w:color w:val="4F81BD"/>
        </w:rPr>
        <w:lastRenderedPageBreak/>
        <w:t xml:space="preserve">2. Požadované výstupy </w:t>
      </w:r>
    </w:p>
    <w:p w14:paraId="75C3098F" w14:textId="77777777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Zpracovatel v rámci realizace analýzy k možnostem revidování kritérií pro hodnocení funkčních schopností a disability lidí s duševním onemocněním v rámci posuzování výše příspěvku na péči, optimalizace čekací doby na přiznání příspěvku na péči, která je předmětem plnění dle této Smlouvy, odevzdá </w:t>
      </w:r>
      <w:r>
        <w:rPr>
          <w:b/>
        </w:rPr>
        <w:t>vstupní</w:t>
      </w:r>
      <w:r>
        <w:t xml:space="preserve">, </w:t>
      </w:r>
      <w:r>
        <w:rPr>
          <w:b/>
        </w:rPr>
        <w:t>průběžnou</w:t>
      </w:r>
      <w:r>
        <w:t xml:space="preserve"> a </w:t>
      </w:r>
      <w:r>
        <w:rPr>
          <w:b/>
        </w:rPr>
        <w:t>závěrečnou zprávu</w:t>
      </w:r>
      <w:r>
        <w:t xml:space="preserve">, zástupci Zpracovatele se dále setkají se zástupci Objednatele na </w:t>
      </w:r>
      <w:r>
        <w:rPr>
          <w:b/>
        </w:rPr>
        <w:t>alespoň 2 průběžných pracovních schůzkách</w:t>
      </w:r>
      <w:r>
        <w:t xml:space="preserve"> (úvodní a aktualizační)  a na </w:t>
      </w:r>
      <w:r>
        <w:rPr>
          <w:b/>
        </w:rPr>
        <w:t>závěrečném workshopu</w:t>
      </w:r>
      <w:r>
        <w:t xml:space="preserve">, kde budou Zpracovatelem prezentovány výstupy realizované analýzy. </w:t>
      </w:r>
    </w:p>
    <w:p w14:paraId="5652AECE" w14:textId="77777777" w:rsidR="008F5DB6" w:rsidRDefault="008F5DB6" w:rsidP="008F5DB6">
      <w:pPr>
        <w:spacing w:after="7" w:line="319" w:lineRule="auto"/>
        <w:ind w:left="127" w:right="58"/>
        <w:jc w:val="both"/>
      </w:pPr>
      <w:r>
        <w:rPr>
          <w:b/>
        </w:rPr>
        <w:t>Vstupní zpráva</w:t>
      </w:r>
      <w:r>
        <w:t xml:space="preserve"> bude obsahovat dopracované znění „strategie zpracování analýzy“ z předložené nabídky k veřejné zakázce, kde bude </w:t>
      </w:r>
      <w:r>
        <w:rPr>
          <w:b/>
        </w:rPr>
        <w:t>specifikován plánovaný výzkumný postup</w:t>
      </w:r>
      <w:r>
        <w:t xml:space="preserve"> realizace Analýzy možnosti revize kritérií pro hodnocení funkčních schopností a disability lidí s duševním onemocněním v rámci posuzování výše příspěvku na péči zahrnující zhodnocení míry využitelnosti </w:t>
      </w:r>
    </w:p>
    <w:p w14:paraId="3D08F86B" w14:textId="16CE4436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německého modelu, optimalizace čekací doby na přiznání příspěvku na péči, spolu s konkretizovanými daty, se kterými bude Zpracovatel v rámci realizace analýzy pracovat.  Součástí vstupní zprávy bude i </w:t>
      </w:r>
      <w:r>
        <w:rPr>
          <w:b/>
        </w:rPr>
        <w:t>požadavek Zpracovatele na objednávku dat</w:t>
      </w:r>
      <w:r>
        <w:t xml:space="preserve">, tj. upřesnění, jaká konkrétní data budou nezbytná k realizaci této zakázky, včetně její potřeby odůvodnění, respektive potřeba dat bude navázána k výzkumným otázkám. Dále bude ve vstupní zprávě definována strategie získávání dalších relevantních sekundárních, potažmo primárních dat, plánovaný harmonogram realizace a analýza hlavních omezení a rizik. </w:t>
      </w:r>
    </w:p>
    <w:p w14:paraId="1C2EE3B6" w14:textId="733DF505" w:rsidR="008F5DB6" w:rsidRDefault="008F5DB6" w:rsidP="008F5DB6">
      <w:pPr>
        <w:spacing w:after="126" w:line="319" w:lineRule="auto"/>
        <w:ind w:left="127" w:right="58"/>
        <w:jc w:val="both"/>
      </w:pPr>
      <w:r>
        <w:t xml:space="preserve">V </w:t>
      </w:r>
      <w:r>
        <w:rPr>
          <w:b/>
        </w:rPr>
        <w:t>průběžné zprávě</w:t>
      </w:r>
      <w:r>
        <w:t xml:space="preserve"> bude zpracovaná operacionalizace, která napomůže k zodpovězení výzkumných otázek. V případě, že nebylo možné všechny výzkumné otázky zodpovědět, bude uveden podrobný popis důvodu, spolu s definováním překážek, které neumožnily zodpovědět danou výzkumnou otázku. Zpráva bude také obsahovat zdůvodnění případných úprav v nastavení strategie realizace analýzy a aktualizaci analýzy hlavních omezení a rizik. V případě, že budou Zpracovatelem identifikovány jako stěžejní i další aspekty realizované analýzy, které nejsou přímo uvedeny v rámci Specifikace předmětu plnění, může Zpracovatel tyto aspekty do průběžné zprávy zahrnout. </w:t>
      </w:r>
    </w:p>
    <w:p w14:paraId="4DE2717E" w14:textId="7A33122E" w:rsidR="008F5DB6" w:rsidRDefault="008F5DB6" w:rsidP="008F5DB6">
      <w:pPr>
        <w:spacing w:after="126" w:line="319" w:lineRule="auto"/>
        <w:ind w:left="127" w:right="58"/>
        <w:jc w:val="both"/>
      </w:pPr>
      <w:r>
        <w:rPr>
          <w:b/>
        </w:rPr>
        <w:t>Závěrečná zpráva</w:t>
      </w:r>
      <w:r>
        <w:t xml:space="preserve"> bude obsahovat </w:t>
      </w:r>
      <w:r>
        <w:rPr>
          <w:b/>
        </w:rPr>
        <w:t>zodpovězení hlavní výzkumné otázky a jednotlivých výzkumných otázek</w:t>
      </w:r>
      <w:r>
        <w:t xml:space="preserve"> (výzkumné otázky 1 až 9), doporučení opatření, zhodnocení proveditelnosti navrhovaných změn v kontextu s platnými právními předpisy, tj. zejména zákonem o sociálních službách a vyhláškou a její přílohou č. 1, vymezení pokroků lékařské vědy u duševních poruch  a poruch chování, které se promítají do posuzování zdravotního stavu a na posouzení schopnosti zvládat základní životní potřeby u dávky příspěvek na péči, návrh možnosti optimalizace čekací doby  na přiznání příspěvku na péči v návaznosti na analýzu nastavení lhůt v německém modelu,  tj. 25denní lhůta v případě lehkých a středně těžkých stavů a 7denní lhůta v případě těžkých stavů, návrh na využití digitálních prostředků při posuzování zdravotního stavu a i v samotném procesu přiznání příspěvku na péči, vyjádření, zda závěry a doporučení, jež vedly k poslední úpravě vyhlášky a její přílohy č. 1, jsou stále platné a odpovídají aktuálním potřebám posudkového lékařství, a to konkrétně pro posuzování duševních poruch a poruch chování, nejvýznamnější přínosy moderní medicíny v posledních letech v oblasti diagnostické, léčebné, rehabilitační či v oblasti kompenzace prostřednictvím zdravotnických prostředků za posledních 5 až 6 let s dopadem  na kvalitu života a schopnost společenského začlenění a zhodnocení možnosti změny kritérií (systému hodnocení) na základě srovnání s německým modelem posuzování zdravotního stavu osob s duševním onemocněním v rámci posuzování příspěvku na péči, a to s kategorizací do 18 let věku a nad 18 let věku. Vymezení nejčastějších zdravotních postižení z oblasti duševních poruch a poruch chování, které jsou nejčastějšími příčinami posuzování schopnosti zvládat základní životní potřeby.    </w:t>
      </w:r>
    </w:p>
    <w:p w14:paraId="0328C758" w14:textId="135045B7" w:rsidR="008F5DB6" w:rsidRDefault="008F5DB6" w:rsidP="008F5DB6">
      <w:pPr>
        <w:spacing w:after="95" w:line="319" w:lineRule="auto"/>
        <w:ind w:left="127" w:right="58"/>
        <w:jc w:val="both"/>
      </w:pPr>
      <w:r>
        <w:lastRenderedPageBreak/>
        <w:t xml:space="preserve">Cílem závěrečné zprávy je </w:t>
      </w:r>
      <w:r>
        <w:rPr>
          <w:b/>
        </w:rPr>
        <w:t>vyhodnotit aktuální stav posuzování zdravotního stavu</w:t>
      </w:r>
      <w:r>
        <w:t xml:space="preserve"> a posuzování schopnosti zvládat základní životní potřeby u lidí s duševním onemocněním a poruchami chování v rámci stanovení výše příspěvku na péči </w:t>
      </w:r>
      <w:r>
        <w:rPr>
          <w:b/>
        </w:rPr>
        <w:t>včetně zhodnocení využitelnosti německého modelu</w:t>
      </w:r>
      <w:r>
        <w:t xml:space="preserve"> v České republice jako celku nebo jeho modulových částí. V případě, že bude vyhodnoceno, že je vhodné provést změny v posuzování příspěvku na péči, současně </w:t>
      </w:r>
      <w:r>
        <w:rPr>
          <w:b/>
        </w:rPr>
        <w:t>navrhnout změny kritérií při posuzování zdravotního stavu</w:t>
      </w:r>
      <w:r>
        <w:t xml:space="preserve"> a schopnosti zvládat základní životní potřeby.  Závěrečná zpráva bude tvořit odborný medicínský materiál/podklad, obsahující </w:t>
      </w:r>
      <w:r>
        <w:rPr>
          <w:b/>
        </w:rPr>
        <w:t xml:space="preserve">doporučení potřebných opatření </w:t>
      </w:r>
      <w:r>
        <w:t xml:space="preserve">v oblasti posuzování zdravotního stavu a schopnosti zvládat základní životní potřeby, a to jak v obecné rovině, tak ve vztahu ke konkrétním duševním onemocněním.  Nápomocné k vypracování tohoto materiálu bude vypracování analýzy, zodpovězení výzkumných otázek, popis výstupů z této analýzy a popsání opatření a doporučení v souvislosti s analýzou. V případě, kdy nebude z objektivních důvodů možné některou z výzkumných otázek zodpovědět, bude uveden podrobný popis postupu, spolu s definováním překážek, které neumožnily zodpovědět danou výzkumnou otázku. Dále bude zpráva obsahovat seznam využívaných primárních a sekundárních dat, vysvětlení realizované práce s daty a případnou syntézu poznatků a doporučení. V případě, že budou Zpracovatelem identifikovány jako stěžejní i další aspekty realizované analýzy, které nejsou přímo uvedeny v rámci Specifikace předmětu plnění, může Zpracovatel tyto aspekty do závěrečné zprávy zahrnout.  </w:t>
      </w:r>
    </w:p>
    <w:p w14:paraId="4E7422E8" w14:textId="77777777" w:rsidR="008F5DB6" w:rsidRDefault="008F5DB6" w:rsidP="008F5DB6">
      <w:pPr>
        <w:spacing w:after="179"/>
        <w:ind w:left="137" w:right="56"/>
      </w:pPr>
      <w:r>
        <w:t xml:space="preserve">2.1. Oponentura </w:t>
      </w:r>
    </w:p>
    <w:p w14:paraId="586BF101" w14:textId="77777777" w:rsidR="008F5DB6" w:rsidRDefault="008F5DB6" w:rsidP="008F5DB6">
      <w:pPr>
        <w:spacing w:after="93" w:line="319" w:lineRule="auto"/>
        <w:ind w:left="127" w:right="58"/>
        <w:jc w:val="both"/>
      </w:pPr>
      <w:r>
        <w:t xml:space="preserve">Závěrečná zpráva bude podrobena nezávislé oponentuře. Jméno oponenta navrhne Objednavatel. Zpracování oponentury zajistí Zpracovatel, a to na vlastní náklady. (V případě, že náklady na oponenturu budou přesahovat částku 20 000 Kč bez DPH, rozdíl mezi skutečnými náklady na oponenturu a částkou přesahující 20 000 Kč bez DPH Objednatel uhradí Zpracovateli, a to po dohodě formou dodatku ke Smlouvě). </w:t>
      </w:r>
    </w:p>
    <w:p w14:paraId="40099239" w14:textId="77777777" w:rsidR="008F5DB6" w:rsidRDefault="008F5DB6" w:rsidP="008F5DB6">
      <w:pPr>
        <w:spacing w:after="188" w:line="259" w:lineRule="auto"/>
        <w:ind w:left="142"/>
      </w:pPr>
      <w:r>
        <w:t xml:space="preserve"> </w:t>
      </w:r>
    </w:p>
    <w:p w14:paraId="4A3B6CE6" w14:textId="77777777" w:rsidR="008F5DB6" w:rsidRDefault="008F5DB6" w:rsidP="008F5DB6">
      <w:pPr>
        <w:spacing w:line="269" w:lineRule="auto"/>
        <w:ind w:left="137"/>
      </w:pPr>
      <w:r>
        <w:rPr>
          <w:b/>
        </w:rPr>
        <w:t xml:space="preserve">Výzkumné otázky:  </w:t>
      </w:r>
    </w:p>
    <w:p w14:paraId="3B829B34" w14:textId="2231BB72" w:rsidR="008F5DB6" w:rsidRDefault="008F5DB6" w:rsidP="008F5DB6">
      <w:pPr>
        <w:spacing w:after="68" w:line="259" w:lineRule="auto"/>
        <w:ind w:left="142"/>
      </w:pPr>
      <w:r>
        <w:rPr>
          <w:b/>
          <w:u w:val="single" w:color="000000"/>
        </w:rPr>
        <w:t>Hlavní výzkumná otázka:</w:t>
      </w:r>
      <w:r>
        <w:rPr>
          <w:b/>
        </w:rPr>
        <w:t xml:space="preserve"> </w:t>
      </w:r>
    </w:p>
    <w:p w14:paraId="1C88DFE0" w14:textId="77777777" w:rsidR="008F5DB6" w:rsidRDefault="008F5DB6" w:rsidP="008F5DB6">
      <w:pPr>
        <w:spacing w:after="9" w:line="319" w:lineRule="auto"/>
        <w:ind w:left="127" w:right="58"/>
        <w:jc w:val="both"/>
      </w:pPr>
      <w:r>
        <w:t xml:space="preserve">Revize kritérií pro hodnocení funkčních schopností a disability lidí s duševním onemocněním v rámci posuzování stupně závislosti u příspěvku na péči tak, aby reflektovala funkční postižení související s typem a </w:t>
      </w:r>
      <w:proofErr w:type="gramStart"/>
      <w:r>
        <w:t>tíží</w:t>
      </w:r>
      <w:proofErr w:type="gramEnd"/>
      <w:r>
        <w:t xml:space="preserve"> onemocnění. Optimalizovat čekací dobu na přiznání příspěvku na péči.  </w:t>
      </w:r>
    </w:p>
    <w:p w14:paraId="4A0160E0" w14:textId="77777777" w:rsidR="008F5DB6" w:rsidRDefault="008F5DB6" w:rsidP="008F5DB6">
      <w:pPr>
        <w:spacing w:after="31" w:line="259" w:lineRule="auto"/>
        <w:ind w:left="142"/>
      </w:pPr>
      <w:r>
        <w:t xml:space="preserve"> </w:t>
      </w:r>
    </w:p>
    <w:p w14:paraId="31EE5CAC" w14:textId="77777777" w:rsidR="008F5DB6" w:rsidRDefault="008F5DB6" w:rsidP="008F5DB6">
      <w:pPr>
        <w:spacing w:after="6" w:line="319" w:lineRule="auto"/>
        <w:ind w:left="127" w:right="58"/>
        <w:jc w:val="both"/>
      </w:pPr>
      <w:r>
        <w:t xml:space="preserve">Revize těchto kritérií </w:t>
      </w:r>
      <w:r>
        <w:rPr>
          <w:b/>
        </w:rPr>
        <w:t>zahrnuje také analýzu a vyhodnocení možnosti přenesení německého systému/modelu</w:t>
      </w:r>
      <w:r>
        <w:t xml:space="preserve"> (nebo jeho modulových části) posuzování stupně závislosti pro účely dávky dlouhodobé péče </w:t>
      </w:r>
      <w:proofErr w:type="spellStart"/>
      <w:r>
        <w:t>Pflegegeld</w:t>
      </w:r>
      <w:proofErr w:type="spellEnd"/>
      <w:r>
        <w:t xml:space="preserve">, jenž je používaný ve Spolkové republice Německo institucí </w:t>
      </w:r>
      <w:proofErr w:type="spellStart"/>
      <w:r>
        <w:t>Medizinischer</w:t>
      </w:r>
      <w:proofErr w:type="spellEnd"/>
      <w:r>
        <w:t xml:space="preserve"> </w:t>
      </w:r>
      <w:proofErr w:type="spellStart"/>
      <w:r>
        <w:t>Dienst</w:t>
      </w:r>
      <w:proofErr w:type="spellEnd"/>
      <w:r>
        <w:t>, do systému příspěvku na péči v České republice (ve vztahu ke všem typům onemocnění), a to včetně zhodnocení možnosti optimalizovat čekací dobu na přiznání příspěvku  na péči ve smyslu tohoto modelu, tj. 25denní lhůty v případě lehkých a středně těžkých stavů  a 7denní lhůty v případě těžkých stavů.</w:t>
      </w:r>
      <w:r>
        <w:rPr>
          <w:b/>
        </w:rPr>
        <w:t xml:space="preserve"> </w:t>
      </w:r>
    </w:p>
    <w:p w14:paraId="20661086" w14:textId="77777777" w:rsidR="008F5DB6" w:rsidRDefault="008F5DB6" w:rsidP="008F5DB6">
      <w:pPr>
        <w:spacing w:after="65" w:line="259" w:lineRule="auto"/>
        <w:ind w:left="142"/>
      </w:pPr>
      <w:r>
        <w:rPr>
          <w:b/>
        </w:rPr>
        <w:t xml:space="preserve"> </w:t>
      </w:r>
    </w:p>
    <w:p w14:paraId="06949696" w14:textId="77777777" w:rsidR="008F5DB6" w:rsidRDefault="008F5DB6" w:rsidP="008F5DB6">
      <w:pPr>
        <w:spacing w:line="327" w:lineRule="auto"/>
        <w:ind w:left="137" w:right="56"/>
      </w:pPr>
      <w:r>
        <w:t xml:space="preserve">Součástí výstupů je také navržení využití MKN-11 a možnosti pro využití stávajících nebo nových standardizovaných škál.  </w:t>
      </w:r>
    </w:p>
    <w:p w14:paraId="4BE903D9" w14:textId="77777777" w:rsidR="008F5DB6" w:rsidRDefault="008F5DB6" w:rsidP="008F5DB6">
      <w:pPr>
        <w:spacing w:line="327" w:lineRule="auto"/>
        <w:ind w:left="137" w:right="56"/>
      </w:pPr>
    </w:p>
    <w:p w14:paraId="145B7DB0" w14:textId="77777777" w:rsidR="008F5DB6" w:rsidRDefault="008F5DB6" w:rsidP="008F5DB6">
      <w:pPr>
        <w:spacing w:line="327" w:lineRule="auto"/>
        <w:ind w:left="137" w:right="56"/>
      </w:pPr>
    </w:p>
    <w:p w14:paraId="0DCBF0DE" w14:textId="77777777" w:rsidR="008F5DB6" w:rsidRDefault="008F5DB6" w:rsidP="008F5DB6">
      <w:pPr>
        <w:spacing w:line="327" w:lineRule="auto"/>
        <w:ind w:left="137" w:right="56"/>
      </w:pPr>
    </w:p>
    <w:p w14:paraId="76E6DC93" w14:textId="3D85AB0F" w:rsidR="008F5DB6" w:rsidRDefault="008F5DB6" w:rsidP="008F5DB6">
      <w:pPr>
        <w:spacing w:after="65" w:line="259" w:lineRule="auto"/>
        <w:ind w:left="142"/>
      </w:pPr>
      <w:r>
        <w:rPr>
          <w:b/>
          <w:u w:val="single" w:color="000000"/>
        </w:rPr>
        <w:lastRenderedPageBreak/>
        <w:t>Výzkumné otázky:</w:t>
      </w:r>
      <w:r>
        <w:rPr>
          <w:b/>
        </w:rPr>
        <w:t xml:space="preserve">  </w:t>
      </w:r>
    </w:p>
    <w:p w14:paraId="11A8E020" w14:textId="77777777" w:rsidR="008F5DB6" w:rsidRDefault="008F5DB6" w:rsidP="008F5DB6">
      <w:pPr>
        <w:spacing w:after="178"/>
        <w:ind w:left="137" w:right="56"/>
      </w:pPr>
      <w:r>
        <w:t xml:space="preserve">Revize, výsledky (analytické výstupy), příp. doporučení změn přinesou odpovědi na otázky: </w:t>
      </w:r>
    </w:p>
    <w:p w14:paraId="16AAF4AF" w14:textId="77777777" w:rsidR="008F5DB6" w:rsidRDefault="008F5DB6" w:rsidP="008F5DB6">
      <w:pPr>
        <w:numPr>
          <w:ilvl w:val="0"/>
          <w:numId w:val="48"/>
        </w:numPr>
        <w:spacing w:after="126" w:line="319" w:lineRule="auto"/>
        <w:ind w:right="58" w:hanging="360"/>
        <w:jc w:val="both"/>
      </w:pPr>
      <w:r>
        <w:t xml:space="preserve">Je v důsledku dynamického rozvoje a pokroků v lékařské vědě, zejména výskytu nových nemocí, důsledků celosvětové pandemie COVID-19, nárůstu počtu osob vyhledávajících psychiatrickou péči, při </w:t>
      </w:r>
      <w:r>
        <w:rPr>
          <w:b/>
        </w:rPr>
        <w:t xml:space="preserve">současném srovnání </w:t>
      </w:r>
      <w:r>
        <w:t xml:space="preserve">s vybraným zahraničním (německým) systémem, </w:t>
      </w:r>
      <w:r>
        <w:rPr>
          <w:b/>
        </w:rPr>
        <w:t>vhodné, žádoucí</w:t>
      </w:r>
      <w:r>
        <w:t xml:space="preserve"> nebo dokonce </w:t>
      </w:r>
      <w:r>
        <w:rPr>
          <w:b/>
        </w:rPr>
        <w:t>nezbytné</w:t>
      </w:r>
      <w:r>
        <w:t xml:space="preserve"> </w:t>
      </w:r>
      <w:r>
        <w:rPr>
          <w:b/>
        </w:rPr>
        <w:t>provádět nějaké (jakékoli) změny v současné právní úpravě</w:t>
      </w:r>
      <w:r>
        <w:t xml:space="preserve"> při hodnocení funkčních schopností a disability lidí s duševním onemocněním v rámci posuzování stupně závislosti u příspěvku na péči?  </w:t>
      </w:r>
    </w:p>
    <w:p w14:paraId="377994DF" w14:textId="77777777" w:rsidR="008F5DB6" w:rsidRDefault="008F5DB6" w:rsidP="008F5DB6">
      <w:pPr>
        <w:spacing w:after="181"/>
        <w:ind w:left="512" w:right="56"/>
      </w:pPr>
      <w:r>
        <w:t xml:space="preserve">Pokud bude odpověď na výzkumnou otázku č. 1) kladná, pak: </w:t>
      </w:r>
    </w:p>
    <w:p w14:paraId="4E510ACC" w14:textId="77777777" w:rsidR="008F5DB6" w:rsidRDefault="008F5DB6" w:rsidP="008F5DB6">
      <w:pPr>
        <w:numPr>
          <w:ilvl w:val="0"/>
          <w:numId w:val="48"/>
        </w:numPr>
        <w:spacing w:after="0" w:line="319" w:lineRule="auto"/>
        <w:ind w:right="58" w:hanging="360"/>
        <w:jc w:val="both"/>
      </w:pPr>
      <w:r>
        <w:t xml:space="preserve">Jaká je </w:t>
      </w:r>
      <w:r>
        <w:rPr>
          <w:b/>
        </w:rPr>
        <w:t>vhodná, možná a proveditelná změna kritérií</w:t>
      </w:r>
      <w:r>
        <w:t xml:space="preserve"> pro hodnocení funkčních schopností  a disability lidí s duševním onemocněním a poruchami chování v rámci posuzování příspěvku na péči při současném zhodnocení míry využitelnosti, případně přenositelnosti celého německého systému nebo jeho modulových částí ve vztahu k posuzování zdravotního stavu u příspěvku na péči (tzn. pro případnou celkovou možnost revize a změny kritérií při posuzování zdravotního stavu ve vztahu také k ostatním typům onemocnění)?  </w:t>
      </w:r>
    </w:p>
    <w:p w14:paraId="16182182" w14:textId="56E86692" w:rsidR="008F5DB6" w:rsidRDefault="008F5DB6" w:rsidP="008F5DB6">
      <w:pPr>
        <w:numPr>
          <w:ilvl w:val="0"/>
          <w:numId w:val="48"/>
        </w:numPr>
        <w:spacing w:after="9" w:line="319" w:lineRule="auto"/>
        <w:ind w:right="58" w:hanging="360"/>
        <w:jc w:val="both"/>
      </w:pPr>
      <w:r>
        <w:t xml:space="preserve">Jakým nejvhodnějším konkrétním způsobem by bylo možné postupy vycházející z německého modelu využít, příp. přenést a aplikovat ve vztahu k zefektivnění posuzování zdravotního stavu osob s duševním onemocněním při posuzování příspěvku na péči včetně pohledu vhodnosti, příp. přenositelnost jednotlivých modulů ve vztahu také k ostatním typům onemocnění? </w:t>
      </w:r>
    </w:p>
    <w:p w14:paraId="36CA3332" w14:textId="3C03A161" w:rsidR="008F5DB6" w:rsidRDefault="008F5DB6" w:rsidP="008F5DB6">
      <w:pPr>
        <w:numPr>
          <w:ilvl w:val="0"/>
          <w:numId w:val="48"/>
        </w:numPr>
        <w:spacing w:after="8" w:line="319" w:lineRule="auto"/>
        <w:ind w:right="58" w:hanging="360"/>
        <w:jc w:val="both"/>
      </w:pPr>
      <w:r>
        <w:t xml:space="preserve">Jeví se jako možné </w:t>
      </w:r>
      <w:r>
        <w:rPr>
          <w:b/>
        </w:rPr>
        <w:t>využití odborných nelékařských zdravotnických pracovníků</w:t>
      </w:r>
      <w:r>
        <w:t xml:space="preserve"> (při přenesení německého systému a jeho kritérií, příp. dílčích modulů) namísto posudkových lékařů? </w:t>
      </w:r>
    </w:p>
    <w:p w14:paraId="061ADD22" w14:textId="77777777" w:rsidR="008F5DB6" w:rsidRDefault="008F5DB6" w:rsidP="008F5DB6">
      <w:pPr>
        <w:numPr>
          <w:ilvl w:val="0"/>
          <w:numId w:val="48"/>
        </w:numPr>
        <w:spacing w:after="8" w:line="319" w:lineRule="auto"/>
        <w:ind w:right="58" w:hanging="360"/>
        <w:jc w:val="both"/>
      </w:pPr>
      <w:r>
        <w:t xml:space="preserve">Jeví se jako možné využití německého systému z pohledu </w:t>
      </w:r>
      <w:r>
        <w:rPr>
          <w:b/>
        </w:rPr>
        <w:t>prováděného posudkového zhodnocení přímo v místě bydliště</w:t>
      </w:r>
      <w:r>
        <w:t xml:space="preserve"> (domácnosti) </w:t>
      </w:r>
      <w:r>
        <w:rPr>
          <w:b/>
        </w:rPr>
        <w:t>nelékařským zdravotnickým pracovníkem</w:t>
      </w:r>
      <w:r>
        <w:t xml:space="preserve"> (včetně zavedené elektronické formy) namísto provádění sociálního šetření sociálním pracovníkem v rámci stávající české právní úpravy (včetně otázky vhodnosti využití „mini“ týmu složeného ze sociálního pracovníka a odborného nelékařského zdravotnického pracovníka)? </w:t>
      </w:r>
    </w:p>
    <w:p w14:paraId="4FA21E45" w14:textId="77777777" w:rsidR="008F5DB6" w:rsidRDefault="008F5DB6" w:rsidP="008F5DB6">
      <w:pPr>
        <w:numPr>
          <w:ilvl w:val="0"/>
          <w:numId w:val="48"/>
        </w:numPr>
        <w:spacing w:after="8" w:line="319" w:lineRule="auto"/>
        <w:ind w:right="58" w:hanging="360"/>
        <w:jc w:val="both"/>
      </w:pPr>
      <w:r>
        <w:t xml:space="preserve">Z jaké </w:t>
      </w:r>
      <w:r>
        <w:rPr>
          <w:b/>
        </w:rPr>
        <w:t>podkladové dokumentace</w:t>
      </w:r>
      <w:r>
        <w:t xml:space="preserve"> by mohl a měl vycházet v případě posuzování stupně závislosti odborný nelékařský zdravotnický pracovník (za předpokladu, že by se tato agenda zcela odebrala posudkovým lékařům)? </w:t>
      </w:r>
    </w:p>
    <w:p w14:paraId="19700A65" w14:textId="77777777" w:rsidR="008F5DB6" w:rsidRDefault="008F5DB6" w:rsidP="008F5DB6">
      <w:pPr>
        <w:numPr>
          <w:ilvl w:val="0"/>
          <w:numId w:val="48"/>
        </w:numPr>
        <w:spacing w:after="84" w:line="330" w:lineRule="auto"/>
        <w:ind w:right="58" w:hanging="360"/>
        <w:jc w:val="both"/>
      </w:pPr>
      <w:r>
        <w:t xml:space="preserve">Jakým způsobem lze </w:t>
      </w:r>
      <w:r>
        <w:rPr>
          <w:b/>
        </w:rPr>
        <w:t>optimalizovat čekací dobu</w:t>
      </w:r>
      <w:r>
        <w:t xml:space="preserve"> na přiznání příspěvku na péči v kontextu nastavení německého systému? </w:t>
      </w:r>
    </w:p>
    <w:p w14:paraId="7A4B898C" w14:textId="77777777" w:rsidR="008F5DB6" w:rsidRDefault="008F5DB6" w:rsidP="008F5DB6">
      <w:pPr>
        <w:spacing w:after="188" w:line="259" w:lineRule="auto"/>
        <w:ind w:left="502"/>
      </w:pPr>
      <w:r>
        <w:rPr>
          <w:b/>
        </w:rPr>
        <w:t xml:space="preserve"> </w:t>
      </w:r>
    </w:p>
    <w:p w14:paraId="3EE8BD4A" w14:textId="77777777" w:rsidR="008F5DB6" w:rsidRDefault="008F5DB6" w:rsidP="008F5DB6">
      <w:pPr>
        <w:spacing w:after="182" w:line="259" w:lineRule="auto"/>
        <w:ind w:left="512"/>
      </w:pPr>
      <w:r>
        <w:rPr>
          <w:b/>
          <w:u w:val="single" w:color="000000"/>
        </w:rPr>
        <w:t>Dílčí výzkumné otázky:</w:t>
      </w:r>
      <w:r>
        <w:rPr>
          <w:b/>
        </w:rPr>
        <w:t xml:space="preserve">  </w:t>
      </w:r>
    </w:p>
    <w:p w14:paraId="01B29C6C" w14:textId="77777777" w:rsidR="008F5DB6" w:rsidRDefault="008F5DB6" w:rsidP="008F5DB6">
      <w:pPr>
        <w:numPr>
          <w:ilvl w:val="0"/>
          <w:numId w:val="48"/>
        </w:numPr>
        <w:spacing w:after="5" w:line="331" w:lineRule="auto"/>
        <w:ind w:right="58" w:hanging="360"/>
        <w:jc w:val="both"/>
      </w:pPr>
      <w:r>
        <w:t xml:space="preserve">Jaká je možná využitelnost plánovaného zavedení </w:t>
      </w:r>
      <w:r>
        <w:rPr>
          <w:b/>
        </w:rPr>
        <w:t>MKN-11</w:t>
      </w:r>
      <w:r>
        <w:t xml:space="preserve"> při hodnocení funkčních schopností a disability lidí s duševním onemocněním pro posouzení stupně závislosti? </w:t>
      </w:r>
    </w:p>
    <w:p w14:paraId="3C279B39" w14:textId="77777777" w:rsidR="008F5DB6" w:rsidRDefault="008F5DB6" w:rsidP="008F5DB6">
      <w:pPr>
        <w:numPr>
          <w:ilvl w:val="0"/>
          <w:numId w:val="48"/>
        </w:numPr>
        <w:spacing w:after="6" w:line="319" w:lineRule="auto"/>
        <w:ind w:right="58" w:hanging="360"/>
        <w:jc w:val="both"/>
      </w:pPr>
      <w:r>
        <w:t xml:space="preserve">Jeví se jako vhodné pro hodnocení funkčních schopností a disability lidí s duševním onemocněním u příspěvku na péči </w:t>
      </w:r>
      <w:r>
        <w:rPr>
          <w:b/>
        </w:rPr>
        <w:t>zavedení standardizovaných škál</w:t>
      </w:r>
      <w:r>
        <w:t xml:space="preserve">? Pokud ano, jaká konkrétní škála by měla být využívána s ohledem na využitelnost k hodnocení základních životních potřeb?  </w:t>
      </w:r>
    </w:p>
    <w:p w14:paraId="58300C8A" w14:textId="77777777" w:rsidR="008F5DB6" w:rsidRDefault="008F5DB6" w:rsidP="008F5DB6"/>
    <w:p w14:paraId="11E1FAE7" w14:textId="77777777" w:rsidR="008F5DB6" w:rsidRDefault="008F5DB6" w:rsidP="008F5DB6">
      <w:pPr>
        <w:pStyle w:val="Nadpis2"/>
        <w:spacing w:after="33" w:line="259" w:lineRule="auto"/>
        <w:ind w:left="137"/>
      </w:pPr>
      <w:r w:rsidRPr="006B2080">
        <w:rPr>
          <w:color w:val="4F81BD"/>
        </w:rPr>
        <w:lastRenderedPageBreak/>
        <w:t>3. Indikativní harmonogram plnění</w:t>
      </w:r>
      <w:r>
        <w:rPr>
          <w:color w:val="4F81BD"/>
        </w:rPr>
        <w:t xml:space="preserve"> </w:t>
      </w:r>
    </w:p>
    <w:p w14:paraId="25631981" w14:textId="77777777" w:rsidR="008F5DB6" w:rsidRDefault="008F5DB6" w:rsidP="00731147">
      <w:pPr>
        <w:spacing w:after="0" w:line="280" w:lineRule="atLeast"/>
        <w:ind w:left="142"/>
      </w:pPr>
      <w:r>
        <w:t xml:space="preserve"> </w:t>
      </w:r>
    </w:p>
    <w:p w14:paraId="2C0BCDCD" w14:textId="77777777" w:rsidR="00731147" w:rsidRPr="00731147" w:rsidRDefault="00731147" w:rsidP="00731147">
      <w:pPr>
        <w:spacing w:after="0" w:line="280" w:lineRule="atLeast"/>
        <w:ind w:left="142"/>
        <w:rPr>
          <w:rFonts w:cs="Arial"/>
          <w:szCs w:val="20"/>
        </w:rPr>
      </w:pPr>
      <w:r w:rsidRPr="00731147">
        <w:rPr>
          <w:rFonts w:cs="Arial"/>
          <w:b/>
          <w:i/>
          <w:color w:val="4E5B6F"/>
          <w:szCs w:val="20"/>
        </w:rPr>
        <w:t xml:space="preserve">Požadované výstupy a termíny jejich dodání </w:t>
      </w:r>
    </w:p>
    <w:tbl>
      <w:tblPr>
        <w:tblStyle w:val="TableGrid"/>
        <w:tblW w:w="9357" w:type="dxa"/>
        <w:tblInd w:w="-29" w:type="dxa"/>
        <w:tblCellMar>
          <w:top w:w="1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216"/>
        <w:gridCol w:w="1798"/>
        <w:gridCol w:w="5343"/>
      </w:tblGrid>
      <w:tr w:rsidR="00731147" w:rsidRPr="00731147" w14:paraId="4F8027FF" w14:textId="77777777" w:rsidTr="00EF3504">
        <w:trPr>
          <w:trHeight w:val="71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E306D1" w14:textId="77777777" w:rsidR="00731147" w:rsidRPr="00731147" w:rsidRDefault="00731147" w:rsidP="00731147">
            <w:pPr>
              <w:spacing w:after="0"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b/>
                <w:sz w:val="20"/>
                <w:szCs w:val="20"/>
              </w:rPr>
              <w:t xml:space="preserve">Požadované výstupy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57F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b/>
                <w:sz w:val="20"/>
                <w:szCs w:val="20"/>
              </w:rPr>
              <w:t xml:space="preserve">Termíny pro předložení návrhů* 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1AD3F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b/>
                <w:sz w:val="20"/>
                <w:szCs w:val="20"/>
              </w:rPr>
              <w:t xml:space="preserve">Popis výstupu </w:t>
            </w:r>
          </w:p>
        </w:tc>
      </w:tr>
      <w:tr w:rsidR="00731147" w:rsidRPr="00731147" w14:paraId="1A42DD0E" w14:textId="77777777" w:rsidTr="00EF3504">
        <w:trPr>
          <w:trHeight w:val="2780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8B40E0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Úvodní pracovní schůzka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7FAF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Do 5 </w:t>
            </w:r>
          </w:p>
          <w:p w14:paraId="65E319CA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kalendářních dnů </w:t>
            </w:r>
          </w:p>
          <w:p w14:paraId="54615A96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35DCFE2A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Smlouvy. </w:t>
            </w:r>
          </w:p>
          <w:p w14:paraId="7A0F6AA5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3088" w14:textId="77777777" w:rsidR="00731147" w:rsidRPr="00731147" w:rsidRDefault="00731147" w:rsidP="00731147">
            <w:pPr>
              <w:spacing w:after="0" w:line="280" w:lineRule="atLeast"/>
              <w:ind w:left="2" w:right="59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Úvodní pracovní schůzka Objednatele se Zpracovatelem ke specifikaci následujících výstupů, především ke způsobu zpracování vstupní zprávy v návaznosti na podobu nabídky podané dodavatelem. </w:t>
            </w:r>
          </w:p>
          <w:p w14:paraId="5D019D28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  <w:p w14:paraId="21F6F9E0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Budou představena očekávání Objednatele a diskutovány všechny předpokládané náležitosti vstupní zprávy. </w:t>
            </w:r>
          </w:p>
          <w:p w14:paraId="1ADCC0E6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  <w:p w14:paraId="21E0E5B6" w14:textId="77777777" w:rsidR="00731147" w:rsidRPr="00731147" w:rsidRDefault="00731147" w:rsidP="00731147">
            <w:pPr>
              <w:spacing w:after="0" w:line="280" w:lineRule="atLeast"/>
              <w:ind w:left="2" w:right="60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Bude dohodnuto předání potřebné dokumentace a způsob komunikace také mimo rámec schvalování jednotlivých zpráv.  </w:t>
            </w:r>
          </w:p>
          <w:p w14:paraId="4BD94CC3" w14:textId="77777777" w:rsidR="00731147" w:rsidRPr="00731147" w:rsidRDefault="00731147" w:rsidP="00731147">
            <w:pPr>
              <w:spacing w:after="0" w:line="280" w:lineRule="atLeast"/>
              <w:ind w:left="2" w:right="60"/>
              <w:jc w:val="both"/>
              <w:rPr>
                <w:rFonts w:cs="Arial"/>
                <w:sz w:val="20"/>
                <w:szCs w:val="20"/>
              </w:rPr>
            </w:pPr>
          </w:p>
          <w:p w14:paraId="6A629FEA" w14:textId="77777777" w:rsidR="00731147" w:rsidRPr="00731147" w:rsidRDefault="00731147" w:rsidP="00731147">
            <w:pPr>
              <w:spacing w:after="0" w:line="280" w:lineRule="atLeast"/>
              <w:ind w:left="2" w:right="112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Před schůzkou budou Zpracovateli zaslány podklady, Zpracovatel vyhotoví ze schůzky zápis. Rozsah schůzky bude dle potřeby 60–180 minut, schůzka bude realizována dle situace buďto osobně na pracovišti Objednatele </w:t>
            </w:r>
          </w:p>
          <w:p w14:paraId="649DD45C" w14:textId="77777777" w:rsidR="00731147" w:rsidRPr="00731147" w:rsidRDefault="00731147" w:rsidP="00731147">
            <w:pPr>
              <w:spacing w:after="0" w:line="280" w:lineRule="atLeast"/>
              <w:ind w:left="2" w:right="60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>(Podskalská 19, Praha 2), či prostřednictvím online platformy. Ze strany Zpracovatele se zúčastní minimálně 2 zástupci.</w:t>
            </w:r>
          </w:p>
          <w:p w14:paraId="15E8AD09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12273110" w14:textId="77777777" w:rsidR="00731147" w:rsidRPr="00731147" w:rsidRDefault="00731147" w:rsidP="00731147">
      <w:pPr>
        <w:spacing w:after="0" w:line="280" w:lineRule="atLeast"/>
        <w:ind w:left="-1560" w:right="10528"/>
        <w:rPr>
          <w:rFonts w:cs="Arial"/>
          <w:szCs w:val="20"/>
        </w:rPr>
      </w:pPr>
    </w:p>
    <w:tbl>
      <w:tblPr>
        <w:tblStyle w:val="TableGrid"/>
        <w:tblW w:w="9357" w:type="dxa"/>
        <w:tblInd w:w="-29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2216"/>
        <w:gridCol w:w="1798"/>
        <w:gridCol w:w="5343"/>
      </w:tblGrid>
      <w:tr w:rsidR="00731147" w:rsidRPr="00731147" w14:paraId="205298BE" w14:textId="77777777" w:rsidTr="00EF3504">
        <w:trPr>
          <w:trHeight w:val="2912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91F787" w14:textId="77777777" w:rsidR="00731147" w:rsidRPr="00731147" w:rsidRDefault="00731147" w:rsidP="00731147">
            <w:pPr>
              <w:spacing w:after="0" w:line="280" w:lineRule="atLeast"/>
              <w:ind w:right="56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Vstupní zpráva – návrh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98CF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Do 20 </w:t>
            </w:r>
          </w:p>
          <w:p w14:paraId="79E021D3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kalendářních dnů </w:t>
            </w:r>
          </w:p>
          <w:p w14:paraId="267E99C2" w14:textId="77777777" w:rsidR="00731147" w:rsidRPr="00731147" w:rsidRDefault="00731147" w:rsidP="00731147">
            <w:pPr>
              <w:spacing w:after="0" w:line="280" w:lineRule="atLeast"/>
              <w:ind w:right="30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od nabytí účinnosti Smlouvy.  </w:t>
            </w:r>
          </w:p>
          <w:p w14:paraId="61DD75ED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01E5C2" w14:textId="77777777" w:rsidR="00731147" w:rsidRPr="00731147" w:rsidRDefault="00731147" w:rsidP="00731147">
            <w:pPr>
              <w:spacing w:after="0" w:line="280" w:lineRule="atLeast"/>
              <w:ind w:left="2" w:right="109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V rámci zpracování vstupní zprávy Zpracovatel, dopracuje strategii zpracování analýzy (konkretizuje a dopracuje znění předložené nabídky), popíše zdroje využitelných sekundárních, potažmo primárních dat a strategii jejich získání, nastaví harmonogram realizace analýzy v souladu s termíny pro veřejnou zakázku a identifikuje potenciální omezení a rizika realizace analýzy. </w:t>
            </w:r>
          </w:p>
          <w:p w14:paraId="4BD80317" w14:textId="77777777" w:rsidR="00731147" w:rsidRPr="00731147" w:rsidRDefault="00731147" w:rsidP="00731147">
            <w:pPr>
              <w:spacing w:after="0" w:line="280" w:lineRule="atLeast"/>
              <w:ind w:left="2" w:right="113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Návrh vstupní zprávy bude představovat ze strany Zpracovatele kompletní verzi se všemi požadovanými náležitostmi, nebude se jednat o pouhý draft, ale o verzi připravenou ke konkrétním připomínkám. </w:t>
            </w:r>
          </w:p>
          <w:p w14:paraId="38FB6B5D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31147" w:rsidRPr="00731147" w14:paraId="2F745604" w14:textId="77777777" w:rsidTr="00EF3504">
        <w:trPr>
          <w:trHeight w:val="1860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BA6F37" w14:textId="77777777" w:rsidR="00731147" w:rsidRPr="00731147" w:rsidRDefault="00731147" w:rsidP="00731147">
            <w:pPr>
              <w:spacing w:after="0" w:line="280" w:lineRule="atLeast"/>
              <w:ind w:right="24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Vstupní zpráva – finální verze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961AD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Do 5 </w:t>
            </w:r>
          </w:p>
          <w:p w14:paraId="4C351BBD" w14:textId="77777777" w:rsidR="00731147" w:rsidRPr="00731147" w:rsidRDefault="00731147" w:rsidP="00731147">
            <w:pPr>
              <w:spacing w:after="0" w:line="280" w:lineRule="atLeast"/>
              <w:ind w:right="16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kalendářních dnů od obdržení připomínek Objednatele k návrhu vstupní zprávy. </w:t>
            </w:r>
          </w:p>
          <w:p w14:paraId="2C75FF19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28F7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Zpracovatel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předloží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vstupní zprávu se zapracovanými připomínkami Objednatele k jejímu návrhu.  </w:t>
            </w:r>
          </w:p>
          <w:p w14:paraId="2AD85F21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  <w:p w14:paraId="49C62ED5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  <w:p w14:paraId="52FF83E9" w14:textId="77777777" w:rsidR="00731147" w:rsidRPr="00731147" w:rsidRDefault="00731147" w:rsidP="00731147">
            <w:pPr>
              <w:spacing w:after="0" w:line="280" w:lineRule="atLeast"/>
              <w:ind w:left="2" w:right="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Spolu s finální verzí průběžné zprávy Zpracovatel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předloží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fakturu na první dílčí platbu. </w:t>
            </w:r>
          </w:p>
        </w:tc>
      </w:tr>
      <w:tr w:rsidR="00731147" w:rsidRPr="00731147" w14:paraId="6B290041" w14:textId="77777777" w:rsidTr="00EF3504">
        <w:trPr>
          <w:trHeight w:val="4640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149F29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lastRenderedPageBreak/>
              <w:t xml:space="preserve">Průběžná zpráva – návrh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BB37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Do 80 </w:t>
            </w:r>
          </w:p>
          <w:p w14:paraId="715D0638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kalendářních dnů </w:t>
            </w:r>
          </w:p>
          <w:p w14:paraId="18C47900" w14:textId="77777777" w:rsidR="00731147" w:rsidRPr="00731147" w:rsidRDefault="00731147" w:rsidP="00731147">
            <w:pPr>
              <w:spacing w:after="0" w:line="280" w:lineRule="atLeast"/>
              <w:ind w:right="28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4462A2C8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Smlouvy. </w:t>
            </w:r>
          </w:p>
          <w:p w14:paraId="170BABD3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B76F9" w14:textId="77777777" w:rsidR="00731147" w:rsidRPr="00731147" w:rsidRDefault="00731147" w:rsidP="00731147">
            <w:pPr>
              <w:spacing w:after="0" w:line="280" w:lineRule="atLeast"/>
              <w:ind w:left="2" w:right="111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>Obsahem průběžné zprávy</w:t>
            </w:r>
            <w:r w:rsidRPr="0073114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31147">
              <w:rPr>
                <w:rFonts w:cs="Arial"/>
                <w:sz w:val="20"/>
                <w:szCs w:val="20"/>
              </w:rPr>
              <w:t xml:space="preserve">bude operacionalizace, která napomůže k zodpovězení hlavní i dílčích výzkumných otázek. V případě, kdy nebude z objektivních důvodů možné některou z výzkumných otázek zodpovědět, bude uveden podrobný popis důvodu, spolu s definováním překážek, které neumožnily zodpovědět danou výzkumnou otázku. Zpráva bude také obsahovat zdůvodnění případných úprav v nastavení strategie realizace analýzy a aktualizace analýzy hlavních omezení a rizik.  </w:t>
            </w:r>
          </w:p>
          <w:p w14:paraId="59A00692" w14:textId="77777777" w:rsidR="00731147" w:rsidRPr="00731147" w:rsidRDefault="00731147" w:rsidP="00731147">
            <w:pPr>
              <w:spacing w:after="0" w:line="280" w:lineRule="atLeast"/>
              <w:ind w:left="2" w:right="113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V případě, že budou Zpracovatelem identifikovány jako stěžejní i další aspekty realizované analýzy, které nejsou přímo uvedeny v rámci Specifikace předmětu plnění, může Zpracovatel tyto aspekty do průběžné zprávy zahrnout. Návrh průběžné zprávy bude představovat ze strany Zpracovatele kompletní verzi se všemi požadovanými náležitostmi, nebude se jednat o pouhý draft, ale o verzi připravenou ke konkrétním připomínkám. </w:t>
            </w:r>
          </w:p>
        </w:tc>
      </w:tr>
      <w:tr w:rsidR="00731147" w:rsidRPr="00731147" w14:paraId="37797526" w14:textId="77777777" w:rsidTr="00EF3504">
        <w:trPr>
          <w:trHeight w:val="1529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FBA910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Aktualizační pracovní schůzka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9092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>Do 8</w:t>
            </w:r>
          </w:p>
          <w:p w14:paraId="66640EFF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kalendářních dnů od předložení návrhu průběžné zprávy.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0444D" w14:textId="77777777" w:rsidR="00731147" w:rsidRPr="00731147" w:rsidRDefault="00731147" w:rsidP="00731147">
            <w:pPr>
              <w:spacing w:after="0" w:line="280" w:lineRule="atLeast"/>
              <w:ind w:left="2" w:right="108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Aktualizační pracovní schůzka Objednatele se Zpracovatelem k předloženému návrhu průběžné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zprávy  a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předpokládanému dalšímu průběhu realizace.  </w:t>
            </w:r>
          </w:p>
          <w:p w14:paraId="4A68F485" w14:textId="77777777" w:rsidR="00731147" w:rsidRPr="00731147" w:rsidRDefault="00731147" w:rsidP="00731147">
            <w:pPr>
              <w:spacing w:after="0" w:line="280" w:lineRule="atLeast"/>
              <w:ind w:left="2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Bude vyhodnocen dosavadní postup na realizaci </w:t>
            </w:r>
            <w:r w:rsidRPr="00731147">
              <w:rPr>
                <w:rFonts w:cs="Arial"/>
                <w:sz w:val="20"/>
                <w:szCs w:val="20"/>
              </w:rPr>
              <w:br/>
              <w:t xml:space="preserve">a diskutovány stávající výstupy a plánovaný další postup. </w:t>
            </w:r>
          </w:p>
        </w:tc>
      </w:tr>
      <w:tr w:rsidR="00731147" w:rsidRPr="00731147" w14:paraId="22202132" w14:textId="77777777" w:rsidTr="00EF3504">
        <w:trPr>
          <w:trHeight w:val="1301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8FFCAF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Průběžná zpráva – </w:t>
            </w:r>
          </w:p>
          <w:p w14:paraId="33DDA329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finální verze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C930B6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>Do 40</w:t>
            </w:r>
          </w:p>
          <w:p w14:paraId="395EA7A2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kalendářních dnů od obdržení připomínek Objednatele k návrhu průběžné zprávy.  </w:t>
            </w:r>
          </w:p>
          <w:p w14:paraId="7F51D2CE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12AB1" w14:textId="77777777" w:rsidR="00731147" w:rsidRPr="00731147" w:rsidRDefault="00731147" w:rsidP="00731147">
            <w:pPr>
              <w:spacing w:after="0" w:line="280" w:lineRule="atLeast"/>
              <w:ind w:left="2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Zpracovatel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předloží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průběžnou zprávu se zapracovanými připomínkami Objednatele k jejímu návrhu.  </w:t>
            </w:r>
          </w:p>
          <w:p w14:paraId="0A9F738A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Po schválení finální verze průběžné zprávy Objednatelem Zpracovatel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předloží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fakturu na druhou dílčí platbu. </w:t>
            </w:r>
          </w:p>
        </w:tc>
      </w:tr>
      <w:tr w:rsidR="00731147" w:rsidRPr="00731147" w14:paraId="2B677A7D" w14:textId="77777777" w:rsidTr="00EF3504">
        <w:trPr>
          <w:trHeight w:val="7979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A632A6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lastRenderedPageBreak/>
              <w:t xml:space="preserve">Závěrečná zpráva – návrh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1E456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6B2080">
              <w:rPr>
                <w:rFonts w:cs="Arial"/>
                <w:sz w:val="20"/>
                <w:szCs w:val="20"/>
              </w:rPr>
              <w:t>Do 280</w:t>
            </w:r>
            <w:r w:rsidRPr="00731147">
              <w:rPr>
                <w:rFonts w:cs="Arial"/>
                <w:sz w:val="20"/>
                <w:szCs w:val="20"/>
              </w:rPr>
              <w:t xml:space="preserve"> kalendářních dnů </w:t>
            </w:r>
          </w:p>
          <w:p w14:paraId="41D160C1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187997B8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Smlouvy.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E2BE3" w14:textId="77777777" w:rsidR="00731147" w:rsidRPr="00731147" w:rsidRDefault="00731147" w:rsidP="00731147">
            <w:pPr>
              <w:spacing w:after="0" w:line="280" w:lineRule="atLeast"/>
              <w:ind w:left="2" w:right="63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V rámci závěrečné zprávy Zpracovatel shrne specifikaci a zdůvodnění všech případných provedených úprav v nastavení strategie realizace analýzy, shrne výsledky analýzy, jejích výzkumných cílů. V případě, kdy nebude z objektivních důvodů možné některou z výzkumných otázek zodpovědět, bude uveden podrobný popis postupu, spolu s definováním překážek, které neumožnily zodpovědět danou výzkumnou otázku. Dále bude zpráva obsahovat vysvětlení realizované práce s daty,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popsána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k jakým výsledkům Zpracovatel prostřednictví dat dospěl, jaké poznatky a doporučení analýza přinesla. V případě, že budou Zpracovatelem identifikovány jako stěžejní i další aspekty realizované analýzy, které nejsou přímo uvedeny v rámci Specifikace předmětu plnění, může Zpracovatel tyto aspekty do závěrečné zprávy zahrnout. Zpráva bude obsahovat tyto části určené pro různé uživatele výstupů analýzy: </w:t>
            </w:r>
          </w:p>
          <w:p w14:paraId="19A6663B" w14:textId="77777777" w:rsidR="00731147" w:rsidRPr="00731147" w:rsidRDefault="00731147" w:rsidP="00731147">
            <w:pPr>
              <w:numPr>
                <w:ilvl w:val="0"/>
                <w:numId w:val="47"/>
              </w:numPr>
              <w:spacing w:after="0" w:line="280" w:lineRule="atLeast"/>
              <w:ind w:hanging="3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Manažerské shrnutí (max. 2 strany) </w:t>
            </w:r>
          </w:p>
          <w:p w14:paraId="1FAC92D8" w14:textId="77777777" w:rsidR="00731147" w:rsidRPr="00731147" w:rsidRDefault="00731147" w:rsidP="00731147">
            <w:pPr>
              <w:numPr>
                <w:ilvl w:val="0"/>
                <w:numId w:val="47"/>
              </w:numPr>
              <w:spacing w:after="0" w:line="280" w:lineRule="atLeast"/>
              <w:ind w:hanging="3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Základní informace o tématu a specifikace cílů analýzy </w:t>
            </w:r>
          </w:p>
          <w:p w14:paraId="3A8A1ECB" w14:textId="77777777" w:rsidR="00731147" w:rsidRPr="00731147" w:rsidRDefault="00731147" w:rsidP="00731147">
            <w:pPr>
              <w:numPr>
                <w:ilvl w:val="0"/>
                <w:numId w:val="47"/>
              </w:numPr>
              <w:spacing w:after="0" w:line="280" w:lineRule="atLeast"/>
              <w:ind w:hanging="3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Finální specifikace a zdůvodnění úprav v nastavení strategie realizace analýzy </w:t>
            </w:r>
          </w:p>
          <w:p w14:paraId="5FCC1FAB" w14:textId="77777777" w:rsidR="00731147" w:rsidRPr="00731147" w:rsidRDefault="00731147" w:rsidP="00731147">
            <w:pPr>
              <w:numPr>
                <w:ilvl w:val="0"/>
                <w:numId w:val="47"/>
              </w:numPr>
              <w:spacing w:after="0" w:line="280" w:lineRule="atLeast"/>
              <w:ind w:hanging="3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Popis využívaných primárních a sekundárních dat, vysvětlení realizované práce s daty při analýze </w:t>
            </w:r>
          </w:p>
          <w:p w14:paraId="34E7DFBA" w14:textId="77777777" w:rsidR="00731147" w:rsidRPr="00731147" w:rsidRDefault="00731147" w:rsidP="00731147">
            <w:pPr>
              <w:numPr>
                <w:ilvl w:val="0"/>
                <w:numId w:val="47"/>
              </w:numPr>
              <w:spacing w:after="0" w:line="280" w:lineRule="atLeast"/>
              <w:ind w:hanging="3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Vyhodnocení jednotlivých výzkumných cílů (zjištění, závěry a doporučení) </w:t>
            </w:r>
          </w:p>
          <w:p w14:paraId="3E7EBF08" w14:textId="77777777" w:rsidR="00731147" w:rsidRPr="00731147" w:rsidRDefault="00731147" w:rsidP="00731147">
            <w:pPr>
              <w:numPr>
                <w:ilvl w:val="0"/>
                <w:numId w:val="47"/>
              </w:numPr>
              <w:spacing w:after="0" w:line="280" w:lineRule="atLeast"/>
              <w:ind w:hanging="39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Samostatná technická příloha s detailním popisem postupu šetření, metodologií sběru a analýzy dat.  </w:t>
            </w:r>
          </w:p>
          <w:p w14:paraId="1F73754B" w14:textId="77777777" w:rsidR="00731147" w:rsidRPr="00731147" w:rsidRDefault="00731147" w:rsidP="00731147">
            <w:pPr>
              <w:spacing w:after="0" w:line="280" w:lineRule="atLeast"/>
              <w:ind w:left="2" w:right="66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Návrh závěrečné zprávy bude představovat ze strany Zpracovatele kompletní verzi se všemi požadovanými náležitostmi, nebude se jednat o pouhý draft, ale o verzi připravenou ke konkrétním připomínkám. </w:t>
            </w:r>
          </w:p>
        </w:tc>
      </w:tr>
      <w:tr w:rsidR="00731147" w:rsidRPr="00731147" w14:paraId="35A8D836" w14:textId="77777777" w:rsidTr="00EF3504">
        <w:trPr>
          <w:trHeight w:val="2571"/>
        </w:trPr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D2E8C0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Závěrečná zpráva – finální verze </w:t>
            </w:r>
          </w:p>
          <w:p w14:paraId="2537D156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  <w:p w14:paraId="6966A3EF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C03E8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6B2080">
              <w:rPr>
                <w:rFonts w:cs="Arial"/>
                <w:sz w:val="20"/>
                <w:szCs w:val="20"/>
              </w:rPr>
              <w:t>Do 340</w:t>
            </w:r>
            <w:r w:rsidRPr="00731147">
              <w:rPr>
                <w:rFonts w:cs="Arial"/>
                <w:sz w:val="20"/>
                <w:szCs w:val="20"/>
              </w:rPr>
              <w:t xml:space="preserve"> kalendářních dnů </w:t>
            </w:r>
          </w:p>
          <w:p w14:paraId="5F1EAD53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od nabytí účinnosti </w:t>
            </w:r>
          </w:p>
          <w:p w14:paraId="36EC4562" w14:textId="77777777" w:rsidR="00731147" w:rsidRPr="00731147" w:rsidRDefault="00731147" w:rsidP="00731147">
            <w:pPr>
              <w:spacing w:after="0" w:line="280" w:lineRule="atLeast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Smlouvy.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2EA096" w14:textId="77777777" w:rsidR="00731147" w:rsidRPr="00731147" w:rsidRDefault="00731147" w:rsidP="00731147">
            <w:pPr>
              <w:spacing w:after="0" w:line="280" w:lineRule="atLeast"/>
              <w:ind w:left="2" w:right="60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Zpracovatel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předloží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závěrečnou zprávu se zapracovanými připomínkami Objednatele k jejímu návrhu, včetně posudku oponenta.  </w:t>
            </w:r>
          </w:p>
          <w:p w14:paraId="14D3681F" w14:textId="77777777" w:rsidR="00731147" w:rsidRPr="00731147" w:rsidRDefault="00731147" w:rsidP="00731147">
            <w:pPr>
              <w:spacing w:after="0" w:line="280" w:lineRule="atLeast"/>
              <w:ind w:left="2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Po dohodě s Objednatelem Zpracovatel zajistí prezentaci </w:t>
            </w:r>
          </w:p>
          <w:p w14:paraId="0D4E27A2" w14:textId="77777777" w:rsidR="00731147" w:rsidRPr="00731147" w:rsidRDefault="00731147" w:rsidP="00731147">
            <w:pPr>
              <w:spacing w:after="0" w:line="280" w:lineRule="atLeast"/>
              <w:ind w:left="2" w:right="63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(workshop) závěrečné zprávy pro vybrané uživatele realizované analýzy. Zpracovatel poskytne Objednateli k využití prezentaci v elektronické podobě.  </w:t>
            </w:r>
          </w:p>
          <w:p w14:paraId="0A533870" w14:textId="77777777" w:rsidR="00731147" w:rsidRPr="00731147" w:rsidRDefault="00731147" w:rsidP="00731147">
            <w:pPr>
              <w:spacing w:after="0" w:line="280" w:lineRule="atLeast"/>
              <w:ind w:left="2"/>
              <w:jc w:val="both"/>
              <w:rPr>
                <w:rFonts w:cs="Arial"/>
                <w:sz w:val="20"/>
                <w:szCs w:val="20"/>
              </w:rPr>
            </w:pPr>
            <w:r w:rsidRPr="00731147">
              <w:rPr>
                <w:rFonts w:cs="Arial"/>
                <w:sz w:val="20"/>
                <w:szCs w:val="20"/>
              </w:rPr>
              <w:t xml:space="preserve">Po schválení finální verze závěrečné zprávy Objednatelem Zpracovatel </w:t>
            </w:r>
            <w:proofErr w:type="gramStart"/>
            <w:r w:rsidRPr="00731147">
              <w:rPr>
                <w:rFonts w:cs="Arial"/>
                <w:sz w:val="20"/>
                <w:szCs w:val="20"/>
              </w:rPr>
              <w:t>předloží</w:t>
            </w:r>
            <w:proofErr w:type="gramEnd"/>
            <w:r w:rsidRPr="00731147">
              <w:rPr>
                <w:rFonts w:cs="Arial"/>
                <w:sz w:val="20"/>
                <w:szCs w:val="20"/>
              </w:rPr>
              <w:t xml:space="preserve"> fakturu na třetí dílčí platbu. </w:t>
            </w:r>
          </w:p>
        </w:tc>
      </w:tr>
    </w:tbl>
    <w:p w14:paraId="297B59F3" w14:textId="77777777" w:rsidR="00731147" w:rsidRPr="00731147" w:rsidRDefault="00731147" w:rsidP="00731147">
      <w:pPr>
        <w:spacing w:after="0" w:line="280" w:lineRule="atLeast"/>
        <w:ind w:left="137" w:right="56"/>
        <w:rPr>
          <w:rFonts w:cs="Arial"/>
          <w:szCs w:val="20"/>
        </w:rPr>
      </w:pPr>
      <w:r w:rsidRPr="00731147">
        <w:rPr>
          <w:rFonts w:cs="Arial"/>
          <w:szCs w:val="20"/>
        </w:rPr>
        <w:t xml:space="preserve">* Termíny výstupů mohou být posunuty dle dohody Objednatele se Zpracovatelem v závislosti na potřebách Objednatele a dostupnosti dat. </w:t>
      </w:r>
    </w:p>
    <w:p w14:paraId="77ACD462" w14:textId="77777777" w:rsidR="00731147" w:rsidRPr="00731147" w:rsidRDefault="00731147" w:rsidP="00731147">
      <w:pPr>
        <w:ind w:left="137" w:right="56"/>
        <w:rPr>
          <w:rFonts w:cs="Arial"/>
          <w:szCs w:val="20"/>
        </w:rPr>
      </w:pPr>
    </w:p>
    <w:sectPr w:rsidR="00731147" w:rsidRPr="00731147" w:rsidSect="005F3175">
      <w:headerReference w:type="default" r:id="rId11"/>
      <w:pgSz w:w="11906" w:h="16838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0B02" w14:textId="77777777" w:rsidR="00D74503" w:rsidRDefault="00D74503">
      <w:r>
        <w:separator/>
      </w:r>
    </w:p>
  </w:endnote>
  <w:endnote w:type="continuationSeparator" w:id="0">
    <w:p w14:paraId="49354D03" w14:textId="77777777" w:rsidR="00D74503" w:rsidRDefault="00D74503">
      <w:r>
        <w:continuationSeparator/>
      </w:r>
    </w:p>
  </w:endnote>
  <w:endnote w:type="continuationNotice" w:id="1">
    <w:p w14:paraId="30EB4288" w14:textId="77777777" w:rsidR="00D74503" w:rsidRDefault="00D74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262C" w14:textId="77777777" w:rsidR="00D74503" w:rsidRDefault="00D74503">
      <w:r>
        <w:separator/>
      </w:r>
    </w:p>
  </w:footnote>
  <w:footnote w:type="continuationSeparator" w:id="0">
    <w:p w14:paraId="3961A109" w14:textId="77777777" w:rsidR="00D74503" w:rsidRDefault="00D74503">
      <w:r>
        <w:continuationSeparator/>
      </w:r>
    </w:p>
  </w:footnote>
  <w:footnote w:type="continuationNotice" w:id="1">
    <w:p w14:paraId="47B81D3A" w14:textId="77777777" w:rsidR="00D74503" w:rsidRDefault="00D74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5257ABB"/>
    <w:multiLevelType w:val="multilevel"/>
    <w:tmpl w:val="B21097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9A3B95"/>
    <w:multiLevelType w:val="hybridMultilevel"/>
    <w:tmpl w:val="0172F034"/>
    <w:lvl w:ilvl="0" w:tplc="AF76B42C">
      <w:start w:val="1"/>
      <w:numFmt w:val="decimal"/>
      <w:lvlText w:val="%1."/>
      <w:lvlJc w:val="left"/>
      <w:pPr>
        <w:ind w:left="1020" w:hanging="360"/>
      </w:pPr>
    </w:lvl>
    <w:lvl w:ilvl="1" w:tplc="933CF3B0">
      <w:start w:val="1"/>
      <w:numFmt w:val="decimal"/>
      <w:lvlText w:val="%2."/>
      <w:lvlJc w:val="left"/>
      <w:pPr>
        <w:ind w:left="1020" w:hanging="360"/>
      </w:pPr>
    </w:lvl>
    <w:lvl w:ilvl="2" w:tplc="626C3328">
      <w:start w:val="1"/>
      <w:numFmt w:val="decimal"/>
      <w:lvlText w:val="%3."/>
      <w:lvlJc w:val="left"/>
      <w:pPr>
        <w:ind w:left="1020" w:hanging="360"/>
      </w:pPr>
    </w:lvl>
    <w:lvl w:ilvl="3" w:tplc="1436BF3A">
      <w:start w:val="1"/>
      <w:numFmt w:val="decimal"/>
      <w:lvlText w:val="%4."/>
      <w:lvlJc w:val="left"/>
      <w:pPr>
        <w:ind w:left="1020" w:hanging="360"/>
      </w:pPr>
    </w:lvl>
    <w:lvl w:ilvl="4" w:tplc="B3F8DEE0">
      <w:start w:val="1"/>
      <w:numFmt w:val="decimal"/>
      <w:lvlText w:val="%5."/>
      <w:lvlJc w:val="left"/>
      <w:pPr>
        <w:ind w:left="1020" w:hanging="360"/>
      </w:pPr>
    </w:lvl>
    <w:lvl w:ilvl="5" w:tplc="D6565C30">
      <w:start w:val="1"/>
      <w:numFmt w:val="decimal"/>
      <w:lvlText w:val="%6."/>
      <w:lvlJc w:val="left"/>
      <w:pPr>
        <w:ind w:left="1020" w:hanging="360"/>
      </w:pPr>
    </w:lvl>
    <w:lvl w:ilvl="6" w:tplc="1BB8CAF6">
      <w:start w:val="1"/>
      <w:numFmt w:val="decimal"/>
      <w:lvlText w:val="%7."/>
      <w:lvlJc w:val="left"/>
      <w:pPr>
        <w:ind w:left="1020" w:hanging="360"/>
      </w:pPr>
    </w:lvl>
    <w:lvl w:ilvl="7" w:tplc="C1C2A0D2">
      <w:start w:val="1"/>
      <w:numFmt w:val="decimal"/>
      <w:lvlText w:val="%8."/>
      <w:lvlJc w:val="left"/>
      <w:pPr>
        <w:ind w:left="1020" w:hanging="360"/>
      </w:pPr>
    </w:lvl>
    <w:lvl w:ilvl="8" w:tplc="0302C67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14041"/>
    <w:multiLevelType w:val="hybridMultilevel"/>
    <w:tmpl w:val="76865366"/>
    <w:lvl w:ilvl="0" w:tplc="3BD0F0A4">
      <w:start w:val="7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F20D2"/>
    <w:multiLevelType w:val="hybridMultilevel"/>
    <w:tmpl w:val="C278FCAA"/>
    <w:lvl w:ilvl="0" w:tplc="D14009E2">
      <w:start w:val="1"/>
      <w:numFmt w:val="decimal"/>
      <w:lvlText w:val="%1.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00E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8857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C89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056E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E2DB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2CEF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60388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7E7A8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710C9"/>
    <w:multiLevelType w:val="hybridMultilevel"/>
    <w:tmpl w:val="24E60288"/>
    <w:lvl w:ilvl="0" w:tplc="5C84962C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3EC8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2B2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8EEF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6C7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E0A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AAF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2F0A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6E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3"/>
  </w:num>
  <w:num w:numId="2" w16cid:durableId="1161430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22"/>
  </w:num>
  <w:num w:numId="7" w16cid:durableId="1103186587">
    <w:abstractNumId w:val="10"/>
  </w:num>
  <w:num w:numId="8" w16cid:durableId="821000331">
    <w:abstractNumId w:val="1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4"/>
  </w:num>
  <w:num w:numId="11" w16cid:durableId="1277101984">
    <w:abstractNumId w:val="12"/>
  </w:num>
  <w:num w:numId="12" w16cid:durableId="801271120">
    <w:abstractNumId w:val="13"/>
  </w:num>
  <w:num w:numId="13" w16cid:durableId="744451370">
    <w:abstractNumId w:val="7"/>
  </w:num>
  <w:num w:numId="14" w16cid:durableId="1141578481">
    <w:abstractNumId w:val="13"/>
  </w:num>
  <w:num w:numId="15" w16cid:durableId="1139689782">
    <w:abstractNumId w:val="21"/>
  </w:num>
  <w:num w:numId="16" w16cid:durableId="1638990124">
    <w:abstractNumId w:val="5"/>
  </w:num>
  <w:num w:numId="17" w16cid:durableId="132530417">
    <w:abstractNumId w:val="13"/>
  </w:num>
  <w:num w:numId="18" w16cid:durableId="581305247">
    <w:abstractNumId w:val="13"/>
  </w:num>
  <w:num w:numId="19" w16cid:durableId="1375496292">
    <w:abstractNumId w:val="13"/>
  </w:num>
  <w:num w:numId="20" w16cid:durableId="541527511">
    <w:abstractNumId w:val="13"/>
  </w:num>
  <w:num w:numId="21" w16cid:durableId="156728568">
    <w:abstractNumId w:val="0"/>
  </w:num>
  <w:num w:numId="22" w16cid:durableId="1209033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7"/>
  </w:num>
  <w:num w:numId="24" w16cid:durableId="974797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8"/>
  </w:num>
  <w:num w:numId="26" w16cid:durableId="1857571417">
    <w:abstractNumId w:val="11"/>
  </w:num>
  <w:num w:numId="27" w16cid:durableId="1853372915">
    <w:abstractNumId w:val="13"/>
  </w:num>
  <w:num w:numId="28" w16cid:durableId="1142891915">
    <w:abstractNumId w:val="13"/>
  </w:num>
  <w:num w:numId="29" w16cid:durableId="1829898220">
    <w:abstractNumId w:val="13"/>
  </w:num>
  <w:num w:numId="30" w16cid:durableId="835418239">
    <w:abstractNumId w:val="13"/>
  </w:num>
  <w:num w:numId="31" w16cid:durableId="272131919">
    <w:abstractNumId w:val="13"/>
  </w:num>
  <w:num w:numId="32" w16cid:durableId="1507401128">
    <w:abstractNumId w:val="13"/>
  </w:num>
  <w:num w:numId="33" w16cid:durableId="2023314197">
    <w:abstractNumId w:val="13"/>
  </w:num>
  <w:num w:numId="34" w16cid:durableId="2071227847">
    <w:abstractNumId w:val="13"/>
  </w:num>
  <w:num w:numId="35" w16cid:durableId="786510200">
    <w:abstractNumId w:val="13"/>
  </w:num>
  <w:num w:numId="36" w16cid:durableId="770779652">
    <w:abstractNumId w:val="13"/>
  </w:num>
  <w:num w:numId="37" w16cid:durableId="5442977">
    <w:abstractNumId w:val="13"/>
  </w:num>
  <w:num w:numId="38" w16cid:durableId="364865556">
    <w:abstractNumId w:val="13"/>
  </w:num>
  <w:num w:numId="39" w16cid:durableId="946038457">
    <w:abstractNumId w:val="13"/>
  </w:num>
  <w:num w:numId="40" w16cid:durableId="1996108348">
    <w:abstractNumId w:val="1"/>
  </w:num>
  <w:num w:numId="41" w16cid:durableId="479004175">
    <w:abstractNumId w:val="13"/>
  </w:num>
  <w:num w:numId="42" w16cid:durableId="926351818">
    <w:abstractNumId w:val="4"/>
  </w:num>
  <w:num w:numId="43" w16cid:durableId="32273779">
    <w:abstractNumId w:val="9"/>
  </w:num>
  <w:num w:numId="44" w16cid:durableId="546574228">
    <w:abstractNumId w:val="23"/>
  </w:num>
  <w:num w:numId="45" w16cid:durableId="512034012">
    <w:abstractNumId w:val="13"/>
  </w:num>
  <w:num w:numId="46" w16cid:durableId="641084979">
    <w:abstractNumId w:val="13"/>
  </w:num>
  <w:num w:numId="47" w16cid:durableId="1094396113">
    <w:abstractNumId w:val="19"/>
  </w:num>
  <w:num w:numId="48" w16cid:durableId="1684817250">
    <w:abstractNumId w:val="20"/>
  </w:num>
  <w:num w:numId="49" w16cid:durableId="1467504022">
    <w:abstractNumId w:val="6"/>
  </w:num>
  <w:num w:numId="50" w16cid:durableId="46427628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0F5C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5EBA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4C1C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6C6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86108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62C"/>
    <w:rsid w:val="003028E8"/>
    <w:rsid w:val="00302FE7"/>
    <w:rsid w:val="00304B99"/>
    <w:rsid w:val="00304BC5"/>
    <w:rsid w:val="003056F9"/>
    <w:rsid w:val="003064A7"/>
    <w:rsid w:val="00306B46"/>
    <w:rsid w:val="00307317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086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05B6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080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147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56D3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475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673A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5DB6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3A9F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1AE1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0F4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33F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5F17"/>
    <w:rsid w:val="00C961F9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4503"/>
    <w:rsid w:val="00D751E5"/>
    <w:rsid w:val="00D768BB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550E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77506"/>
    <w:rsid w:val="00F80148"/>
    <w:rsid w:val="00F80972"/>
    <w:rsid w:val="00F81E87"/>
    <w:rsid w:val="00F824AC"/>
    <w:rsid w:val="00F82A16"/>
    <w:rsid w:val="00F83DBE"/>
    <w:rsid w:val="00F85219"/>
    <w:rsid w:val="00F85997"/>
    <w:rsid w:val="00F869F8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table" w:customStyle="1" w:styleId="TableGrid">
    <w:name w:val="TableGrid"/>
    <w:rsid w:val="008F5DB6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4095</Words>
  <Characters>25733</Characters>
  <Application>Microsoft Office Word</Application>
  <DocSecurity>4</DocSecurity>
  <Lines>214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29769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2025-02-27T06:38:00Z</dcterms:created>
  <dcterms:modified xsi:type="dcterms:W3CDTF">2025-02-27T06:38:00Z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