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3011BDC7" w:rsidR="00D024DD" w:rsidRDefault="00D024DD" w:rsidP="00D024DD">
      <w:r w:rsidRPr="004D4D93">
        <w:t xml:space="preserve">obchodní firma: </w:t>
      </w:r>
      <w:r>
        <w:tab/>
      </w:r>
      <w:r w:rsidR="00176C2E">
        <w:t>SNT Plus s.r.o.</w:t>
      </w:r>
    </w:p>
    <w:p w14:paraId="14B0F186" w14:textId="2488D974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176C2E">
        <w:t>Novodvorská 994/138, 142 00 Praha 4</w:t>
      </w:r>
    </w:p>
    <w:p w14:paraId="632E5CCC" w14:textId="310AFFD3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176C2E">
        <w:t>25701576</w:t>
      </w:r>
    </w:p>
    <w:p w14:paraId="04AAE404" w14:textId="0E04FC79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176C2E">
        <w:t>CZ25701576</w:t>
      </w:r>
    </w:p>
    <w:p w14:paraId="2AFA2221" w14:textId="705677FC" w:rsidR="00D024DD" w:rsidRPr="004D4D93" w:rsidRDefault="00D024DD" w:rsidP="00D024DD">
      <w:r w:rsidRPr="004D4D93">
        <w:t>jehož jménem jedná:</w:t>
      </w:r>
      <w:r w:rsidRPr="004D4D93">
        <w:tab/>
      </w:r>
      <w:r w:rsidR="00176C2E">
        <w:t xml:space="preserve">Ing. Ludvík </w:t>
      </w:r>
      <w:proofErr w:type="spellStart"/>
      <w:r w:rsidR="00176C2E">
        <w:t>Tót</w:t>
      </w:r>
      <w:proofErr w:type="spellEnd"/>
      <w:r w:rsidR="00176C2E">
        <w:t>, jednatel</w:t>
      </w:r>
    </w:p>
    <w:p w14:paraId="58FC1A10" w14:textId="7495A240" w:rsidR="00D024DD" w:rsidRDefault="00D024DD" w:rsidP="00D024DD">
      <w:r w:rsidRPr="004D4D93">
        <w:t>tel.:</w:t>
      </w:r>
      <w:r>
        <w:tab/>
      </w:r>
      <w:r>
        <w:tab/>
      </w:r>
      <w:r>
        <w:tab/>
      </w:r>
      <w:proofErr w:type="spellStart"/>
      <w:r w:rsidR="00297E58">
        <w:t>xxxxxxxxxxxxxx</w:t>
      </w:r>
      <w:proofErr w:type="spellEnd"/>
    </w:p>
    <w:p w14:paraId="5A80BBFE" w14:textId="76D59A27" w:rsidR="00D024DD" w:rsidRPr="004D4D93" w:rsidRDefault="00D024DD" w:rsidP="00D024DD">
      <w:r>
        <w:t>e-mail:</w:t>
      </w:r>
      <w:r w:rsidRPr="004D4D93">
        <w:tab/>
      </w:r>
      <w:r>
        <w:tab/>
      </w:r>
      <w:r>
        <w:tab/>
      </w:r>
      <w:proofErr w:type="spellStart"/>
      <w:r w:rsidR="00297E58">
        <w:t>xxxxxxxxxxxxxx</w:t>
      </w:r>
      <w:proofErr w:type="spellEnd"/>
    </w:p>
    <w:p w14:paraId="17B8D37F" w14:textId="1ED12748" w:rsidR="00D024DD" w:rsidRDefault="00D024DD" w:rsidP="00D024DD">
      <w:r w:rsidRPr="004D4D93">
        <w:t xml:space="preserve">bankovní spojení / číslo účtu: </w:t>
      </w:r>
      <w:r w:rsidR="00176C2E">
        <w:t>Raiffeisenbank a.s. / 112 110 3502/5500</w:t>
      </w:r>
    </w:p>
    <w:p w14:paraId="289668E8" w14:textId="372C6BF6" w:rsidR="00D024DD" w:rsidRPr="004D4D93" w:rsidRDefault="00D024DD" w:rsidP="00D024DD">
      <w:r w:rsidRPr="00C324D1">
        <w:t xml:space="preserve">zapsaná v obchodním rejstříku vedeném </w:t>
      </w:r>
      <w:r w:rsidR="00E04DCB" w:rsidRPr="00C324D1">
        <w:t>u</w:t>
      </w:r>
      <w:r w:rsidRPr="00C324D1">
        <w:t xml:space="preserve"> </w:t>
      </w:r>
      <w:r w:rsidR="00176C2E" w:rsidRPr="00200B03">
        <w:t>Městského soudu v Praze,</w:t>
      </w:r>
      <w:r w:rsidR="00176C2E" w:rsidRPr="00C324D1">
        <w:t xml:space="preserve"> </w:t>
      </w:r>
      <w:r w:rsidRPr="00C324D1">
        <w:t xml:space="preserve">oddíl </w:t>
      </w:r>
      <w:r w:rsidR="00176C2E" w:rsidRPr="00200B03">
        <w:t>C,</w:t>
      </w:r>
      <w:r w:rsidR="00176C2E" w:rsidRPr="00C324D1">
        <w:t xml:space="preserve"> </w:t>
      </w:r>
      <w:r w:rsidRPr="00C324D1">
        <w:t xml:space="preserve">vložka </w:t>
      </w:r>
      <w:r w:rsidR="00FE0586">
        <w:t>62478</w:t>
      </w:r>
    </w:p>
    <w:p w14:paraId="09AD840B" w14:textId="485C5B35" w:rsidR="00F46576" w:rsidRPr="004D4D93" w:rsidRDefault="00FD514F" w:rsidP="00D024DD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4C2328F5" w:rsidR="006464B4" w:rsidRDefault="00573F0E">
      <w:r w:rsidRPr="00E72AED">
        <w:t>jehož jménem jednají:</w:t>
      </w:r>
      <w:r w:rsidRPr="00E72AED">
        <w:tab/>
      </w:r>
      <w:r w:rsidR="00200B03">
        <w:t>JUDr. Vladimír Lichnovský</w:t>
      </w:r>
      <w:r w:rsidR="006464B4">
        <w:t>, předseda představenstva</w:t>
      </w:r>
    </w:p>
    <w:p w14:paraId="423D107C" w14:textId="139CFA08" w:rsidR="00573F0E" w:rsidRPr="00E72AED" w:rsidRDefault="006464B4">
      <w:r>
        <w:tab/>
      </w:r>
      <w:r>
        <w:tab/>
      </w:r>
      <w:r>
        <w:tab/>
      </w:r>
      <w:r w:rsidR="00200B03">
        <w:t>JUDr. Martin Budiš</w:t>
      </w:r>
      <w:r>
        <w:t xml:space="preserve">, místopředseda představenstva  </w:t>
      </w:r>
    </w:p>
    <w:p w14:paraId="3BAE33F2" w14:textId="216BEF9C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297E58">
        <w:t>xxxxxxxxxxxxx</w:t>
      </w:r>
      <w:proofErr w:type="spellEnd"/>
      <w:r w:rsidRPr="00E72AED">
        <w:tab/>
      </w:r>
      <w:r w:rsidRPr="00E72AED">
        <w:tab/>
      </w:r>
      <w:r w:rsidRPr="00E72AED">
        <w:tab/>
      </w:r>
    </w:p>
    <w:p w14:paraId="250BAF05" w14:textId="6007254B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297E58">
        <w:t>xxxxxxxxxxxxx</w:t>
      </w:r>
      <w:proofErr w:type="spellEnd"/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2FF75582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176C2E">
        <w:t xml:space="preserve"> </w:t>
      </w:r>
      <w:r w:rsidR="00FE0586">
        <w:t xml:space="preserve">Centrální monitoring </w:t>
      </w:r>
      <w:proofErr w:type="spellStart"/>
      <w:r w:rsidR="00FE0586">
        <w:t>IntelliVue</w:t>
      </w:r>
      <w:proofErr w:type="spellEnd"/>
      <w:r w:rsidR="00FE0586">
        <w:t xml:space="preserve"> Philips (2ks monitor</w:t>
      </w:r>
      <w:r w:rsidR="00176C2E">
        <w:t>y vitálních funkcí</w:t>
      </w:r>
      <w:r w:rsidR="00FE0586">
        <w:t>, 1 ks modul EEG</w:t>
      </w:r>
      <w:r w:rsidR="00176C2E">
        <w:t>.</w:t>
      </w:r>
    </w:p>
    <w:p w14:paraId="2ADB43A4" w14:textId="77777777" w:rsidR="0043645E" w:rsidRDefault="0043645E" w:rsidP="00AA38DE"/>
    <w:p w14:paraId="242D159C" w14:textId="6BF82E8A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176C2E">
        <w:t xml:space="preserve">25NV-TP-0009, </w:t>
      </w:r>
      <w:r w:rsidR="00D024DD">
        <w:t xml:space="preserve">ze dne </w:t>
      </w:r>
      <w:r w:rsidR="00176C2E">
        <w:t>11.</w:t>
      </w:r>
      <w:r w:rsidR="00FE0586">
        <w:t xml:space="preserve"> </w:t>
      </w:r>
      <w:r w:rsidR="00176C2E">
        <w:t>2.</w:t>
      </w:r>
      <w:r w:rsidR="00FE0586">
        <w:t xml:space="preserve"> </w:t>
      </w:r>
      <w:r w:rsidR="00176C2E">
        <w:t>2025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FE0586" w:rsidRDefault="00573F0E">
            <w:pPr>
              <w:spacing w:before="120" w:line="240" w:lineRule="atLeast"/>
              <w:rPr>
                <w:b/>
              </w:rPr>
            </w:pPr>
            <w:r w:rsidRPr="00FE0586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A38754F" w:rsidR="00573F0E" w:rsidRPr="00FE0586" w:rsidRDefault="00326C86" w:rsidP="009D23C9">
            <w:pPr>
              <w:spacing w:before="120" w:line="240" w:lineRule="atLeast"/>
              <w:jc w:val="right"/>
              <w:rPr>
                <w:b/>
              </w:rPr>
            </w:pPr>
            <w:r w:rsidRPr="00FE0586">
              <w:rPr>
                <w:b/>
              </w:rPr>
              <w:t>646 000</w:t>
            </w:r>
            <w:r w:rsidR="00FE0586">
              <w:rPr>
                <w:b/>
              </w:rPr>
              <w:t xml:space="preserve"> </w:t>
            </w:r>
            <w:r w:rsidR="004155DF" w:rsidRPr="00FE0586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C77DA46" w:rsidR="00573F0E" w:rsidRPr="00FE0586" w:rsidRDefault="00573F0E" w:rsidP="00D024DD">
            <w:pPr>
              <w:spacing w:before="120" w:line="240" w:lineRule="atLeast"/>
              <w:rPr>
                <w:b/>
              </w:rPr>
            </w:pPr>
            <w:r w:rsidRPr="00FE0586">
              <w:rPr>
                <w:b/>
              </w:rPr>
              <w:t>DPH</w:t>
            </w:r>
            <w:r w:rsidR="001A4F8A" w:rsidRPr="00FE0586">
              <w:rPr>
                <w:b/>
              </w:rPr>
              <w:t>:</w:t>
            </w:r>
            <w:r w:rsidR="005335F3" w:rsidRPr="00FE0586">
              <w:rPr>
                <w:b/>
              </w:rPr>
              <w:t xml:space="preserve">  </w:t>
            </w:r>
            <w:r w:rsidR="00326C86" w:rsidRPr="00FE0586">
              <w:rPr>
                <w:b/>
              </w:rPr>
              <w:t>21</w:t>
            </w:r>
            <w:r w:rsidR="005335F3" w:rsidRPr="00FE0586">
              <w:rPr>
                <w:b/>
              </w:rPr>
              <w:t xml:space="preserve"> </w:t>
            </w:r>
            <w:r w:rsidR="0045018F" w:rsidRPr="00FE0586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2F93390" w:rsidR="00573F0E" w:rsidRPr="00FE0586" w:rsidRDefault="00326C86" w:rsidP="009D23C9">
            <w:pPr>
              <w:spacing w:before="120" w:line="240" w:lineRule="atLeast"/>
              <w:jc w:val="right"/>
              <w:rPr>
                <w:b/>
              </w:rPr>
            </w:pPr>
            <w:r w:rsidRPr="00FE0586">
              <w:rPr>
                <w:b/>
              </w:rPr>
              <w:t xml:space="preserve">135 660 </w:t>
            </w:r>
            <w:r w:rsidR="00D024DD" w:rsidRPr="00FE0586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4D3BE950" w:rsidR="00573F0E" w:rsidRPr="00FE0586" w:rsidRDefault="00326C86" w:rsidP="0045018F">
            <w:pPr>
              <w:spacing w:before="120" w:line="240" w:lineRule="atLeast"/>
              <w:jc w:val="right"/>
              <w:rPr>
                <w:b/>
              </w:rPr>
            </w:pPr>
            <w:r w:rsidRPr="00FE0586">
              <w:rPr>
                <w:b/>
              </w:rPr>
              <w:t xml:space="preserve">781 660 </w:t>
            </w:r>
            <w:r w:rsidR="00D024DD" w:rsidRPr="00FE0586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4CB8F1B" w:rsidR="00853E25" w:rsidRPr="00F211FB" w:rsidRDefault="00F211FB" w:rsidP="00F211FB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F211FB">
        <w:t>Celková kupní cena včetně příslušné DPH bude uhrazena kupujícím prodávajícímu na základě faktury, kterou doručí prodávající kupujícímu, jejíž součástí bude podepsaný předávací protokol nebo dodací list o dodání zboží. Faktura je splatná do 30 (třiceti) kalendářních dnů ode dne jejího doručení kupujícímu.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2F5598C2" w:rsidR="003F62D2" w:rsidRPr="00483750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326C86">
        <w:rPr>
          <w:rFonts w:ascii="Garamond" w:hAnsi="Garamond"/>
          <w:sz w:val="24"/>
          <w:szCs w:val="24"/>
        </w:rPr>
        <w:t>Přerov</w:t>
      </w:r>
      <w:r w:rsidR="00FE0586">
        <w:rPr>
          <w:rFonts w:ascii="Garamond" w:hAnsi="Garamond"/>
          <w:sz w:val="24"/>
          <w:szCs w:val="24"/>
        </w:rPr>
        <w:t>, Dvořákova 75, 751 52 Přerov</w:t>
      </w:r>
    </w:p>
    <w:p w14:paraId="729D6EC2" w14:textId="6751B9F2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176C2E">
        <w:rPr>
          <w:rFonts w:ascii="Garamond" w:hAnsi="Garamond"/>
          <w:sz w:val="24"/>
          <w:szCs w:val="24"/>
        </w:rPr>
        <w:t>15</w:t>
      </w:r>
      <w:r w:rsidR="00176C2E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48B99833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r w:rsidR="00326C86">
        <w:t xml:space="preserve">24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C7D529F" w:rsidR="00174F30" w:rsidRPr="00FE0586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</w:t>
      </w:r>
      <w:r w:rsidR="00123768">
        <w:t xml:space="preserve"> </w:t>
      </w:r>
      <w:proofErr w:type="spellStart"/>
      <w:r w:rsidR="00297E58">
        <w:t>xxxxxxxxxxxxxxx</w:t>
      </w:r>
      <w:proofErr w:type="spellEnd"/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D4D93">
        <w:t xml:space="preserve">V případě závady či poruchy zboží se prodávající zavazuje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15BE5119" w:rsidR="00C90296" w:rsidRPr="00FE0586" w:rsidRDefault="00C90296" w:rsidP="00C90296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proofErr w:type="spellStart"/>
      <w:r w:rsidR="00297E58">
        <w:rPr>
          <w:rFonts w:ascii="Garamond" w:hAnsi="Garamond"/>
          <w:sz w:val="24"/>
          <w:szCs w:val="24"/>
        </w:rPr>
        <w:t>xxxxxxxxxxxxxxxx</w:t>
      </w:r>
      <w:proofErr w:type="spellEnd"/>
    </w:p>
    <w:p w14:paraId="1550462C" w14:textId="1F73E1BF" w:rsidR="00123768" w:rsidRDefault="00297E5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xxxxxxxxxxxxxxxxxxxxxxxxxxxxxxxxxxxx</w:t>
      </w:r>
      <w:proofErr w:type="spellEnd"/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3365608A" w:rsidR="00C90296" w:rsidRDefault="00297E58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xxxxxxxxxxxxxxxx</w:t>
      </w:r>
      <w:proofErr w:type="spellEnd"/>
      <w:r w:rsidR="00C90296">
        <w:rPr>
          <w:rFonts w:ascii="Garamond" w:hAnsi="Garamond"/>
          <w:sz w:val="24"/>
          <w:szCs w:val="24"/>
        </w:rPr>
        <w:t>, ředitel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21E2C2C4" w:rsidR="00C90296" w:rsidRDefault="00297E58" w:rsidP="005A7BE3">
      <w:pPr>
        <w:pStyle w:val="Zkladntext"/>
        <w:ind w:firstLine="360"/>
      </w:pPr>
      <w:proofErr w:type="spellStart"/>
      <w:r>
        <w:rPr>
          <w:rFonts w:ascii="Garamond" w:hAnsi="Garamond"/>
          <w:sz w:val="24"/>
          <w:szCs w:val="24"/>
        </w:rPr>
        <w:t>xxxxxxxxxxxxxxxxxxxxxxxxxxxxxxxxxxxx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7CDE2961" w:rsidR="00C90296" w:rsidRDefault="00297E58" w:rsidP="00C90296">
      <w:pPr>
        <w:spacing w:line="276" w:lineRule="auto"/>
        <w:ind w:firstLine="360"/>
        <w:jc w:val="both"/>
      </w:pPr>
      <w:proofErr w:type="spellStart"/>
      <w:r>
        <w:t>xxxxxxxxxxxxxxxx</w:t>
      </w:r>
      <w:proofErr w:type="spellEnd"/>
      <w:r w:rsidR="001A0480">
        <w:t xml:space="preserve">, </w:t>
      </w:r>
      <w:r w:rsidR="00C90296">
        <w:t xml:space="preserve">hlavní správce </w:t>
      </w:r>
      <w:r w:rsidR="00301797">
        <w:t xml:space="preserve">AGEL </w:t>
      </w:r>
      <w:r w:rsidR="00C90296">
        <w:t>Středomoravská nemocniční a.s.,</w:t>
      </w:r>
    </w:p>
    <w:p w14:paraId="5CFC3F0D" w14:textId="4B052783" w:rsidR="00C90296" w:rsidRDefault="00297E58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0F161A26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176C2E"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200B03">
        <w:rPr>
          <w:bCs/>
        </w:rPr>
        <w:t xml:space="preserve"> </w:t>
      </w:r>
      <w:r w:rsidR="00200B03">
        <w:rPr>
          <w:bCs/>
        </w:rPr>
        <w:tab/>
      </w:r>
      <w:r w:rsidR="00FE0586">
        <w:rPr>
          <w:bCs/>
        </w:rPr>
        <w:t xml:space="preserve"> </w:t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1C2253F7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rPr>
          <w:bCs/>
        </w:rPr>
        <w:t xml:space="preserve"> </w:t>
      </w:r>
      <w:r w:rsidR="00176C2E">
        <w:rPr>
          <w:bCs/>
        </w:rPr>
        <w:t xml:space="preserve">Ing. Ludvík </w:t>
      </w:r>
      <w:proofErr w:type="spellStart"/>
      <w:r w:rsidR="00176C2E">
        <w:rPr>
          <w:bCs/>
        </w:rPr>
        <w:t>Tót</w:t>
      </w:r>
      <w:proofErr w:type="spellEnd"/>
      <w:r w:rsidR="00176C2E">
        <w:rPr>
          <w:bCs/>
        </w:rPr>
        <w:t>, jednatel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1827206C" w:rsidR="0055396F" w:rsidRPr="00BD277B" w:rsidRDefault="00200B03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 w:rsidR="00FB7DCC">
        <w:tab/>
      </w:r>
      <w:r w:rsidR="00FB7DCC">
        <w:tab/>
      </w:r>
      <w:r>
        <w:t>JUDr. Martin Budiš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DC0A5" w14:textId="77777777" w:rsidR="00391372" w:rsidRDefault="00391372">
      <w:r>
        <w:separator/>
      </w:r>
    </w:p>
  </w:endnote>
  <w:endnote w:type="continuationSeparator" w:id="0">
    <w:p w14:paraId="3A96773A" w14:textId="77777777" w:rsidR="00391372" w:rsidRDefault="00391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C99B4" w14:textId="765D873A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E0586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8C3F7" w14:textId="77777777" w:rsidR="00391372" w:rsidRDefault="00391372">
      <w:r>
        <w:separator/>
      </w:r>
    </w:p>
  </w:footnote>
  <w:footnote w:type="continuationSeparator" w:id="0">
    <w:p w14:paraId="7EF2F686" w14:textId="77777777" w:rsidR="00391372" w:rsidRDefault="00391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49232037">
    <w:abstractNumId w:val="0"/>
  </w:num>
  <w:num w:numId="2" w16cid:durableId="1576553515">
    <w:abstractNumId w:val="11"/>
  </w:num>
  <w:num w:numId="3" w16cid:durableId="1771075644">
    <w:abstractNumId w:val="38"/>
  </w:num>
  <w:num w:numId="4" w16cid:durableId="682781002">
    <w:abstractNumId w:val="4"/>
  </w:num>
  <w:num w:numId="5" w16cid:durableId="545261728">
    <w:abstractNumId w:val="19"/>
  </w:num>
  <w:num w:numId="6" w16cid:durableId="939989740">
    <w:abstractNumId w:val="35"/>
  </w:num>
  <w:num w:numId="7" w16cid:durableId="1725442675">
    <w:abstractNumId w:val="34"/>
  </w:num>
  <w:num w:numId="8" w16cid:durableId="1659189730">
    <w:abstractNumId w:val="22"/>
  </w:num>
  <w:num w:numId="9" w16cid:durableId="1519388044">
    <w:abstractNumId w:val="21"/>
  </w:num>
  <w:num w:numId="10" w16cid:durableId="1002123756">
    <w:abstractNumId w:val="13"/>
  </w:num>
  <w:num w:numId="11" w16cid:durableId="1445879244">
    <w:abstractNumId w:val="37"/>
  </w:num>
  <w:num w:numId="12" w16cid:durableId="1121264059">
    <w:abstractNumId w:val="26"/>
  </w:num>
  <w:num w:numId="13" w16cid:durableId="787816876">
    <w:abstractNumId w:val="29"/>
  </w:num>
  <w:num w:numId="14" w16cid:durableId="475688804">
    <w:abstractNumId w:val="36"/>
  </w:num>
  <w:num w:numId="15" w16cid:durableId="1923030019">
    <w:abstractNumId w:val="39"/>
  </w:num>
  <w:num w:numId="16" w16cid:durableId="1277642532">
    <w:abstractNumId w:val="10"/>
  </w:num>
  <w:num w:numId="17" w16cid:durableId="1658000006">
    <w:abstractNumId w:val="30"/>
  </w:num>
  <w:num w:numId="18" w16cid:durableId="1674870267">
    <w:abstractNumId w:val="3"/>
  </w:num>
  <w:num w:numId="19" w16cid:durableId="1154449207">
    <w:abstractNumId w:val="28"/>
  </w:num>
  <w:num w:numId="20" w16cid:durableId="410734493">
    <w:abstractNumId w:val="12"/>
  </w:num>
  <w:num w:numId="21" w16cid:durableId="1950158602">
    <w:abstractNumId w:val="32"/>
  </w:num>
  <w:num w:numId="22" w16cid:durableId="637881825">
    <w:abstractNumId w:val="5"/>
  </w:num>
  <w:num w:numId="23" w16cid:durableId="833493407">
    <w:abstractNumId w:val="33"/>
  </w:num>
  <w:num w:numId="24" w16cid:durableId="1582904609">
    <w:abstractNumId w:val="18"/>
  </w:num>
  <w:num w:numId="25" w16cid:durableId="390661454">
    <w:abstractNumId w:val="23"/>
  </w:num>
  <w:num w:numId="26" w16cid:durableId="441653915">
    <w:abstractNumId w:val="2"/>
  </w:num>
  <w:num w:numId="27" w16cid:durableId="25835472">
    <w:abstractNumId w:val="40"/>
  </w:num>
  <w:num w:numId="28" w16cid:durableId="2046179329">
    <w:abstractNumId w:val="7"/>
  </w:num>
  <w:num w:numId="29" w16cid:durableId="182600343">
    <w:abstractNumId w:val="15"/>
  </w:num>
  <w:num w:numId="30" w16cid:durableId="1142313099">
    <w:abstractNumId w:val="16"/>
  </w:num>
  <w:num w:numId="31" w16cid:durableId="889076764">
    <w:abstractNumId w:val="16"/>
    <w:lvlOverride w:ilvl="0">
      <w:startOverride w:val="1"/>
    </w:lvlOverride>
  </w:num>
  <w:num w:numId="32" w16cid:durableId="945381908">
    <w:abstractNumId w:val="25"/>
  </w:num>
  <w:num w:numId="33" w16cid:durableId="375276226">
    <w:abstractNumId w:val="9"/>
  </w:num>
  <w:num w:numId="34" w16cid:durableId="1334839938">
    <w:abstractNumId w:val="27"/>
  </w:num>
  <w:num w:numId="35" w16cid:durableId="438379654">
    <w:abstractNumId w:val="6"/>
  </w:num>
  <w:num w:numId="36" w16cid:durableId="1033573860">
    <w:abstractNumId w:val="8"/>
  </w:num>
  <w:num w:numId="37" w16cid:durableId="1531264772">
    <w:abstractNumId w:val="31"/>
  </w:num>
  <w:num w:numId="38" w16cid:durableId="1383676762">
    <w:abstractNumId w:val="14"/>
  </w:num>
  <w:num w:numId="39" w16cid:durableId="1034576840">
    <w:abstractNumId w:val="17"/>
  </w:num>
  <w:num w:numId="40" w16cid:durableId="1839610388">
    <w:abstractNumId w:val="20"/>
  </w:num>
  <w:num w:numId="41" w16cid:durableId="22831924">
    <w:abstractNumId w:val="1"/>
  </w:num>
  <w:num w:numId="42" w16cid:durableId="31916336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20AD6"/>
    <w:rsid w:val="0003254B"/>
    <w:rsid w:val="000346AF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6175"/>
    <w:rsid w:val="00155676"/>
    <w:rsid w:val="00174F30"/>
    <w:rsid w:val="00176C2E"/>
    <w:rsid w:val="001A0480"/>
    <w:rsid w:val="001A4F8A"/>
    <w:rsid w:val="001A6DFA"/>
    <w:rsid w:val="001C08F2"/>
    <w:rsid w:val="001C4225"/>
    <w:rsid w:val="001C6E69"/>
    <w:rsid w:val="001E42F5"/>
    <w:rsid w:val="00200B03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97E58"/>
    <w:rsid w:val="002A494F"/>
    <w:rsid w:val="002B0563"/>
    <w:rsid w:val="002B5321"/>
    <w:rsid w:val="002C7275"/>
    <w:rsid w:val="00301797"/>
    <w:rsid w:val="00311218"/>
    <w:rsid w:val="00314C5B"/>
    <w:rsid w:val="00326C86"/>
    <w:rsid w:val="003346D8"/>
    <w:rsid w:val="003433D1"/>
    <w:rsid w:val="00347EF9"/>
    <w:rsid w:val="00357E84"/>
    <w:rsid w:val="00372B83"/>
    <w:rsid w:val="00376D83"/>
    <w:rsid w:val="00391372"/>
    <w:rsid w:val="003A7BA2"/>
    <w:rsid w:val="003B3C39"/>
    <w:rsid w:val="003C748A"/>
    <w:rsid w:val="003F29F5"/>
    <w:rsid w:val="003F62D2"/>
    <w:rsid w:val="00405C6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42201"/>
    <w:rsid w:val="0055086D"/>
    <w:rsid w:val="0055396F"/>
    <w:rsid w:val="00553E7B"/>
    <w:rsid w:val="00562211"/>
    <w:rsid w:val="005666C7"/>
    <w:rsid w:val="00573F0E"/>
    <w:rsid w:val="005A4E95"/>
    <w:rsid w:val="005A7BE3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72628"/>
    <w:rsid w:val="00691AFE"/>
    <w:rsid w:val="006B10C7"/>
    <w:rsid w:val="006B171C"/>
    <w:rsid w:val="006D2B5E"/>
    <w:rsid w:val="006E4048"/>
    <w:rsid w:val="006F7B38"/>
    <w:rsid w:val="007020D1"/>
    <w:rsid w:val="007107F6"/>
    <w:rsid w:val="00732D80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81A78"/>
    <w:rsid w:val="008867E3"/>
    <w:rsid w:val="00891A89"/>
    <w:rsid w:val="008A30D4"/>
    <w:rsid w:val="008B05B2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1D4D"/>
    <w:rsid w:val="00AA38DE"/>
    <w:rsid w:val="00AA398A"/>
    <w:rsid w:val="00AB5582"/>
    <w:rsid w:val="00AC16D5"/>
    <w:rsid w:val="00AC2D8B"/>
    <w:rsid w:val="00AC3477"/>
    <w:rsid w:val="00AC46A1"/>
    <w:rsid w:val="00AD1F28"/>
    <w:rsid w:val="00B127DD"/>
    <w:rsid w:val="00B13383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C059C0"/>
    <w:rsid w:val="00C0745C"/>
    <w:rsid w:val="00C168F1"/>
    <w:rsid w:val="00C2673E"/>
    <w:rsid w:val="00C324D1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11EC7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211FB"/>
    <w:rsid w:val="00F46576"/>
    <w:rsid w:val="00F56545"/>
    <w:rsid w:val="00F613D7"/>
    <w:rsid w:val="00F70DDA"/>
    <w:rsid w:val="00F723A7"/>
    <w:rsid w:val="00F73C77"/>
    <w:rsid w:val="00F80998"/>
    <w:rsid w:val="00FB7DCC"/>
    <w:rsid w:val="00FC0681"/>
    <w:rsid w:val="00FD514F"/>
    <w:rsid w:val="00FE0586"/>
    <w:rsid w:val="00FE1F11"/>
    <w:rsid w:val="00FF04B2"/>
    <w:rsid w:val="00FF1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33B9-1EAE-4EC7-8FBF-060F5C12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1310</Words>
  <Characters>7729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9021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12</cp:revision>
  <cp:lastPrinted>2025-02-11T11:59:00Z</cp:lastPrinted>
  <dcterms:created xsi:type="dcterms:W3CDTF">2025-02-19T11:36:00Z</dcterms:created>
  <dcterms:modified xsi:type="dcterms:W3CDTF">2025-03-03T07:54:00Z</dcterms:modified>
</cp:coreProperties>
</file>