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SPD-25/008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BD4C19A" w:rsidR="007B6B27" w:rsidRPr="007B6B27" w:rsidRDefault="007B6B27" w:rsidP="007B6B27">
      <w:pPr>
        <w:jc w:val="center"/>
      </w:pPr>
      <w:r w:rsidRPr="007B6B27">
        <w:t>zastoupená: Michal</w:t>
      </w:r>
      <w:r w:rsidR="00C91C9C">
        <w:t>em</w:t>
      </w:r>
      <w:r w:rsidRPr="007B6B27">
        <w:t xml:space="preserve"> Med</w:t>
      </w:r>
      <w:r w:rsidR="00C91C9C">
        <w:t>kem</w:t>
      </w:r>
      <w:r w:rsidRPr="007B6B27">
        <w:t>, obchodní</w:t>
      </w:r>
      <w:r w:rsidR="00C91C9C">
        <w:t>m</w:t>
      </w:r>
      <w:r w:rsidRPr="007B6B27">
        <w:t xml:space="preserve"> </w:t>
      </w:r>
      <w:r w:rsidR="001403DB">
        <w:t>ředitel</w:t>
      </w:r>
      <w:r w:rsidR="00C91C9C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Moudrý překlad, s.r.o.</w:t>
      </w:r>
      <w:r w:rsidR="007B6B27" w:rsidRPr="007B6B27">
        <w:rPr>
          <w:b/>
        </w:rPr>
        <w:t xml:space="preserve">, </w:t>
      </w:r>
      <w:r>
        <w:rPr>
          <w:b/>
        </w:rPr>
        <w:t>Václavské náměstí 1,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27156052</w:t>
      </w:r>
      <w:r w:rsidRPr="007B6B27">
        <w:t xml:space="preserve"> DIČ: </w:t>
      </w:r>
      <w:r w:rsidR="00FF4087">
        <w:t>CZ27156052</w:t>
      </w:r>
      <w:r w:rsidRPr="007B6B27">
        <w:t xml:space="preserve"> Banka: </w:t>
      </w:r>
      <w:r w:rsidR="00FF4087">
        <w:t>254186976/0300</w:t>
      </w:r>
    </w:p>
    <w:p w14:paraId="3E76A631" w14:textId="5CA0D130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Michal</w:t>
      </w:r>
      <w:r w:rsidR="00C91C9C">
        <w:t>em</w:t>
      </w:r>
      <w:r w:rsidR="00FF4087">
        <w:t xml:space="preserve"> Moudrý</w:t>
      </w:r>
      <w:r w:rsidR="00C91C9C">
        <w:t>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SPD-25/008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Vystěhování pódia a židlí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Vyklizení Sukovy síně pro nekoncertní využití (pódium a židle) - Manipulace</w:t>
            </w:r>
          </w:p>
        </w:tc>
      </w:tr>
      <w:tr w:rsidR="00A25D99" w14:paraId="70A00FC1" w14:textId="77777777" w:rsidTr="000E2B25">
        <w:tc>
          <w:tcPr>
            <w:tcW w:w="3085" w:type="dxa"/>
          </w:tcPr>
          <w:p w14:paraId="43B48194" w14:textId="77777777"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DBE4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54DB001C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0D1D62C0" w14:textId="77777777" w:rsidTr="000E2B25">
        <w:tc>
          <w:tcPr>
            <w:tcW w:w="3085" w:type="dxa"/>
          </w:tcPr>
          <w:p w14:paraId="47895A4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59E0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421079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6466AF1" w14:textId="77777777" w:rsidTr="000E2B25">
        <w:tc>
          <w:tcPr>
            <w:tcW w:w="3085" w:type="dxa"/>
          </w:tcPr>
          <w:p w14:paraId="3B6218D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6000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6EE7D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61853044" w14:textId="77777777" w:rsidTr="000E2B25">
        <w:tc>
          <w:tcPr>
            <w:tcW w:w="3085" w:type="dxa"/>
          </w:tcPr>
          <w:p w14:paraId="76816FB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A7F3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Položení koberce na galerijní schodiště</w:t>
            </w:r>
          </w:p>
        </w:tc>
        <w:tc>
          <w:tcPr>
            <w:tcW w:w="3686" w:type="dxa"/>
          </w:tcPr>
          <w:p w14:paraId="6C3C54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3C5B1D5A" w14:textId="77777777" w:rsidTr="000E2B25">
        <w:tc>
          <w:tcPr>
            <w:tcW w:w="3085" w:type="dxa"/>
          </w:tcPr>
          <w:p w14:paraId="37ED708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039E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 + gala večeře, 400 osob</w:t>
            </w:r>
          </w:p>
        </w:tc>
        <w:tc>
          <w:tcPr>
            <w:tcW w:w="3686" w:type="dxa"/>
          </w:tcPr>
          <w:p w14:paraId="44D50C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4C75E216" w14:textId="77777777" w:rsidTr="000E2B25">
        <w:tc>
          <w:tcPr>
            <w:tcW w:w="3085" w:type="dxa"/>
          </w:tcPr>
          <w:p w14:paraId="0E81DFD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74DB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 + gala večeře, 400 osob</w:t>
            </w:r>
          </w:p>
        </w:tc>
        <w:tc>
          <w:tcPr>
            <w:tcW w:w="3686" w:type="dxa"/>
          </w:tcPr>
          <w:p w14:paraId="4925DC01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Akce</w:t>
            </w:r>
            <w:proofErr w:type="gramEnd"/>
          </w:p>
        </w:tc>
      </w:tr>
      <w:tr w:rsidR="00A25D99" w14:paraId="00517E57" w14:textId="77777777" w:rsidTr="000E2B25">
        <w:tc>
          <w:tcPr>
            <w:tcW w:w="3085" w:type="dxa"/>
          </w:tcPr>
          <w:p w14:paraId="616F4A0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778E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6A12D3E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Dvorana - Manipulace</w:t>
            </w:r>
            <w:proofErr w:type="gramEnd"/>
          </w:p>
        </w:tc>
      </w:tr>
      <w:tr w:rsidR="00A25D99" w14:paraId="16BEE998" w14:textId="77777777" w:rsidTr="000E2B25">
        <w:tc>
          <w:tcPr>
            <w:tcW w:w="3085" w:type="dxa"/>
          </w:tcPr>
          <w:p w14:paraId="516888C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5404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C3C77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4CFED52" w14:textId="77777777" w:rsidTr="000E2B25">
        <w:tc>
          <w:tcPr>
            <w:tcW w:w="3085" w:type="dxa"/>
          </w:tcPr>
          <w:p w14:paraId="351420E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3EBF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Nastěhování pódia a židlí</w:t>
            </w:r>
          </w:p>
        </w:tc>
        <w:tc>
          <w:tcPr>
            <w:tcW w:w="3686" w:type="dxa"/>
          </w:tcPr>
          <w:p w14:paraId="623C77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65F4384" w14:textId="77777777" w:rsidTr="000E2B25">
        <w:tc>
          <w:tcPr>
            <w:tcW w:w="3085" w:type="dxa"/>
          </w:tcPr>
          <w:p w14:paraId="77D042E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A4334D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  <w:r>
              <w:rPr>
                <w:sz w:val="20"/>
              </w:rPr>
              <w:t xml:space="preserve"> koberce z galerijního schodiště</w:t>
            </w:r>
          </w:p>
        </w:tc>
        <w:tc>
          <w:tcPr>
            <w:tcW w:w="3686" w:type="dxa"/>
          </w:tcPr>
          <w:p w14:paraId="3550C3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společenská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akce</w:t>
            </w:r>
            <w:proofErr w:type="spellEnd"/>
            <w:r w:rsidRPr="00C96A06">
              <w:rPr>
                <w:rFonts w:cs="Arial"/>
                <w:lang w:val="en-US"/>
              </w:rPr>
              <w:t xml:space="preserve"> DZS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055D07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E13E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EE6A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245F8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282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12F53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532FF8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A3EE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BB816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F23D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E61B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6AFC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D85F3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8280E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986F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58FF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F3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8873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377 000,00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1C9C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2025-02-27T10:04:00Z</dcterms:created>
  <dcterms:modified xsi:type="dcterms:W3CDTF">2025-02-27T10:04:00Z</dcterms:modified>
</cp:coreProperties>
</file>