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18FC3" w14:textId="16721C6F" w:rsidR="001D3094" w:rsidRPr="00E5714B"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sidRPr="00E5714B">
        <w:rPr>
          <w:rFonts w:ascii="Times New Roman" w:hAnsi="Times New Roman"/>
        </w:rPr>
        <w:t>SO/202</w:t>
      </w:r>
      <w:r w:rsidR="00E65113" w:rsidRPr="00E5714B">
        <w:rPr>
          <w:rFonts w:ascii="Times New Roman" w:hAnsi="Times New Roman"/>
        </w:rPr>
        <w:t>5</w:t>
      </w:r>
      <w:r w:rsidR="00E5714B" w:rsidRPr="00E5714B">
        <w:rPr>
          <w:rFonts w:ascii="Times New Roman" w:hAnsi="Times New Roman"/>
        </w:rPr>
        <w:t>0007</w:t>
      </w:r>
    </w:p>
    <w:p w14:paraId="2AB1D235" w14:textId="7F3E9D32" w:rsidR="00957B43" w:rsidRPr="00E5714B" w:rsidRDefault="00BC6384" w:rsidP="001D3094">
      <w:pPr>
        <w:ind w:left="2836" w:firstLine="709"/>
        <w:rPr>
          <w:rFonts w:ascii="Times New Roman" w:hAnsi="Times New Roman"/>
          <w:sz w:val="6"/>
          <w:szCs w:val="6"/>
        </w:rPr>
      </w:pPr>
      <w:r w:rsidRPr="00E5714B">
        <w:rPr>
          <w:rFonts w:ascii="Times New Roman" w:hAnsi="Times New Roman"/>
          <w:sz w:val="6"/>
          <w:szCs w:val="6"/>
        </w:rPr>
        <w:tab/>
      </w:r>
    </w:p>
    <w:p w14:paraId="0F9AA192" w14:textId="1D474551" w:rsidR="001D3094" w:rsidRDefault="001D3094" w:rsidP="001D3094">
      <w:pPr>
        <w:ind w:left="2836" w:firstLine="709"/>
        <w:rPr>
          <w:rFonts w:ascii="Times New Roman" w:hAnsi="Times New Roman"/>
          <w:sz w:val="14"/>
          <w:szCs w:val="14"/>
        </w:rPr>
      </w:pPr>
      <w:r w:rsidRPr="00E5714B">
        <w:rPr>
          <w:rFonts w:ascii="Times New Roman" w:hAnsi="Times New Roman"/>
          <w:sz w:val="14"/>
          <w:szCs w:val="14"/>
        </w:rPr>
        <w:t xml:space="preserve">                      </w:t>
      </w:r>
      <w:r w:rsidR="0040238F" w:rsidRPr="00E5714B">
        <w:rPr>
          <w:rFonts w:ascii="Times New Roman" w:hAnsi="Times New Roman"/>
          <w:sz w:val="14"/>
          <w:szCs w:val="14"/>
        </w:rPr>
        <w:t xml:space="preserve"> </w:t>
      </w:r>
      <w:r w:rsidRPr="00E5714B">
        <w:rPr>
          <w:rFonts w:ascii="Times New Roman" w:hAnsi="Times New Roman"/>
          <w:sz w:val="14"/>
          <w:szCs w:val="14"/>
        </w:rPr>
        <w:t>ověřovací kód účastníka pro změnu poskytovatele služby přístupu k internetu: SO/20</w:t>
      </w:r>
      <w:r w:rsidR="009519F3" w:rsidRPr="00E5714B">
        <w:rPr>
          <w:rFonts w:ascii="Times New Roman" w:hAnsi="Times New Roman"/>
          <w:sz w:val="14"/>
          <w:szCs w:val="14"/>
        </w:rPr>
        <w:t>2</w:t>
      </w:r>
      <w:r w:rsidR="00E65113" w:rsidRPr="00E5714B">
        <w:rPr>
          <w:rFonts w:ascii="Times New Roman" w:hAnsi="Times New Roman"/>
          <w:sz w:val="14"/>
          <w:szCs w:val="14"/>
        </w:rPr>
        <w:t>5</w:t>
      </w:r>
      <w:r w:rsidR="00E5714B" w:rsidRPr="00E5714B">
        <w:rPr>
          <w:rFonts w:ascii="Times New Roman" w:hAnsi="Times New Roman"/>
          <w:sz w:val="14"/>
          <w:szCs w:val="14"/>
        </w:rPr>
        <w:t>0007</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bookmarkStart w:id="0" w:name="_GoBack"/>
    </w:p>
    <w:p w14:paraId="7E68F070" w14:textId="46A53938" w:rsidR="00957B43" w:rsidRDefault="00BC6384" w:rsidP="009F244C">
      <w:pPr>
        <w:rPr>
          <w:b/>
          <w:bCs/>
          <w:sz w:val="32"/>
          <w:szCs w:val="32"/>
        </w:rPr>
      </w:pPr>
      <w:r w:rsidRPr="009F244C">
        <w:rPr>
          <w:b/>
          <w:bCs/>
          <w:sz w:val="32"/>
          <w:szCs w:val="32"/>
        </w:rPr>
        <w:t>Smlouva o poskytování služeb elektronických komunikací</w:t>
      </w:r>
      <w:bookmarkEnd w:id="0"/>
      <w:r w:rsidRPr="009F244C">
        <w:rPr>
          <w:b/>
          <w:bCs/>
          <w:sz w:val="32"/>
          <w:szCs w:val="32"/>
        </w:rPr>
        <w:t xml:space="preserve">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41E938CC" w:rsidR="00957B43" w:rsidRDefault="00E65113">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UNICAplasma s.r.o.</w:t>
            </w:r>
          </w:p>
        </w:tc>
      </w:tr>
      <w:tr w:rsidR="00957B43" w14:paraId="220658B6" w14:textId="77777777">
        <w:tc>
          <w:tcPr>
            <w:tcW w:w="4786" w:type="dxa"/>
            <w:gridSpan w:val="2"/>
            <w:shd w:val="clear" w:color="auto" w:fill="auto"/>
          </w:tcPr>
          <w:p w14:paraId="1FFCA4D2" w14:textId="61692A7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9B3C5B">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106E340C" w:rsidR="00957B43" w:rsidRDefault="00E65113">
            <w:pPr>
              <w:tabs>
                <w:tab w:val="left" w:pos="0"/>
                <w:tab w:val="left" w:leader="underscore" w:pos="4706"/>
                <w:tab w:val="left" w:pos="4990"/>
                <w:tab w:val="left" w:leader="underscore" w:pos="9639"/>
              </w:tabs>
              <w:rPr>
                <w:rFonts w:ascii="Times New Roman" w:eastAsia="Calibri" w:hAnsi="Times New Roman"/>
                <w:b/>
                <w:sz w:val="22"/>
                <w:szCs w:val="22"/>
              </w:rPr>
            </w:pPr>
            <w:r w:rsidRPr="00E65113">
              <w:rPr>
                <w:rFonts w:ascii="Times New Roman" w:eastAsia="Calibri" w:hAnsi="Times New Roman"/>
                <w:sz w:val="22"/>
                <w:szCs w:val="22"/>
              </w:rPr>
              <w:t>Milady Horákové 116/109, Hradčany, 160 00 Praha 6</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5989003B" w:rsidR="00957B43" w:rsidRDefault="0036786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w:t>
            </w:r>
            <w:r w:rsidR="001C75D9">
              <w:rPr>
                <w:rFonts w:ascii="Times New Roman" w:eastAsia="Calibri" w:hAnsi="Times New Roman"/>
                <w:sz w:val="22"/>
                <w:szCs w:val="22"/>
              </w:rPr>
              <w:t>astoupena</w:t>
            </w:r>
            <w:r w:rsidR="00E65113">
              <w:rPr>
                <w:rFonts w:ascii="Times New Roman" w:eastAsia="Calibri" w:hAnsi="Times New Roman"/>
                <w:sz w:val="22"/>
                <w:szCs w:val="22"/>
              </w:rPr>
              <w:t xml:space="preserve"> jednatelem</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D64976">
              <w:rPr>
                <w:rFonts w:ascii="Times New Roman" w:eastAsia="Calibri" w:hAnsi="Times New Roman"/>
                <w:sz w:val="22"/>
                <w:szCs w:val="22"/>
              </w:rPr>
              <w:t>.</w:t>
            </w:r>
            <w:r>
              <w:rPr>
                <w:rFonts w:ascii="Times New Roman" w:eastAsia="Calibri" w:hAnsi="Times New Roman"/>
                <w:sz w:val="22"/>
                <w:szCs w:val="22"/>
              </w:rPr>
              <w:t xml:space="preserve"> Michalem Hrotíkem</w:t>
            </w:r>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6D0D9B82" w:rsidR="00957B43" w:rsidRDefault="00E65113">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E65113">
              <w:rPr>
                <w:rFonts w:ascii="Times New Roman" w:eastAsia="Calibri" w:hAnsi="Times New Roman"/>
                <w:sz w:val="22"/>
                <w:szCs w:val="22"/>
              </w:rPr>
              <w:t>Giovanni Accrogliano</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8F31EC3" w14:textId="13B1FF72" w:rsidR="00957B43" w:rsidRDefault="00E65113">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28294815</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6059883A" w14:textId="629EA400" w:rsidR="00957B43" w:rsidRDefault="00E65113">
            <w:pPr>
              <w:tabs>
                <w:tab w:val="left" w:pos="0"/>
                <w:tab w:val="left" w:leader="underscore" w:pos="4706"/>
                <w:tab w:val="left" w:pos="4990"/>
                <w:tab w:val="left" w:leader="underscore" w:pos="9639"/>
              </w:tabs>
              <w:rPr>
                <w:rFonts w:ascii="Times New Roman" w:eastAsia="Calibri" w:hAnsi="Times New Roman"/>
                <w:bCs/>
                <w:sz w:val="22"/>
                <w:szCs w:val="22"/>
              </w:rPr>
            </w:pPr>
            <w:r w:rsidRPr="00E65113">
              <w:rPr>
                <w:rFonts w:ascii="Times New Roman" w:eastAsia="Calibri" w:hAnsi="Times New Roman"/>
                <w:sz w:val="22"/>
                <w:szCs w:val="22"/>
              </w:rPr>
              <w:t>CZ28294815</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CC35AA4" w14:textId="39187370" w:rsidR="00957B43" w:rsidRDefault="00E60C15">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Raiffeisen Bank</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3631CDB" w14:textId="5E97127D" w:rsidR="00957B43" w:rsidRDefault="00E60C15">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3921204001/5500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DC2BC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sz w:val="22"/>
                <w:szCs w:val="22"/>
              </w:rPr>
              <w:t>Spisová značka B 2335 vedená u Krajského soudu v</w:t>
            </w:r>
            <w:r w:rsidR="00DC2BC3" w:rsidRPr="00DC2BC3">
              <w:rPr>
                <w:rFonts w:ascii="Times New Roman" w:eastAsia="Calibri" w:hAnsi="Times New Roman"/>
                <w:sz w:val="22"/>
                <w:szCs w:val="22"/>
              </w:rPr>
              <w:t> </w:t>
            </w:r>
            <w:r w:rsidRPr="00DC2BC3">
              <w:rPr>
                <w:rFonts w:ascii="Times New Roman" w:eastAsia="Calibri" w:hAnsi="Times New Roman"/>
                <w:sz w:val="22"/>
                <w:szCs w:val="22"/>
              </w:rPr>
              <w:t>Ostravě</w:t>
            </w:r>
          </w:p>
          <w:p w14:paraId="27E8F461" w14:textId="7E699481"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DC2BC3"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6193EBC6" w:rsidR="00DC2BC3" w:rsidRPr="009519F3" w:rsidRDefault="009519F3">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Pr>
                <w:rFonts w:ascii="Times New Roman" w:eastAsia="Calibri" w:hAnsi="Times New Roman"/>
                <w:sz w:val="22"/>
                <w:szCs w:val="22"/>
              </w:rPr>
              <w:t xml:space="preserve">Spisová značka </w:t>
            </w:r>
            <w:r w:rsidR="00E65113">
              <w:rPr>
                <w:rFonts w:ascii="Times New Roman" w:eastAsia="Calibri" w:hAnsi="Times New Roman"/>
                <w:sz w:val="22"/>
                <w:szCs w:val="22"/>
              </w:rPr>
              <w:t xml:space="preserve">C390343 </w:t>
            </w:r>
            <w:r>
              <w:rPr>
                <w:rFonts w:ascii="Times New Roman" w:eastAsia="Calibri" w:hAnsi="Times New Roman"/>
                <w:sz w:val="22"/>
                <w:szCs w:val="22"/>
              </w:rPr>
              <w:t>vedená u</w:t>
            </w:r>
            <w:r>
              <w:rPr>
                <w:rFonts w:ascii="Times New Roman" w:eastAsia="Calibri" w:hAnsi="Times New Roman"/>
                <w:iCs/>
                <w:sz w:val="22"/>
                <w:szCs w:val="22"/>
              </w:rPr>
              <w:t> </w:t>
            </w:r>
            <w:r w:rsidR="00E65113">
              <w:rPr>
                <w:rFonts w:ascii="Times New Roman" w:eastAsia="Calibri" w:hAnsi="Times New Roman"/>
                <w:iCs/>
                <w:sz w:val="22"/>
                <w:szCs w:val="22"/>
              </w:rPr>
              <w:t>Městského soudu</w:t>
            </w:r>
            <w:r>
              <w:rPr>
                <w:rFonts w:ascii="Times New Roman" w:eastAsia="Calibri" w:hAnsi="Times New Roman"/>
                <w:iCs/>
                <w:sz w:val="22"/>
                <w:szCs w:val="22"/>
              </w:rPr>
              <w:t xml:space="preserve"> v </w:t>
            </w:r>
            <w:r w:rsidR="00E65113">
              <w:rPr>
                <w:rFonts w:ascii="Times New Roman" w:eastAsia="Calibri" w:hAnsi="Times New Roman"/>
                <w:iCs/>
                <w:sz w:val="22"/>
                <w:szCs w:val="22"/>
              </w:rPr>
              <w:t>Praze</w:t>
            </w:r>
          </w:p>
          <w:p w14:paraId="5F95C068" w14:textId="0419D8FD" w:rsidR="00DC2BC3" w:rsidRPr="00DC2BC3" w:rsidRDefault="00DC2BC3" w:rsidP="00E26292">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w:t>
            </w:r>
            <w:r w:rsidR="00E26292">
              <w:rPr>
                <w:rFonts w:ascii="Times New Roman" w:eastAsia="Calibri" w:hAnsi="Times New Roman"/>
                <w:bCs/>
                <w:sz w:val="22"/>
                <w:szCs w:val="22"/>
              </w:rPr>
              <w:t>xxx</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Pr="00490C1F" w:rsidRDefault="00BC6384">
      <w:pPr>
        <w:pBdr>
          <w:bottom w:val="single" w:sz="6" w:space="1" w:color="auto"/>
        </w:pBdr>
        <w:tabs>
          <w:tab w:val="left" w:pos="0"/>
          <w:tab w:val="left" w:leader="underscore" w:pos="4706"/>
          <w:tab w:val="left" w:pos="4990"/>
          <w:tab w:val="left" w:leader="underscore" w:pos="9639"/>
        </w:tabs>
        <w:spacing w:before="480"/>
        <w:rPr>
          <w:rFonts w:cs="Arial"/>
          <w:b/>
          <w:sz w:val="22"/>
          <w:szCs w:val="22"/>
        </w:rPr>
      </w:pPr>
      <w:r w:rsidRPr="00490C1F">
        <w:rPr>
          <w:rFonts w:cs="Arial"/>
          <w:b/>
          <w:sz w:val="22"/>
          <w:szCs w:val="22"/>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7ADAD4ED" w14:textId="77777777" w:rsidR="00E65113" w:rsidRDefault="00E65113" w:rsidP="00E65113">
      <w:pPr>
        <w:pStyle w:val="Zkladntextodsazen-slo"/>
        <w:tabs>
          <w:tab w:val="clear" w:pos="284"/>
          <w:tab w:val="num" w:pos="425"/>
        </w:tabs>
        <w:spacing w:after="120"/>
        <w:ind w:firstLine="0"/>
        <w:outlineLvl w:val="9"/>
      </w:pPr>
    </w:p>
    <w:p w14:paraId="6090791D" w14:textId="77777777" w:rsidR="00E65113" w:rsidRDefault="00E65113" w:rsidP="00E65113">
      <w:pPr>
        <w:pStyle w:val="Zkladntextodsazen-slo"/>
        <w:tabs>
          <w:tab w:val="clear" w:pos="284"/>
          <w:tab w:val="num" w:pos="425"/>
        </w:tabs>
        <w:spacing w:after="120"/>
        <w:ind w:firstLine="0"/>
        <w:outlineLvl w:val="9"/>
      </w:pPr>
    </w:p>
    <w:p w14:paraId="419E279F" w14:textId="77777777" w:rsidR="00E65113" w:rsidRDefault="00E65113" w:rsidP="00E65113">
      <w:pPr>
        <w:pStyle w:val="Zkladntextodsazen-slo"/>
        <w:tabs>
          <w:tab w:val="clear" w:pos="284"/>
          <w:tab w:val="num" w:pos="425"/>
        </w:tabs>
        <w:spacing w:after="120"/>
        <w:ind w:firstLine="0"/>
        <w:outlineLvl w:val="9"/>
      </w:pP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lastRenderedPageBreak/>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5F0A7A54" w14:textId="7E019DFD" w:rsidR="00965B94" w:rsidRPr="00E65113"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w:t>
      </w:r>
      <w:r w:rsidRPr="00FF7DB1">
        <w:rPr>
          <w:rFonts w:ascii="Times New Roman" w:hAnsi="Times New Roman"/>
          <w:sz w:val="22"/>
          <w:szCs w:val="22"/>
        </w:rPr>
        <w:t xml:space="preserve">Internet prostřednictvím </w:t>
      </w:r>
      <w:r w:rsidR="00DC001E" w:rsidRPr="00E65113">
        <w:rPr>
          <w:rFonts w:ascii="Times New Roman" w:hAnsi="Times New Roman"/>
          <w:sz w:val="22"/>
          <w:szCs w:val="22"/>
        </w:rPr>
        <w:t>optického kabelu (technologie FTTO</w:t>
      </w:r>
      <w:r w:rsidR="00E65113" w:rsidRPr="00E65113">
        <w:rPr>
          <w:rFonts w:ascii="Times New Roman" w:hAnsi="Times New Roman"/>
          <w:sz w:val="22"/>
          <w:szCs w:val="22"/>
        </w:rPr>
        <w:t>)</w:t>
      </w:r>
      <w:r w:rsidR="00DC001E" w:rsidRPr="00E65113">
        <w:rPr>
          <w:rFonts w:ascii="Times New Roman" w:hAnsi="Times New Roman"/>
          <w:sz w:val="22"/>
          <w:szCs w:val="22"/>
        </w:rPr>
        <w:t xml:space="preserve"> </w:t>
      </w:r>
      <w:r w:rsidR="000E2821" w:rsidRPr="00E65113">
        <w:rPr>
          <w:rFonts w:ascii="Times New Roman" w:hAnsi="Times New Roman"/>
          <w:sz w:val="22"/>
          <w:szCs w:val="22"/>
        </w:rPr>
        <w:t xml:space="preserve">s komunikační přenosovou rychlostí </w:t>
      </w:r>
      <w:r w:rsidR="00E26292">
        <w:rPr>
          <w:rFonts w:ascii="Times New Roman" w:hAnsi="Times New Roman"/>
          <w:b/>
          <w:bCs/>
          <w:sz w:val="22"/>
          <w:szCs w:val="22"/>
        </w:rPr>
        <w:t>x</w:t>
      </w:r>
      <w:r w:rsidR="00E65113">
        <w:rPr>
          <w:rFonts w:ascii="Times New Roman" w:hAnsi="Times New Roman"/>
          <w:b/>
          <w:bCs/>
          <w:sz w:val="22"/>
          <w:szCs w:val="22"/>
        </w:rPr>
        <w:t xml:space="preserve"> </w:t>
      </w:r>
      <w:r w:rsidR="000E2821" w:rsidRPr="00E65113">
        <w:rPr>
          <w:rFonts w:ascii="Times New Roman" w:hAnsi="Times New Roman"/>
          <w:b/>
          <w:bCs/>
          <w:sz w:val="22"/>
          <w:szCs w:val="22"/>
        </w:rPr>
        <w:t>Mbps/</w:t>
      </w:r>
      <w:r w:rsidR="00E26292">
        <w:rPr>
          <w:rFonts w:ascii="Times New Roman" w:hAnsi="Times New Roman"/>
          <w:b/>
          <w:bCs/>
          <w:sz w:val="22"/>
          <w:szCs w:val="22"/>
        </w:rPr>
        <w:t>x</w:t>
      </w:r>
      <w:r w:rsidR="00FF7DB1" w:rsidRPr="00E65113">
        <w:rPr>
          <w:rFonts w:ascii="Times New Roman" w:hAnsi="Times New Roman"/>
          <w:b/>
          <w:bCs/>
          <w:sz w:val="22"/>
          <w:szCs w:val="22"/>
        </w:rPr>
        <w:t xml:space="preserve"> </w:t>
      </w:r>
      <w:r w:rsidR="000E2821" w:rsidRPr="00E65113">
        <w:rPr>
          <w:rFonts w:ascii="Times New Roman" w:hAnsi="Times New Roman"/>
          <w:b/>
          <w:bCs/>
          <w:sz w:val="22"/>
          <w:szCs w:val="22"/>
        </w:rPr>
        <w:t xml:space="preserve">Mbps s agregací </w:t>
      </w:r>
      <w:r w:rsidR="00E26292">
        <w:rPr>
          <w:rFonts w:ascii="Times New Roman" w:hAnsi="Times New Roman"/>
          <w:b/>
          <w:bCs/>
          <w:sz w:val="22"/>
          <w:szCs w:val="22"/>
        </w:rPr>
        <w:t>x</w:t>
      </w:r>
      <w:r w:rsidR="000E2821" w:rsidRPr="00E65113">
        <w:rPr>
          <w:rFonts w:ascii="Times New Roman" w:hAnsi="Times New Roman"/>
          <w:b/>
          <w:bCs/>
          <w:sz w:val="22"/>
          <w:szCs w:val="22"/>
        </w:rPr>
        <w:t>:</w:t>
      </w:r>
      <w:r w:rsidR="00E26292">
        <w:rPr>
          <w:rFonts w:ascii="Times New Roman" w:hAnsi="Times New Roman"/>
          <w:b/>
          <w:bCs/>
          <w:sz w:val="22"/>
          <w:szCs w:val="22"/>
        </w:rPr>
        <w:t>x</w:t>
      </w:r>
      <w:r w:rsidR="000E2821" w:rsidRPr="00E65113">
        <w:rPr>
          <w:rFonts w:ascii="Times New Roman" w:hAnsi="Times New Roman"/>
          <w:b/>
          <w:bCs/>
          <w:sz w:val="22"/>
          <w:szCs w:val="22"/>
        </w:rPr>
        <w:t>*</w:t>
      </w:r>
      <w:r w:rsidR="000E2821" w:rsidRPr="00E65113">
        <w:rPr>
          <w:rFonts w:ascii="Times New Roman" w:hAnsi="Times New Roman"/>
          <w:sz w:val="22"/>
          <w:szCs w:val="22"/>
        </w:rPr>
        <w:t xml:space="preserve"> </w:t>
      </w:r>
      <w:r w:rsidR="00DC001E" w:rsidRPr="00E65113">
        <w:rPr>
          <w:rFonts w:ascii="Times New Roman" w:hAnsi="Times New Roman"/>
          <w:sz w:val="22"/>
          <w:szCs w:val="22"/>
        </w:rPr>
        <w:t xml:space="preserve">(+ </w:t>
      </w:r>
      <w:r w:rsidR="00E26292">
        <w:rPr>
          <w:rFonts w:ascii="Times New Roman" w:hAnsi="Times New Roman"/>
          <w:sz w:val="22"/>
          <w:szCs w:val="22"/>
        </w:rPr>
        <w:t>x</w:t>
      </w:r>
      <w:r w:rsidR="00DC001E" w:rsidRPr="00E65113">
        <w:rPr>
          <w:rFonts w:ascii="Times New Roman" w:hAnsi="Times New Roman"/>
          <w:sz w:val="22"/>
          <w:szCs w:val="22"/>
        </w:rPr>
        <w:t xml:space="preserve"> veřejná IP adresa) na adrese </w:t>
      </w:r>
      <w:r w:rsidR="00E26292">
        <w:rPr>
          <w:rFonts w:ascii="Times New Roman" w:hAnsi="Times New Roman"/>
          <w:b/>
          <w:bCs/>
          <w:sz w:val="22"/>
          <w:szCs w:val="22"/>
        </w:rPr>
        <w:t>xxx</w:t>
      </w:r>
      <w:r w:rsidR="00DC001E" w:rsidRPr="00E65113">
        <w:rPr>
          <w:rFonts w:ascii="Times New Roman" w:hAnsi="Times New Roman"/>
          <w:sz w:val="22"/>
          <w:szCs w:val="22"/>
        </w:rPr>
        <w:t>.</w:t>
      </w:r>
    </w:p>
    <w:p w14:paraId="3003C6DA" w14:textId="77777777" w:rsidR="00965B94" w:rsidRDefault="00965B94" w:rsidP="00965B94">
      <w:pPr>
        <w:ind w:left="142"/>
        <w:rPr>
          <w:rFonts w:ascii="Times New Roman" w:hAnsi="Times New Roman"/>
          <w:b/>
          <w:sz w:val="16"/>
          <w:szCs w:val="16"/>
        </w:rPr>
      </w:pP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(download)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E26292"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E26292" w:rsidRPr="008B049D" w:rsidRDefault="00E26292" w:rsidP="00E26292">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2319BC74" w:rsidR="00E26292" w:rsidRPr="008B049D" w:rsidRDefault="00E26292" w:rsidP="00E2629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3F4A9AE8" w:rsidR="00E26292" w:rsidRPr="008B049D" w:rsidRDefault="00E26292" w:rsidP="00E2629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26292"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E26292" w:rsidRPr="008B049D" w:rsidRDefault="00E26292" w:rsidP="00E26292">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38366583" w:rsidR="00E26292" w:rsidRPr="008B049D" w:rsidRDefault="00E26292" w:rsidP="00E2629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6D55B66F" w:rsidR="00E26292" w:rsidRPr="008B049D" w:rsidRDefault="00E26292" w:rsidP="00E2629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26292"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E26292" w:rsidRPr="008B049D" w:rsidRDefault="00E26292" w:rsidP="00E26292">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427005D3" w:rsidR="00E26292" w:rsidRPr="008B049D" w:rsidRDefault="00E26292" w:rsidP="00E2629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2D37D2E3" w:rsidR="00E26292" w:rsidRPr="008B049D" w:rsidRDefault="00E26292" w:rsidP="00E2629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26292"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E26292" w:rsidRPr="008B049D" w:rsidRDefault="00E26292" w:rsidP="00E26292">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515093C8" w:rsidR="00E26292" w:rsidRPr="008B049D" w:rsidRDefault="00E26292" w:rsidP="00E2629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54D5C3A1" w:rsidR="00E26292" w:rsidRPr="008B049D" w:rsidRDefault="00E26292" w:rsidP="00E2629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Agregace</w:t>
      </w:r>
      <w:r w:rsidRPr="008B049D">
        <w:rPr>
          <w:rFonts w:ascii="Times New Roman" w:hAnsi="Times New Roman"/>
          <w:sz w:val="16"/>
          <w:szCs w:val="16"/>
        </w:rPr>
        <w:t xml:space="preserve"> - hodnota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Stahování</w:t>
      </w:r>
      <w:r w:rsidRPr="008B049D">
        <w:rPr>
          <w:rFonts w:ascii="Times New Roman" w:hAnsi="Times New Roman"/>
          <w:sz w:val="16"/>
          <w:szCs w:val="16"/>
        </w:rPr>
        <w:t xml:space="preserve"> - rychlost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xml:space="preserve">–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 xml:space="preserve">(megabits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4739D220" w:rsidR="00957B43"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w:t>
      </w:r>
      <w:r w:rsidR="00E65113" w:rsidRPr="00E65113">
        <w:t>12</w:t>
      </w:r>
      <w:r w:rsidRPr="00E65113">
        <w:t xml:space="preserve"> měsíců od</w:t>
      </w:r>
      <w:r w:rsidR="00DC001E" w:rsidRPr="00E65113">
        <w:t xml:space="preserve"> </w:t>
      </w:r>
      <w:r w:rsidR="00E65113" w:rsidRPr="00E65113">
        <w:rPr>
          <w:b/>
          <w:bCs/>
        </w:rPr>
        <w:t>1.3.2025</w:t>
      </w:r>
      <w:r w:rsidRPr="00FF7DB1">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w:t>
      </w:r>
      <w:r w:rsidRPr="00E65113">
        <w:t xml:space="preserve">okamžikem uplynutí </w:t>
      </w:r>
      <w:r w:rsidR="00E65113" w:rsidRPr="00E65113">
        <w:t>12</w:t>
      </w:r>
      <w:r w:rsidRPr="00E65113">
        <w:t xml:space="preserve"> měsíců ode </w:t>
      </w:r>
      <w:r w:rsidR="00DC001E" w:rsidRPr="00E65113">
        <w:t xml:space="preserve">dne </w:t>
      </w:r>
      <w:r w:rsidR="00E65113" w:rsidRPr="00E65113">
        <w:t>1.3.2025</w:t>
      </w:r>
      <w:r w:rsidR="00DC001E" w:rsidRPr="00957670">
        <w:t xml:space="preserve"> </w:t>
      </w:r>
      <w:r w:rsidRPr="00957670">
        <w:t xml:space="preserve">s výpovědní </w:t>
      </w:r>
      <w:r>
        <w:t>dob</w:t>
      </w:r>
      <w:r w:rsidRPr="00957670">
        <w:t>ou 30</w:t>
      </w:r>
      <w:r>
        <w:t xml:space="preserve"> </w:t>
      </w:r>
      <w:r w:rsidRPr="00957670">
        <w:t>dnů</w:t>
      </w:r>
      <w:r>
        <w:t>.</w:t>
      </w:r>
    </w:p>
    <w:p w14:paraId="54340F71" w14:textId="7A3B7196" w:rsidR="007C0A85" w:rsidRDefault="000E2821" w:rsidP="005860EC">
      <w:pPr>
        <w:pStyle w:val="Zkladntextodsazen-slo"/>
        <w:numPr>
          <w:ilvl w:val="2"/>
          <w:numId w:val="5"/>
        </w:numPr>
        <w:tabs>
          <w:tab w:val="num" w:pos="284"/>
        </w:tabs>
        <w:ind w:left="284"/>
        <w:outlineLvl w:val="9"/>
      </w:pPr>
      <w:r>
        <w:lastRenderedPageBreak/>
        <w:t xml:space="preserve">Místem plnění služby je </w:t>
      </w:r>
      <w:r w:rsidRPr="008B049D">
        <w:t>adres</w:t>
      </w:r>
      <w:r>
        <w:t>a</w:t>
      </w:r>
      <w:r w:rsidR="00FF7DB1">
        <w:t xml:space="preserve"> </w:t>
      </w:r>
      <w:r w:rsidR="00B70078">
        <w:rPr>
          <w:b/>
          <w:bCs/>
        </w:rPr>
        <w:t>xxx</w:t>
      </w:r>
      <w:r w:rsidR="00DC001E" w:rsidRPr="00E65113">
        <w:rPr>
          <w:b/>
          <w:bCs/>
        </w:rPr>
        <w:t>.</w:t>
      </w:r>
    </w:p>
    <w:p w14:paraId="2A57A928" w14:textId="77777777" w:rsidR="007C0A85" w:rsidRPr="007C0A85" w:rsidRDefault="007C0A85" w:rsidP="007C0A85">
      <w:pPr>
        <w:pStyle w:val="Zkladntextodsazen-slo"/>
        <w:tabs>
          <w:tab w:val="clear" w:pos="284"/>
          <w:tab w:val="num" w:pos="425"/>
        </w:tabs>
        <w:ind w:firstLine="0"/>
        <w:outlineLvl w:val="9"/>
        <w:rPr>
          <w:sz w:val="10"/>
          <w:szCs w:val="10"/>
        </w:rPr>
      </w:pPr>
    </w:p>
    <w:p w14:paraId="01684791" w14:textId="77777777" w:rsidR="000E2821" w:rsidRDefault="000E2821" w:rsidP="000E2821">
      <w:pPr>
        <w:pStyle w:val="Nadpis1"/>
      </w:pPr>
      <w:r>
        <w:t xml:space="preserve">Cena </w:t>
      </w:r>
      <w:r w:rsidR="00BC7EF0">
        <w:t>služby</w:t>
      </w:r>
      <w:r>
        <w:t xml:space="preserve"> a platební podmínky</w:t>
      </w:r>
    </w:p>
    <w:p w14:paraId="2D5030E8" w14:textId="1E88CCE2" w:rsidR="00957B43" w:rsidRPr="00E65113"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00E65113">
        <w:t xml:space="preserve">           </w:t>
      </w:r>
      <w:r w:rsidRPr="00C75E2C">
        <w:rPr>
          <w:b/>
        </w:rPr>
        <w:t xml:space="preserve">Přílohy č.1 </w:t>
      </w:r>
      <w:r w:rsidRPr="00417BEB">
        <w:rPr>
          <w:bCs/>
        </w:rPr>
        <w:t>této smlouvy</w:t>
      </w:r>
      <w:r w:rsidRPr="00C75E2C">
        <w:t xml:space="preserve">, na základě operátorem vystavené faktury. </w:t>
      </w:r>
      <w:r w:rsidRPr="00FF7DB1">
        <w:t xml:space="preserve">Služba začne být fakturována </w:t>
      </w:r>
      <w:r w:rsidR="00E65113">
        <w:t xml:space="preserve">                   </w:t>
      </w:r>
      <w:r w:rsidR="00FF7DB1" w:rsidRPr="00E65113">
        <w:t xml:space="preserve">od </w:t>
      </w:r>
      <w:r w:rsidR="00FF7DB1" w:rsidRPr="00E65113">
        <w:rPr>
          <w:b/>
          <w:bCs/>
        </w:rPr>
        <w:t>1.</w:t>
      </w:r>
      <w:r w:rsidR="00E65113" w:rsidRPr="00E65113">
        <w:rPr>
          <w:b/>
          <w:bCs/>
        </w:rPr>
        <w:t>3</w:t>
      </w:r>
      <w:r w:rsidR="00FF7DB1" w:rsidRPr="00E65113">
        <w:rPr>
          <w:b/>
          <w:bCs/>
        </w:rPr>
        <w:t>.202</w:t>
      </w:r>
      <w:r w:rsidR="00E65113" w:rsidRPr="00E65113">
        <w:rPr>
          <w:b/>
          <w:bCs/>
        </w:rPr>
        <w:t>5</w:t>
      </w:r>
      <w:r w:rsidR="00BC6384" w:rsidRPr="00E65113">
        <w:rPr>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5C6795E8" w:rsidR="00957B43" w:rsidRDefault="000E2821">
      <w:pPr>
        <w:pStyle w:val="Zkladntextodsazen-slo"/>
        <w:numPr>
          <w:ilvl w:val="2"/>
          <w:numId w:val="5"/>
        </w:numPr>
        <w:tabs>
          <w:tab w:val="num" w:pos="284"/>
        </w:tabs>
        <w:spacing w:after="120"/>
        <w:ind w:left="284"/>
        <w:outlineLvl w:val="9"/>
      </w:pPr>
      <w:r w:rsidRPr="00C75E2C">
        <w:t xml:space="preserve">Dojde-li na základě dohody ke změně služby, potom se ceny za změněnou </w:t>
      </w:r>
      <w:r w:rsidRPr="007C0A85">
        <w:t xml:space="preserve">službu začínají účtovat od </w:t>
      </w:r>
      <w:r w:rsidR="007C0A85" w:rsidRPr="007C0A85">
        <w:t>data uvedeného v následujícím dodatku či dle data podepsání předávacího protokolu.</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1"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1"/>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2"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2"/>
      <w:r w:rsidRPr="00C75E2C">
        <w:t>.</w:t>
      </w:r>
    </w:p>
    <w:p w14:paraId="7F0262C7" w14:textId="3B2FE1FE" w:rsidR="00244AD8" w:rsidRPr="00244AD8" w:rsidRDefault="00244AD8" w:rsidP="00244AD8">
      <w:pPr>
        <w:pStyle w:val="Zkladntextodsazen-slo"/>
        <w:numPr>
          <w:ilvl w:val="2"/>
          <w:numId w:val="5"/>
        </w:numPr>
        <w:tabs>
          <w:tab w:val="num" w:pos="284"/>
        </w:tabs>
        <w:spacing w:after="120"/>
        <w:ind w:left="284"/>
        <w:outlineLvl w:val="9"/>
        <w:rPr>
          <w:b/>
        </w:rPr>
      </w:pPr>
      <w:r>
        <w:t>Faktura bude doručena účastníkovi v elektronické podobě do datové schránky účastníka</w:t>
      </w:r>
      <w:r w:rsidR="00DC001E">
        <w:t xml:space="preserve">, </w:t>
      </w:r>
      <w:r w:rsidRPr="00DC001E">
        <w:t xml:space="preserve">nebo na e-mailovou adresu </w:t>
      </w:r>
      <w:r w:rsidR="00E60C15">
        <w:rPr>
          <w:b/>
          <w:bCs/>
        </w:rPr>
        <w:t>faktury@unicaplasma.cz</w:t>
      </w:r>
      <w:r>
        <w:t>,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7668118D" w14:textId="53CA9A05" w:rsidR="0042459E" w:rsidRPr="0042459E" w:rsidRDefault="0042459E" w:rsidP="0042459E">
      <w:pPr>
        <w:pStyle w:val="Zkladntextodsazen-slo"/>
        <w:numPr>
          <w:ilvl w:val="2"/>
          <w:numId w:val="5"/>
        </w:numPr>
        <w:tabs>
          <w:tab w:val="num" w:pos="284"/>
        </w:tabs>
        <w:spacing w:after="120"/>
        <w:ind w:left="284"/>
        <w:outlineLvl w:val="9"/>
      </w:pPr>
      <w:bookmarkStart w:id="3" w:name="_Hlk112132988"/>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lastRenderedPageBreak/>
        <w:t>Vzhledem k tomu, že Český statistický úřad uveřejňuje míru inflace později než prvního ledna příslušného roku, rozdíly v cenách, které již byly fakturovány od 1. ledna do data zaslání písemné informace o navýšení cen o míru inflace, budou operátorem dofakturovány dodatečně v dalším fakturačním období</w:t>
      </w:r>
      <w:r w:rsidR="001C23FD">
        <w:t>.</w:t>
      </w:r>
    </w:p>
    <w:bookmarkEnd w:id="3"/>
    <w:p w14:paraId="21B6A649" w14:textId="77777777" w:rsidR="00244AD8" w:rsidRDefault="00244AD8" w:rsidP="00244AD8">
      <w:pPr>
        <w:pStyle w:val="Nadpis1"/>
      </w:pPr>
      <w:r>
        <w:t>Zřízení přístupu účastníka ke službám</w:t>
      </w:r>
    </w:p>
    <w:p w14:paraId="675DFC8B" w14:textId="79787F0F" w:rsidR="00957B43" w:rsidRDefault="00244AD8">
      <w:pPr>
        <w:pStyle w:val="Zkladntextodsazen-slo"/>
        <w:numPr>
          <w:ilvl w:val="2"/>
          <w:numId w:val="5"/>
        </w:numPr>
        <w:spacing w:after="120"/>
        <w:ind w:left="284"/>
        <w:outlineLvl w:val="9"/>
      </w:pPr>
      <w:r w:rsidRPr="00C75E2C">
        <w:t xml:space="preserve">Operátor se zavazuje zahájit poskytování dohodnutých služeb dle čl. II. této </w:t>
      </w:r>
      <w:r w:rsidRPr="00FF7DB1">
        <w:t xml:space="preserve">smlouvy do </w:t>
      </w:r>
      <w:r w:rsidR="00E65113">
        <w:t>1.3.2025</w:t>
      </w:r>
      <w:r>
        <w:t>,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068AF0FE" w:rsidR="00957B43" w:rsidRPr="007C0A85" w:rsidRDefault="007C0A85">
      <w:pPr>
        <w:pStyle w:val="Zkladntextodsazen-slo"/>
        <w:numPr>
          <w:ilvl w:val="2"/>
          <w:numId w:val="5"/>
        </w:numPr>
        <w:tabs>
          <w:tab w:val="num" w:pos="284"/>
        </w:tabs>
        <w:spacing w:after="120"/>
        <w:ind w:left="284"/>
        <w:outlineLvl w:val="9"/>
      </w:pPr>
      <w:r w:rsidRPr="007C0A85">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 vůči splnění povinnosti uhradit vyúčtovanou cenu</w:t>
      </w:r>
      <w:r w:rsidR="00BC6384" w:rsidRPr="007C0A85">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374CFED4" w:rsidR="00707257" w:rsidRPr="00CE7733" w:rsidRDefault="00707257" w:rsidP="00CE7733">
      <w:pPr>
        <w:pStyle w:val="Zkladntextodsazen-slo"/>
        <w:tabs>
          <w:tab w:val="clear" w:pos="284"/>
          <w:tab w:val="num" w:pos="425"/>
        </w:tabs>
        <w:spacing w:after="120"/>
        <w:ind w:firstLine="0"/>
        <w:jc w:val="center"/>
        <w:outlineLvl w:val="9"/>
        <w:rPr>
          <w:b/>
          <w:bCs/>
        </w:rPr>
      </w:pPr>
      <w:r w:rsidRPr="00B35725">
        <w:rPr>
          <w:b/>
          <w:bCs/>
        </w:rPr>
        <w:t xml:space="preserve">Telefon: </w:t>
      </w:r>
      <w:r w:rsidR="00B70078">
        <w:rPr>
          <w:b/>
          <w:bCs/>
        </w:rPr>
        <w:t>xxx</w:t>
      </w:r>
      <w:r w:rsidRPr="00B35725">
        <w:rPr>
          <w:b/>
          <w:bCs/>
        </w:rPr>
        <w:t xml:space="preserve">                E-mail: </w:t>
      </w:r>
      <w:r w:rsidR="00B70078">
        <w:rPr>
          <w:b/>
          <w:bCs/>
          <w:color w:val="000000"/>
        </w:rPr>
        <w:t>xxx</w:t>
      </w:r>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50CE8FE8" w14:textId="77777777" w:rsidR="00B70078" w:rsidRDefault="00FF7DB1" w:rsidP="00B70078">
      <w:pPr>
        <w:pStyle w:val="Zkladntextodsazen-slo"/>
        <w:tabs>
          <w:tab w:val="num" w:pos="425"/>
        </w:tabs>
        <w:spacing w:after="120"/>
        <w:jc w:val="center"/>
        <w:rPr>
          <w:b/>
          <w:bCs/>
        </w:rPr>
      </w:pPr>
      <w:r w:rsidRPr="00B35725">
        <w:rPr>
          <w:b/>
          <w:bCs/>
        </w:rPr>
        <w:t>Telefon</w:t>
      </w:r>
      <w:r w:rsidRPr="00E60C15">
        <w:rPr>
          <w:b/>
          <w:bCs/>
        </w:rPr>
        <w:t xml:space="preserve">: </w:t>
      </w:r>
      <w:r w:rsidR="00B70078">
        <w:rPr>
          <w:b/>
          <w:bCs/>
        </w:rPr>
        <w:t>xxx</w:t>
      </w:r>
      <w:r w:rsidRPr="00E60C15">
        <w:rPr>
          <w:b/>
          <w:bCs/>
        </w:rPr>
        <w:t xml:space="preserve">  </w:t>
      </w:r>
      <w:r w:rsidR="00E60C15">
        <w:rPr>
          <w:b/>
          <w:bCs/>
        </w:rPr>
        <w:t xml:space="preserve">         </w:t>
      </w:r>
      <w:r w:rsidRPr="00E60C15">
        <w:rPr>
          <w:b/>
          <w:bCs/>
        </w:rPr>
        <w:t xml:space="preserve">E-mail: </w:t>
      </w:r>
      <w:r w:rsidR="00B70078">
        <w:rPr>
          <w:b/>
          <w:bCs/>
        </w:rPr>
        <w:t>xxx</w:t>
      </w:r>
    </w:p>
    <w:p w14:paraId="419AB83B" w14:textId="491D0388" w:rsidR="00E60C15" w:rsidRPr="00E60C15" w:rsidRDefault="00B70078" w:rsidP="00B70078">
      <w:pPr>
        <w:pStyle w:val="Zkladntextodsazen-slo"/>
        <w:tabs>
          <w:tab w:val="num" w:pos="425"/>
        </w:tabs>
        <w:spacing w:after="120"/>
        <w:jc w:val="center"/>
        <w:rPr>
          <w:b/>
          <w:bCs/>
        </w:rPr>
      </w:pPr>
      <w:r>
        <w:rPr>
          <w:b/>
          <w:bCs/>
        </w:rPr>
        <w:t xml:space="preserve">                                               xxx</w:t>
      </w:r>
    </w:p>
    <w:p w14:paraId="7EFA8B3C" w14:textId="08E398F6"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r w:rsidR="00B70078">
        <w:rPr>
          <w:b/>
          <w:bCs/>
        </w:rPr>
        <w:t>xxx</w:t>
      </w:r>
      <w:r>
        <w:t>.</w:t>
      </w:r>
    </w:p>
    <w:p w14:paraId="292781A4" w14:textId="6BA53669" w:rsidR="003E529C" w:rsidRDefault="003E529C" w:rsidP="003E529C">
      <w:pPr>
        <w:pStyle w:val="Zkladntextodsazen-slo"/>
        <w:tabs>
          <w:tab w:val="clear" w:pos="284"/>
          <w:tab w:val="num" w:pos="425"/>
        </w:tabs>
        <w:spacing w:after="120"/>
        <w:ind w:firstLine="0"/>
        <w:outlineLvl w:val="9"/>
      </w:pPr>
      <w:r>
        <w:lastRenderedPageBreak/>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24778AC8"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w:t>
      </w:r>
      <w:r w:rsidRPr="00FF7DB1">
        <w:t xml:space="preserve">smlouvy, až se tato smlouva stane smlouvou uzavřenou na dobu neurčitou, tj. okamžikem </w:t>
      </w:r>
      <w:r w:rsidRPr="00E65113">
        <w:t xml:space="preserve">uplynutí </w:t>
      </w:r>
      <w:r w:rsidR="00E65113" w:rsidRPr="00E65113">
        <w:t>12</w:t>
      </w:r>
      <w:r w:rsidRPr="00E65113">
        <w:t xml:space="preserve"> měsíců ode dne </w:t>
      </w:r>
      <w:r w:rsidR="00FF7DB1" w:rsidRPr="00E65113">
        <w:t>1.</w:t>
      </w:r>
      <w:r w:rsidR="00E65113" w:rsidRPr="00E65113">
        <w:t>3</w:t>
      </w:r>
      <w:r w:rsidR="00FF7DB1" w:rsidRPr="00E65113">
        <w:t>.202</w:t>
      </w:r>
      <w:r w:rsidR="00E65113" w:rsidRPr="00E65113">
        <w:t>5</w:t>
      </w:r>
      <w:r w:rsidRPr="00E65113">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41D8D8C1" w:rsidR="00100F66" w:rsidRDefault="00100F66">
      <w:pPr>
        <w:pStyle w:val="Zkladntextodsazen-slo"/>
        <w:numPr>
          <w:ilvl w:val="2"/>
          <w:numId w:val="5"/>
        </w:numPr>
        <w:tabs>
          <w:tab w:val="num" w:pos="284"/>
        </w:tabs>
        <w:spacing w:after="120"/>
        <w:ind w:left="284"/>
        <w:outlineLvl w:val="9"/>
      </w:pPr>
      <w:r w:rsidRPr="0077523C">
        <w:t>Nedílnou součástí této smlouvy jsou Obchodní podmínky OVANET a.s. ze dne 1.</w:t>
      </w:r>
      <w:r w:rsidR="00B75908">
        <w:t>7</w:t>
      </w:r>
      <w:r w:rsidRPr="0077523C">
        <w:t>.202</w:t>
      </w:r>
      <w:r w:rsidR="00B75908">
        <w:t>4</w:t>
      </w:r>
      <w:r w:rsidRPr="0077523C">
        <w:t xml:space="preserve"> a Specifikace OVANET CITY BUSINESS SMALL a PLUS (dále jen “Specifikace“), které jsou zveřejněny </w:t>
      </w:r>
      <w:r w:rsidR="00E65113">
        <w:t xml:space="preserve">                                 </w:t>
      </w:r>
      <w:r w:rsidRPr="0077523C">
        <w:t xml:space="preserve">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rsidR="00E65113">
        <w:t xml:space="preserve">                            </w:t>
      </w:r>
      <w:r>
        <w:t xml:space="preserve">a Specifikace </w:t>
      </w:r>
      <w:r w:rsidRPr="00C75E2C">
        <w:t>známé, neboť se s nimi na shora uvedené webové adrese operátora seznámil před podpisem této smlouvy a s jejich obsahem bez výhrad souhlasí</w:t>
      </w:r>
      <w:r>
        <w:t>.</w:t>
      </w:r>
    </w:p>
    <w:p w14:paraId="58D0917A" w14:textId="71BD3D94" w:rsidR="00B75908" w:rsidRDefault="00B75908">
      <w:pPr>
        <w:pStyle w:val="Zkladntextodsazen-slo"/>
        <w:numPr>
          <w:ilvl w:val="2"/>
          <w:numId w:val="5"/>
        </w:numPr>
        <w:tabs>
          <w:tab w:val="num" w:pos="284"/>
        </w:tabs>
        <w:spacing w:after="120"/>
        <w:ind w:left="284"/>
        <w:outlineLvl w:val="9"/>
      </w:pPr>
      <w:bookmarkStart w:id="4" w:name="_Hlk170987422"/>
      <w:r>
        <w:t>Podmínky</w:t>
      </w:r>
      <w:r w:rsidR="00EF1925">
        <w:t>,</w:t>
      </w:r>
      <w:r>
        <w:t xml:space="preserve"> jakými OVANET plní Nařízení EU 2022/2065 o jednotném trhu digitálních služeb a o změně směrnice 2000/31/ES (nařízení o digitálních službách DSA), jsou uvedeny v P</w:t>
      </w:r>
      <w:r>
        <w:rPr>
          <w:u w:val="single"/>
        </w:rPr>
        <w:t xml:space="preserve">odmínkách společnosti OVANET a.s. jako poskytovatele zprostředkovatelských a hostingových služeb, uvedených na internetových stránkách naší společnosti </w:t>
      </w:r>
      <w:r w:rsidRPr="00B75908">
        <w:rPr>
          <w:u w:val="single"/>
        </w:rPr>
        <w:t>www.ovanet.cz</w:t>
      </w:r>
      <w:r>
        <w:rPr>
          <w:u w:val="single"/>
        </w:rPr>
        <w:t xml:space="preserve">. </w:t>
      </w:r>
      <w:r>
        <w:t>Tyto podmínky jsou nedílnou součástí všech smluv o poskytování služeb elektronických komunikací, uzavřených se společností OVANET. Dle tohoto Nařízení můžeme například při zjištění nezákonného obsahu, nebo porušení smluvních podmínek přistoupit k jeho moderování</w:t>
      </w:r>
      <w:r>
        <w:rPr>
          <w:b/>
          <w:bCs/>
        </w:rPr>
        <w:t>, </w:t>
      </w:r>
      <w:r>
        <w:t xml:space="preserve">včetně přijetí opatření, která mají dopad na dostupnost, viditelnost a přístupnost takového nezákonného obsahu či informací, znemožnění přístupu k nezákonnému obsahu, nebo informacím či jejich odstranění, anebo opatření, která ovlivňují schopnost příjemců služby poskytovat tyto informace, jako je zrušení či pozastavení účtu příjemce, případně k dalším omezením, </w:t>
      </w:r>
      <w:r w:rsidR="00E65113">
        <w:t xml:space="preserve">              </w:t>
      </w:r>
      <w:r>
        <w:t>či k ukončení poskytování služby, způsobem uvedeným ve výše uvedených Podmínkách</w:t>
      </w:r>
      <w:r w:rsidR="00AE181B">
        <w:t>.</w:t>
      </w:r>
    </w:p>
    <w:bookmarkEnd w:id="4"/>
    <w:p w14:paraId="6E0FF725" w14:textId="725C8B68" w:rsidR="00100F66" w:rsidRPr="00E65113" w:rsidRDefault="00100F66">
      <w:pPr>
        <w:pStyle w:val="Zkladntextodsazen-slo"/>
        <w:numPr>
          <w:ilvl w:val="2"/>
          <w:numId w:val="5"/>
        </w:numPr>
        <w:tabs>
          <w:tab w:val="num" w:pos="284"/>
        </w:tabs>
        <w:spacing w:after="120"/>
        <w:ind w:left="284"/>
        <w:outlineLvl w:val="9"/>
      </w:pPr>
      <w:r w:rsidRPr="00E65113">
        <w:t xml:space="preserve">Nedílnou součástí této smlouvy je rovněž </w:t>
      </w:r>
      <w:r w:rsidRPr="00E65113">
        <w:rPr>
          <w:b/>
        </w:rPr>
        <w:t>Příloha č. 1</w:t>
      </w:r>
      <w:r w:rsidRPr="00E65113">
        <w:t xml:space="preserve"> – Ceník služeb.</w:t>
      </w:r>
    </w:p>
    <w:p w14:paraId="635D1608" w14:textId="03F0467D" w:rsidR="00100F66" w:rsidRPr="00E65113" w:rsidRDefault="00301959">
      <w:pPr>
        <w:pStyle w:val="Zkladntextodsazen-slo"/>
        <w:numPr>
          <w:ilvl w:val="2"/>
          <w:numId w:val="5"/>
        </w:numPr>
        <w:tabs>
          <w:tab w:val="num" w:pos="284"/>
        </w:tabs>
        <w:spacing w:after="120"/>
        <w:ind w:left="284"/>
        <w:outlineLvl w:val="9"/>
      </w:pPr>
      <w:r w:rsidRPr="00E65113">
        <w:t>Tato smlouva je uzavřena v elektronické podobě.</w:t>
      </w:r>
    </w:p>
    <w:p w14:paraId="1572B8F2" w14:textId="14EA2BBB" w:rsidR="00100F66" w:rsidRPr="00E65113" w:rsidRDefault="00100F66">
      <w:pPr>
        <w:pStyle w:val="Zkladntextodsazen-slo"/>
        <w:numPr>
          <w:ilvl w:val="2"/>
          <w:numId w:val="5"/>
        </w:numPr>
        <w:tabs>
          <w:tab w:val="num" w:pos="284"/>
        </w:tabs>
        <w:spacing w:after="120"/>
        <w:ind w:left="284"/>
        <w:outlineLvl w:val="9"/>
      </w:pPr>
      <w:r w:rsidRPr="00E65113">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647C8F05" w14:textId="2E482964" w:rsidR="00100F66" w:rsidRDefault="00100F66">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27DC6842" w14:textId="77777777" w:rsidR="00840605" w:rsidRDefault="00840605" w:rsidP="00A9159D">
      <w:pPr>
        <w:ind w:firstLine="284"/>
        <w:jc w:val="both"/>
        <w:rPr>
          <w:i/>
          <w:iCs/>
        </w:rPr>
      </w:pPr>
    </w:p>
    <w:p w14:paraId="6D7829EF" w14:textId="77777777" w:rsidR="00840605" w:rsidRPr="00A9159D" w:rsidRDefault="00840605" w:rsidP="00A9159D">
      <w:pPr>
        <w:ind w:firstLine="284"/>
        <w:jc w:val="both"/>
        <w:rPr>
          <w:i/>
          <w:iCs/>
        </w:rPr>
      </w:pPr>
    </w:p>
    <w:p w14:paraId="2930860B" w14:textId="77777777" w:rsidR="00957B43" w:rsidRDefault="00957B43">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61A98A4F" w14:textId="77777777">
        <w:trPr>
          <w:trHeight w:val="851"/>
        </w:trPr>
        <w:tc>
          <w:tcPr>
            <w:tcW w:w="2410" w:type="dxa"/>
            <w:tcBorders>
              <w:top w:val="nil"/>
              <w:bottom w:val="single" w:sz="4" w:space="0" w:color="auto"/>
            </w:tcBorders>
            <w:shd w:val="clear" w:color="auto" w:fill="auto"/>
          </w:tcPr>
          <w:p w14:paraId="59622130"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C0B2AB7"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18834A64"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37271C4"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5F19961"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04D0C3A4" w14:textId="77777777" w:rsidR="00E65113" w:rsidRDefault="00E65113">
            <w:pPr>
              <w:tabs>
                <w:tab w:val="left" w:pos="0"/>
                <w:tab w:val="left" w:leader="underscore" w:pos="4706"/>
                <w:tab w:val="left" w:pos="4990"/>
                <w:tab w:val="left" w:leader="underscore" w:pos="9639"/>
              </w:tabs>
              <w:rPr>
                <w:rFonts w:ascii="Times New Roman" w:eastAsia="Calibri" w:hAnsi="Times New Roman"/>
                <w:sz w:val="22"/>
                <w:szCs w:val="22"/>
              </w:rPr>
            </w:pPr>
          </w:p>
          <w:p w14:paraId="629F8C4D" w14:textId="77777777" w:rsidR="00E65113" w:rsidRDefault="00E65113">
            <w:pPr>
              <w:tabs>
                <w:tab w:val="left" w:pos="0"/>
                <w:tab w:val="left" w:leader="underscore" w:pos="4706"/>
                <w:tab w:val="left" w:pos="4990"/>
                <w:tab w:val="left" w:leader="underscore" w:pos="9639"/>
              </w:tabs>
              <w:rPr>
                <w:rFonts w:ascii="Times New Roman" w:eastAsia="Calibri" w:hAnsi="Times New Roman"/>
                <w:sz w:val="22"/>
                <w:szCs w:val="22"/>
              </w:rPr>
            </w:pPr>
          </w:p>
          <w:p w14:paraId="445A06AF" w14:textId="77777777" w:rsidR="00E65113" w:rsidRDefault="00E65113">
            <w:pPr>
              <w:tabs>
                <w:tab w:val="left" w:pos="0"/>
                <w:tab w:val="left" w:leader="underscore" w:pos="4706"/>
                <w:tab w:val="left" w:pos="4990"/>
                <w:tab w:val="left" w:leader="underscore" w:pos="9639"/>
              </w:tabs>
              <w:rPr>
                <w:rFonts w:ascii="Times New Roman" w:eastAsia="Calibri" w:hAnsi="Times New Roman"/>
                <w:sz w:val="22"/>
                <w:szCs w:val="22"/>
              </w:rPr>
            </w:pPr>
          </w:p>
          <w:p w14:paraId="53857768" w14:textId="77777777" w:rsidR="00E65113" w:rsidRDefault="00E6511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rsidTr="00781D44">
        <w:tc>
          <w:tcPr>
            <w:tcW w:w="4664" w:type="dxa"/>
            <w:gridSpan w:val="2"/>
            <w:tcBorders>
              <w:top w:val="single" w:sz="4" w:space="0" w:color="auto"/>
              <w:bottom w:val="nil"/>
            </w:tcBorders>
            <w:shd w:val="clear" w:color="auto" w:fill="auto"/>
          </w:tcPr>
          <w:p w14:paraId="402BD84F" w14:textId="73F26958"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D64976">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11D16570" w:rsidR="00957B43" w:rsidRPr="00E65113" w:rsidRDefault="00E65113">
            <w:pPr>
              <w:tabs>
                <w:tab w:val="left" w:pos="0"/>
                <w:tab w:val="left" w:leader="underscore" w:pos="4706"/>
                <w:tab w:val="left" w:pos="4990"/>
                <w:tab w:val="left" w:leader="underscore" w:pos="9639"/>
              </w:tabs>
              <w:spacing w:before="60"/>
              <w:rPr>
                <w:rFonts w:ascii="Times New Roman" w:eastAsia="Calibri" w:hAnsi="Times New Roman"/>
                <w:b/>
                <w:bCs/>
                <w:sz w:val="22"/>
                <w:szCs w:val="22"/>
              </w:rPr>
            </w:pPr>
            <w:r w:rsidRPr="00E65113">
              <w:rPr>
                <w:rFonts w:ascii="Times New Roman" w:eastAsia="Calibri" w:hAnsi="Times New Roman"/>
                <w:b/>
                <w:bCs/>
                <w:sz w:val="22"/>
                <w:szCs w:val="22"/>
              </w:rPr>
              <w:t>Giovanni Accrogliano</w:t>
            </w:r>
          </w:p>
        </w:tc>
      </w:tr>
      <w:tr w:rsidR="00957B43" w14:paraId="2379BA8C" w14:textId="77777777" w:rsidTr="00301959">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2FD79EE2" w:rsidR="00957B43" w:rsidRDefault="00E65113">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p>
        </w:tc>
      </w:tr>
      <w:tr w:rsidR="00301959" w14:paraId="085E6245" w14:textId="77777777" w:rsidTr="00781D44">
        <w:tc>
          <w:tcPr>
            <w:tcW w:w="4664" w:type="dxa"/>
            <w:gridSpan w:val="2"/>
            <w:tcBorders>
              <w:top w:val="nil"/>
              <w:bottom w:val="nil"/>
            </w:tcBorders>
            <w:shd w:val="clear" w:color="auto" w:fill="auto"/>
          </w:tcPr>
          <w:p w14:paraId="0C85127A" w14:textId="07EFC14C"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„PODEPSÁNO ELEKTRONICKY“</w:t>
            </w:r>
          </w:p>
        </w:tc>
        <w:tc>
          <w:tcPr>
            <w:tcW w:w="280" w:type="dxa"/>
            <w:tcBorders>
              <w:bottom w:val="nil"/>
            </w:tcBorders>
            <w:shd w:val="clear" w:color="auto" w:fill="auto"/>
          </w:tcPr>
          <w:p w14:paraId="682285A5" w14:textId="77777777" w:rsidR="00301959" w:rsidRDefault="00301959" w:rsidP="00301959">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0F6DF50B" w14:textId="13D73E21"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„PODEPSÁNO ELEKTRONICKY“</w:t>
            </w:r>
          </w:p>
        </w:tc>
      </w:tr>
    </w:tbl>
    <w:p w14:paraId="1267FF86" w14:textId="1C60CDDA"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E5714B">
        <w:rPr>
          <w:b/>
          <w:bCs/>
          <w:sz w:val="22"/>
          <w:szCs w:val="22"/>
        </w:rPr>
        <w:t>SO/202</w:t>
      </w:r>
      <w:r w:rsidR="00E65113" w:rsidRPr="00E5714B">
        <w:rPr>
          <w:b/>
          <w:bCs/>
          <w:sz w:val="22"/>
          <w:szCs w:val="22"/>
        </w:rPr>
        <w:t>5</w:t>
      </w:r>
      <w:r w:rsidR="00E5714B" w:rsidRPr="00E5714B">
        <w:rPr>
          <w:b/>
          <w:bCs/>
          <w:sz w:val="22"/>
          <w:szCs w:val="22"/>
        </w:rPr>
        <w:t>0007</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00F66" w:rsidRPr="00922965" w14:paraId="2D2F9C3E" w14:textId="77777777" w:rsidTr="00342249">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342249">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922965" w:rsidRDefault="00100F66" w:rsidP="00342249">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Internet Business Plus</w:t>
            </w:r>
          </w:p>
          <w:p w14:paraId="29FDCD6C" w14:textId="05EB7906" w:rsidR="00100F66" w:rsidRPr="00E65113" w:rsidRDefault="008A469A"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x</w:t>
            </w:r>
            <w:r w:rsidR="00E65113" w:rsidRPr="00E65113">
              <w:rPr>
                <w:rFonts w:ascii="Times New Roman" w:hAnsi="Times New Roman"/>
                <w:sz w:val="22"/>
                <w:szCs w:val="22"/>
              </w:rPr>
              <w:t xml:space="preserve"> Mbps, agregace </w:t>
            </w:r>
            <w:r>
              <w:rPr>
                <w:rFonts w:ascii="Times New Roman" w:hAnsi="Times New Roman"/>
                <w:sz w:val="22"/>
                <w:szCs w:val="22"/>
              </w:rPr>
              <w:t>X</w:t>
            </w:r>
            <w:r w:rsidR="00E65113" w:rsidRPr="00E65113">
              <w:rPr>
                <w:rFonts w:ascii="Times New Roman" w:hAnsi="Times New Roman"/>
                <w:sz w:val="22"/>
                <w:szCs w:val="22"/>
              </w:rPr>
              <w:t>:</w:t>
            </w:r>
            <w:r>
              <w:rPr>
                <w:rFonts w:ascii="Times New Roman" w:hAnsi="Times New Roman"/>
                <w:sz w:val="22"/>
                <w:szCs w:val="22"/>
              </w:rPr>
              <w:t>X</w:t>
            </w:r>
          </w:p>
          <w:p w14:paraId="7C044A96" w14:textId="4CC5FBEE" w:rsidR="00A2249D" w:rsidRDefault="00A2249D" w:rsidP="00342249">
            <w:pPr>
              <w:autoSpaceDE w:val="0"/>
              <w:autoSpaceDN w:val="0"/>
              <w:adjustRightInd w:val="0"/>
              <w:spacing w:line="288" w:lineRule="auto"/>
              <w:jc w:val="center"/>
              <w:rPr>
                <w:rFonts w:ascii="Times New Roman" w:hAnsi="Times New Roman"/>
                <w:sz w:val="22"/>
                <w:szCs w:val="22"/>
              </w:rPr>
            </w:pPr>
            <w:r w:rsidRPr="00E65113">
              <w:rPr>
                <w:rFonts w:ascii="Times New Roman" w:hAnsi="Times New Roman"/>
                <w:sz w:val="22"/>
                <w:szCs w:val="22"/>
              </w:rPr>
              <w:t xml:space="preserve">+ </w:t>
            </w:r>
            <w:r w:rsidR="008A469A">
              <w:rPr>
                <w:rFonts w:ascii="Times New Roman" w:hAnsi="Times New Roman"/>
                <w:sz w:val="22"/>
                <w:szCs w:val="22"/>
              </w:rPr>
              <w:t>X</w:t>
            </w:r>
            <w:r w:rsidRPr="00E65113">
              <w:rPr>
                <w:rFonts w:ascii="Times New Roman" w:hAnsi="Times New Roman"/>
                <w:sz w:val="22"/>
                <w:szCs w:val="22"/>
              </w:rPr>
              <w:t xml:space="preserve"> veřejná</w:t>
            </w:r>
            <w:r w:rsidR="00E65113" w:rsidRPr="00E65113">
              <w:rPr>
                <w:rFonts w:ascii="Times New Roman" w:hAnsi="Times New Roman"/>
                <w:sz w:val="22"/>
                <w:szCs w:val="22"/>
              </w:rPr>
              <w:t xml:space="preserve"> IP</w:t>
            </w:r>
            <w:r w:rsidRPr="00E65113">
              <w:rPr>
                <w:rFonts w:ascii="Times New Roman" w:hAnsi="Times New Roman"/>
                <w:sz w:val="22"/>
                <w:szCs w:val="22"/>
              </w:rPr>
              <w:t xml:space="preserve"> adresa</w:t>
            </w:r>
          </w:p>
          <w:p w14:paraId="3FB23577" w14:textId="374053E0" w:rsidR="00E565FE" w:rsidRPr="00301959" w:rsidRDefault="00E565FE" w:rsidP="008A469A">
            <w:pPr>
              <w:autoSpaceDE w:val="0"/>
              <w:autoSpaceDN w:val="0"/>
              <w:adjustRightInd w:val="0"/>
              <w:spacing w:line="288" w:lineRule="auto"/>
              <w:jc w:val="center"/>
              <w:rPr>
                <w:rFonts w:ascii="Times New Roman" w:hAnsi="Times New Roman"/>
                <w:i/>
                <w:iCs/>
                <w:sz w:val="22"/>
                <w:szCs w:val="22"/>
              </w:rPr>
            </w:pPr>
            <w:r>
              <w:rPr>
                <w:rFonts w:ascii="Times New Roman" w:hAnsi="Times New Roman"/>
                <w:i/>
                <w:iCs/>
                <w:sz w:val="22"/>
                <w:szCs w:val="22"/>
              </w:rPr>
              <w:t>(</w:t>
            </w:r>
            <w:r w:rsidR="008A469A">
              <w:rPr>
                <w:rFonts w:ascii="Times New Roman" w:hAnsi="Times New Roman"/>
                <w:i/>
                <w:iCs/>
                <w:sz w:val="22"/>
                <w:szCs w:val="22"/>
              </w:rPr>
              <w:t>xxx</w:t>
            </w:r>
            <w:r>
              <w:rPr>
                <w:rFonts w:ascii="Times New Roman" w:hAnsi="Times New Roman"/>
                <w:i/>
                <w:iCs/>
                <w:sz w:val="22"/>
                <w:szCs w:val="22"/>
              </w:rPr>
              <w:t>)</w:t>
            </w:r>
          </w:p>
        </w:tc>
        <w:tc>
          <w:tcPr>
            <w:tcW w:w="1953" w:type="dxa"/>
            <w:tcBorders>
              <w:top w:val="single" w:sz="4" w:space="0" w:color="auto"/>
              <w:left w:val="single" w:sz="4" w:space="0" w:color="auto"/>
              <w:right w:val="single" w:sz="4" w:space="0" w:color="auto"/>
            </w:tcBorders>
            <w:vAlign w:val="center"/>
          </w:tcPr>
          <w:p w14:paraId="32B9FC49" w14:textId="4C175A3B" w:rsidR="00100F66" w:rsidRPr="00922965" w:rsidRDefault="00E65113"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100F66" w:rsidRPr="00922965">
              <w:rPr>
                <w:rFonts w:ascii="Times New Roman" w:hAnsi="Times New Roman"/>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65C7891C" w:rsidR="00100F66" w:rsidRPr="00922965" w:rsidRDefault="005E0F72"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2 560</w:t>
            </w:r>
            <w:r w:rsidR="00100F66" w:rsidRPr="00922965">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sectPr w:rsidR="00100F66">
      <w:headerReference w:type="default" r:id="rId9"/>
      <w:footerReference w:type="default" r:id="rId1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E0960" w14:textId="77777777" w:rsidR="00B94834" w:rsidRDefault="00B94834">
      <w:r>
        <w:separator/>
      </w:r>
    </w:p>
  </w:endnote>
  <w:endnote w:type="continuationSeparator" w:id="0">
    <w:p w14:paraId="24B1086B" w14:textId="77777777" w:rsidR="00B94834" w:rsidRDefault="00B9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CA1B" w14:textId="2616AFDF"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sidR="00137436">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sidR="00137436">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0E672" w14:textId="77777777" w:rsidR="00B94834" w:rsidRDefault="00B94834">
      <w:r>
        <w:separator/>
      </w:r>
    </w:p>
  </w:footnote>
  <w:footnote w:type="continuationSeparator" w:id="0">
    <w:p w14:paraId="201D1770" w14:textId="77777777" w:rsidR="00B94834" w:rsidRDefault="00B94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20"/>
  </w:num>
  <w:num w:numId="2">
    <w:abstractNumId w:val="19"/>
  </w:num>
  <w:num w:numId="3">
    <w:abstractNumId w:val="5"/>
  </w:num>
  <w:num w:numId="4">
    <w:abstractNumId w:val="0"/>
  </w:num>
  <w:num w:numId="5">
    <w:abstractNumId w:val="26"/>
  </w:num>
  <w:num w:numId="6">
    <w:abstractNumId w:val="11"/>
  </w:num>
  <w:num w:numId="7">
    <w:abstractNumId w:val="18"/>
  </w:num>
  <w:num w:numId="8">
    <w:abstractNumId w:val="8"/>
  </w:num>
  <w:num w:numId="9">
    <w:abstractNumId w:val="14"/>
  </w:num>
  <w:num w:numId="10">
    <w:abstractNumId w:val="17"/>
  </w:num>
  <w:num w:numId="11">
    <w:abstractNumId w:val="27"/>
  </w:num>
  <w:num w:numId="12">
    <w:abstractNumId w:val="33"/>
  </w:num>
  <w:num w:numId="13">
    <w:abstractNumId w:val="7"/>
  </w:num>
  <w:num w:numId="14">
    <w:abstractNumId w:val="35"/>
  </w:num>
  <w:num w:numId="15">
    <w:abstractNumId w:val="24"/>
  </w:num>
  <w:num w:numId="16">
    <w:abstractNumId w:val="21"/>
  </w:num>
  <w:num w:numId="17">
    <w:abstractNumId w:val="23"/>
  </w:num>
  <w:num w:numId="18">
    <w:abstractNumId w:val="29"/>
  </w:num>
  <w:num w:numId="19">
    <w:abstractNumId w:val="15"/>
  </w:num>
  <w:num w:numId="20">
    <w:abstractNumId w:val="28"/>
  </w:num>
  <w:num w:numId="21">
    <w:abstractNumId w:val="31"/>
  </w:num>
  <w:num w:numId="22">
    <w:abstractNumId w:val="12"/>
  </w:num>
  <w:num w:numId="23">
    <w:abstractNumId w:val="25"/>
  </w:num>
  <w:num w:numId="24">
    <w:abstractNumId w:val="9"/>
  </w:num>
  <w:num w:numId="25">
    <w:abstractNumId w:val="6"/>
  </w:num>
  <w:num w:numId="26">
    <w:abstractNumId w:val="34"/>
  </w:num>
  <w:num w:numId="27">
    <w:abstractNumId w:val="13"/>
  </w:num>
  <w:num w:numId="28">
    <w:abstractNumId w:val="32"/>
  </w:num>
  <w:num w:numId="29">
    <w:abstractNumId w:val="16"/>
  </w:num>
  <w:num w:numId="30">
    <w:abstractNumId w:val="22"/>
  </w:num>
  <w:num w:numId="31">
    <w:abstractNumId w:val="3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43"/>
    <w:rsid w:val="00046E3C"/>
    <w:rsid w:val="000875B6"/>
    <w:rsid w:val="00092224"/>
    <w:rsid w:val="000E27DA"/>
    <w:rsid w:val="000E2821"/>
    <w:rsid w:val="00100F66"/>
    <w:rsid w:val="00137436"/>
    <w:rsid w:val="001B1E20"/>
    <w:rsid w:val="001C23FD"/>
    <w:rsid w:val="001C51E6"/>
    <w:rsid w:val="001C75D9"/>
    <w:rsid w:val="001D3094"/>
    <w:rsid w:val="00236560"/>
    <w:rsid w:val="00244AD8"/>
    <w:rsid w:val="00301959"/>
    <w:rsid w:val="0031477B"/>
    <w:rsid w:val="003251C4"/>
    <w:rsid w:val="00326131"/>
    <w:rsid w:val="00345F9C"/>
    <w:rsid w:val="00367868"/>
    <w:rsid w:val="00382224"/>
    <w:rsid w:val="003C7FAC"/>
    <w:rsid w:val="003E529C"/>
    <w:rsid w:val="003E78AA"/>
    <w:rsid w:val="0040238F"/>
    <w:rsid w:val="0042459E"/>
    <w:rsid w:val="00490C1F"/>
    <w:rsid w:val="00513B2B"/>
    <w:rsid w:val="005B239D"/>
    <w:rsid w:val="005E0F72"/>
    <w:rsid w:val="005E527B"/>
    <w:rsid w:val="0060005B"/>
    <w:rsid w:val="006014D4"/>
    <w:rsid w:val="006B737E"/>
    <w:rsid w:val="00707257"/>
    <w:rsid w:val="007201E8"/>
    <w:rsid w:val="0075145B"/>
    <w:rsid w:val="00781D44"/>
    <w:rsid w:val="007C0A85"/>
    <w:rsid w:val="007F730A"/>
    <w:rsid w:val="00840605"/>
    <w:rsid w:val="008A469A"/>
    <w:rsid w:val="008B4468"/>
    <w:rsid w:val="008B5CFC"/>
    <w:rsid w:val="009519F3"/>
    <w:rsid w:val="00957B43"/>
    <w:rsid w:val="009602B7"/>
    <w:rsid w:val="00965B94"/>
    <w:rsid w:val="009872BE"/>
    <w:rsid w:val="009B3C5B"/>
    <w:rsid w:val="009F244C"/>
    <w:rsid w:val="00A15838"/>
    <w:rsid w:val="00A2249D"/>
    <w:rsid w:val="00A25A31"/>
    <w:rsid w:val="00A57E9C"/>
    <w:rsid w:val="00A9159D"/>
    <w:rsid w:val="00AC715F"/>
    <w:rsid w:val="00AE008F"/>
    <w:rsid w:val="00AE181B"/>
    <w:rsid w:val="00B70078"/>
    <w:rsid w:val="00B75908"/>
    <w:rsid w:val="00B94834"/>
    <w:rsid w:val="00BC360C"/>
    <w:rsid w:val="00BC6384"/>
    <w:rsid w:val="00BC7EF0"/>
    <w:rsid w:val="00BD0BAD"/>
    <w:rsid w:val="00BF4F32"/>
    <w:rsid w:val="00C1498B"/>
    <w:rsid w:val="00C30B67"/>
    <w:rsid w:val="00C6277A"/>
    <w:rsid w:val="00C7491F"/>
    <w:rsid w:val="00C87502"/>
    <w:rsid w:val="00CE0E74"/>
    <w:rsid w:val="00CE7733"/>
    <w:rsid w:val="00D456D4"/>
    <w:rsid w:val="00D64976"/>
    <w:rsid w:val="00DC001E"/>
    <w:rsid w:val="00DC2BC3"/>
    <w:rsid w:val="00E26292"/>
    <w:rsid w:val="00E37313"/>
    <w:rsid w:val="00E565FE"/>
    <w:rsid w:val="00E5714B"/>
    <w:rsid w:val="00E60C15"/>
    <w:rsid w:val="00E65113"/>
    <w:rsid w:val="00E71FC9"/>
    <w:rsid w:val="00E94E5D"/>
    <w:rsid w:val="00EB5965"/>
    <w:rsid w:val="00EF1925"/>
    <w:rsid w:val="00F437C7"/>
    <w:rsid w:val="00F82C48"/>
    <w:rsid w:val="00FB253B"/>
    <w:rsid w:val="00FF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ui-provider">
    <w:name w:val="ui-provider"/>
    <w:basedOn w:val="Standardnpsmoodstavce"/>
    <w:rsid w:val="00046E3C"/>
  </w:style>
  <w:style w:type="character" w:customStyle="1" w:styleId="UnresolvedMention">
    <w:name w:val="Unresolved Mention"/>
    <w:basedOn w:val="Standardnpsmoodstavce"/>
    <w:uiPriority w:val="99"/>
    <w:semiHidden/>
    <w:unhideWhenUsed/>
    <w:rsid w:val="00E65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1FFCE-1BAF-4E61-A627-8D2C109A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3103</Words>
  <Characters>18314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2</cp:revision>
  <dcterms:created xsi:type="dcterms:W3CDTF">2025-02-26T14:09:00Z</dcterms:created>
  <dcterms:modified xsi:type="dcterms:W3CDTF">2025-02-26T14:09:00Z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