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BAD8" w14:textId="77777777" w:rsidR="006D572C" w:rsidRPr="00CD4857" w:rsidRDefault="006D572C" w:rsidP="00FC29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32"/>
          <w:lang w:eastAsia="en-US"/>
        </w:rPr>
      </w:pPr>
      <w:r w:rsidRPr="00CD4857">
        <w:rPr>
          <w:rFonts w:eastAsia="Calibri"/>
          <w:b/>
          <w:bCs/>
          <w:sz w:val="32"/>
          <w:lang w:eastAsia="en-US"/>
        </w:rPr>
        <w:t>Dodatek č. 1</w:t>
      </w:r>
    </w:p>
    <w:p w14:paraId="0D6CEC50" w14:textId="22BF639E" w:rsidR="00825DBA" w:rsidRPr="009F7A24" w:rsidRDefault="00434FF6" w:rsidP="009F7A2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9F7A24">
        <w:rPr>
          <w:rFonts w:eastAsia="Calibri"/>
          <w:b/>
          <w:bCs/>
          <w:szCs w:val="20"/>
          <w:lang w:eastAsia="en-US"/>
        </w:rPr>
        <w:t xml:space="preserve">ke smlouvě </w:t>
      </w:r>
      <w:r w:rsidR="00B201AE" w:rsidRPr="009F7A24">
        <w:rPr>
          <w:rFonts w:eastAsia="Calibri"/>
          <w:b/>
          <w:bCs/>
          <w:szCs w:val="20"/>
          <w:lang w:eastAsia="en-US"/>
        </w:rPr>
        <w:t>o údržbě aplikačního software</w:t>
      </w:r>
      <w:r w:rsidR="006E6140" w:rsidRPr="009F7A24">
        <w:rPr>
          <w:rFonts w:eastAsia="Calibri"/>
          <w:b/>
          <w:bCs/>
          <w:szCs w:val="20"/>
          <w:lang w:eastAsia="en-US"/>
        </w:rPr>
        <w:t xml:space="preserve"> </w:t>
      </w:r>
      <w:r w:rsidR="00B201AE" w:rsidRPr="009F7A24">
        <w:rPr>
          <w:rFonts w:eastAsia="Calibri"/>
          <w:b/>
          <w:bCs/>
          <w:szCs w:val="20"/>
          <w:lang w:eastAsia="en-US"/>
        </w:rPr>
        <w:t xml:space="preserve">a technické pomoci </w:t>
      </w:r>
      <w:r w:rsidR="00825DBA" w:rsidRPr="009F7A24">
        <w:rPr>
          <w:rFonts w:eastAsia="Calibri"/>
          <w:b/>
          <w:bCs/>
          <w:szCs w:val="20"/>
          <w:lang w:eastAsia="en-US"/>
        </w:rPr>
        <w:t xml:space="preserve">ze dne </w:t>
      </w:r>
      <w:r w:rsidR="00B201AE" w:rsidRPr="009F7A24">
        <w:rPr>
          <w:rFonts w:eastAsia="Calibri"/>
          <w:b/>
          <w:bCs/>
          <w:szCs w:val="20"/>
          <w:lang w:eastAsia="en-US"/>
        </w:rPr>
        <w:t>28. 12. 2018</w:t>
      </w:r>
    </w:p>
    <w:p w14:paraId="26B2838B" w14:textId="77777777" w:rsidR="00386C72" w:rsidRPr="00CD4857" w:rsidRDefault="00386C72" w:rsidP="00FC29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uzavřené dle </w:t>
      </w:r>
      <w:proofErr w:type="spellStart"/>
      <w:r w:rsidRPr="00CD4857">
        <w:rPr>
          <w:rFonts w:eastAsia="Calibri"/>
          <w:lang w:eastAsia="en-US"/>
        </w:rPr>
        <w:t>ust</w:t>
      </w:r>
      <w:proofErr w:type="spellEnd"/>
      <w:r w:rsidRPr="00CD4857">
        <w:rPr>
          <w:rFonts w:eastAsia="Calibri"/>
          <w:lang w:eastAsia="en-US"/>
        </w:rPr>
        <w:t>. § 2586 a násl. zákona č. 89/2012 Sb., občanský zákoník</w:t>
      </w:r>
    </w:p>
    <w:p w14:paraId="3A949745" w14:textId="77777777" w:rsidR="009F7A24" w:rsidRDefault="009F7A24" w:rsidP="00FC29DE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5D74A3A8" w14:textId="57A39B95" w:rsidR="00694F41" w:rsidRPr="00CD4857" w:rsidRDefault="00694F41" w:rsidP="00FC29DE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Smluvní strany:</w:t>
      </w:r>
    </w:p>
    <w:p w14:paraId="3ACCB7A5" w14:textId="2336B242" w:rsidR="00B222BC" w:rsidRPr="00CD4857" w:rsidRDefault="005F6A82" w:rsidP="00B222BC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P</w:t>
      </w:r>
      <w:r w:rsidRPr="005F6A82">
        <w:rPr>
          <w:rFonts w:eastAsia="Calibri"/>
          <w:b/>
          <w:bCs/>
          <w:lang w:eastAsia="en-US"/>
        </w:rPr>
        <w:t>oskytovatel</w:t>
      </w:r>
      <w:r w:rsidR="00B222BC" w:rsidRPr="00CD4857">
        <w:rPr>
          <w:rFonts w:eastAsia="Calibri"/>
          <w:b/>
          <w:lang w:eastAsia="en-US"/>
        </w:rPr>
        <w:t>:</w:t>
      </w:r>
      <w:r w:rsidR="00B222BC" w:rsidRPr="00CD4857">
        <w:rPr>
          <w:rFonts w:eastAsia="Calibri"/>
          <w:b/>
          <w:lang w:eastAsia="en-US"/>
        </w:rPr>
        <w:tab/>
      </w:r>
      <w:r w:rsidR="00B222BC" w:rsidRPr="00CD4857">
        <w:rPr>
          <w:rFonts w:eastAsia="Calibri"/>
          <w:b/>
          <w:lang w:eastAsia="en-US"/>
        </w:rPr>
        <w:tab/>
      </w:r>
      <w:r w:rsidR="00B222BC" w:rsidRPr="00CD4857">
        <w:rPr>
          <w:rFonts w:eastAsia="Calibri"/>
          <w:b/>
          <w:lang w:eastAsia="en-US"/>
        </w:rPr>
        <w:tab/>
      </w:r>
      <w:proofErr w:type="spellStart"/>
      <w:r w:rsidR="00B222BC" w:rsidRPr="00B222BC">
        <w:rPr>
          <w:rFonts w:eastAsia="Calibri"/>
          <w:b/>
          <w:bCs/>
          <w:sz w:val="28"/>
          <w:szCs w:val="28"/>
          <w:lang w:eastAsia="en-US"/>
        </w:rPr>
        <w:t>HIPPO</w:t>
      </w:r>
      <w:proofErr w:type="spellEnd"/>
      <w:r w:rsidR="00B222BC" w:rsidRPr="00B222BC">
        <w:rPr>
          <w:rFonts w:eastAsia="Calibri"/>
          <w:b/>
          <w:bCs/>
          <w:sz w:val="28"/>
          <w:szCs w:val="28"/>
          <w:lang w:eastAsia="en-US"/>
        </w:rPr>
        <w:t>, spol. s r.o.</w:t>
      </w:r>
      <w:r w:rsidR="00B222BC" w:rsidRPr="00CD4857">
        <w:rPr>
          <w:rFonts w:eastAsia="Calibri"/>
          <w:b/>
          <w:bCs/>
          <w:sz w:val="28"/>
          <w:szCs w:val="28"/>
          <w:lang w:eastAsia="en-US"/>
        </w:rPr>
        <w:tab/>
      </w:r>
      <w:r w:rsidR="00B222BC" w:rsidRPr="00CD4857">
        <w:rPr>
          <w:rFonts w:eastAsia="Calibri"/>
          <w:b/>
          <w:bCs/>
          <w:lang w:eastAsia="en-US"/>
        </w:rPr>
        <w:tab/>
      </w:r>
      <w:r w:rsidR="00B222BC" w:rsidRPr="00CD4857">
        <w:rPr>
          <w:rFonts w:eastAsia="Calibri"/>
          <w:lang w:eastAsia="en-US"/>
        </w:rPr>
        <w:t xml:space="preserve"> </w:t>
      </w:r>
    </w:p>
    <w:p w14:paraId="5AAE050A" w14:textId="77777777" w:rsidR="00B222BC" w:rsidRDefault="00B222BC" w:rsidP="00B222B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CD4857">
        <w:rPr>
          <w:rFonts w:eastAsia="Calibri"/>
          <w:color w:val="000000"/>
          <w:lang w:eastAsia="en-US"/>
        </w:rPr>
        <w:t>sídlo:</w:t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B222BC">
        <w:rPr>
          <w:rFonts w:eastAsia="Calibri"/>
          <w:color w:val="000000"/>
          <w:lang w:eastAsia="en-US"/>
        </w:rPr>
        <w:t>Žabovřeská 72/12, Pisárky, 603 00 Brno</w:t>
      </w:r>
    </w:p>
    <w:p w14:paraId="61043124" w14:textId="77777777" w:rsidR="00B222BC" w:rsidRPr="00CD4857" w:rsidRDefault="00B222BC" w:rsidP="00B222B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proofErr w:type="gramStart"/>
      <w:r w:rsidRPr="00CD4857">
        <w:rPr>
          <w:rFonts w:eastAsia="Calibri"/>
          <w:color w:val="000000"/>
          <w:lang w:eastAsia="en-US"/>
        </w:rPr>
        <w:t xml:space="preserve">IČ:   </w:t>
      </w:r>
      <w:proofErr w:type="gramEnd"/>
      <w:r w:rsidRPr="00CD4857">
        <w:rPr>
          <w:rFonts w:eastAsia="Calibri"/>
          <w:color w:val="000000"/>
          <w:lang w:eastAsia="en-US"/>
        </w:rPr>
        <w:t xml:space="preserve">    </w:t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B222BC">
        <w:t>15528561</w:t>
      </w:r>
    </w:p>
    <w:p w14:paraId="78DE0A1E" w14:textId="77777777" w:rsidR="00B222BC" w:rsidRPr="00CD4857" w:rsidRDefault="00B222BC" w:rsidP="00B222BC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zastoupený: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B222BC">
        <w:rPr>
          <w:rFonts w:eastAsia="Calibri"/>
          <w:lang w:eastAsia="en-US"/>
        </w:rPr>
        <w:t>Ing. Petrem Hájkem, jednatelem</w:t>
      </w:r>
    </w:p>
    <w:p w14:paraId="79370B25" w14:textId="77777777" w:rsidR="00B222BC" w:rsidRPr="00CD4857" w:rsidRDefault="00B222BC" w:rsidP="00B222BC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(dále jako „</w:t>
      </w:r>
      <w:r w:rsidR="005F6A82" w:rsidRPr="009B13C9">
        <w:rPr>
          <w:rFonts w:eastAsia="Calibri"/>
          <w:lang w:eastAsia="en-US"/>
        </w:rPr>
        <w:t>poskytovatel</w:t>
      </w:r>
      <w:r w:rsidRPr="00CD4857">
        <w:rPr>
          <w:rFonts w:eastAsia="Calibri"/>
          <w:lang w:eastAsia="en-US"/>
        </w:rPr>
        <w:t>“)</w:t>
      </w:r>
    </w:p>
    <w:p w14:paraId="4FB37A29" w14:textId="77777777" w:rsidR="00B222BC" w:rsidRDefault="00B222BC" w:rsidP="00FC29DE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</w:p>
    <w:p w14:paraId="33624A24" w14:textId="77777777" w:rsidR="00B222BC" w:rsidRDefault="00B222BC" w:rsidP="00FC29DE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</w:p>
    <w:p w14:paraId="5CC31959" w14:textId="77777777" w:rsidR="00B222BC" w:rsidRPr="00CD4857" w:rsidRDefault="00B222BC" w:rsidP="00FC29DE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</w:p>
    <w:p w14:paraId="43B0561B" w14:textId="77777777" w:rsidR="00694F41" w:rsidRPr="00CD4857" w:rsidRDefault="00832AEF" w:rsidP="00FC29DE">
      <w:pPr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b/>
          <w:bCs/>
          <w:lang w:eastAsia="en-US"/>
        </w:rPr>
        <w:t>O</w:t>
      </w:r>
      <w:r w:rsidR="00694F41" w:rsidRPr="00CD4857">
        <w:rPr>
          <w:rFonts w:eastAsia="Calibri"/>
          <w:b/>
          <w:bCs/>
          <w:lang w:eastAsia="en-US"/>
        </w:rPr>
        <w:t>bjednatel:</w:t>
      </w:r>
      <w:r w:rsidR="00694F41" w:rsidRPr="00CD4857">
        <w:rPr>
          <w:rFonts w:eastAsia="Calibri"/>
          <w:bCs/>
          <w:lang w:eastAsia="en-US"/>
        </w:rPr>
        <w:t xml:space="preserve"> </w:t>
      </w:r>
      <w:r w:rsidR="00694F41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Cs/>
          <w:lang w:eastAsia="en-US"/>
        </w:rPr>
        <w:tab/>
      </w:r>
      <w:r w:rsidR="00210D6F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/>
          <w:bCs/>
          <w:sz w:val="28"/>
          <w:szCs w:val="28"/>
          <w:lang w:eastAsia="en-US"/>
        </w:rPr>
        <w:t>Psychiatrická nemocnice Horní Beřkovice</w:t>
      </w:r>
      <w:r w:rsidR="00694F41" w:rsidRPr="00CD4857">
        <w:rPr>
          <w:rFonts w:eastAsia="Calibri"/>
          <w:bCs/>
          <w:lang w:eastAsia="en-US"/>
        </w:rPr>
        <w:tab/>
      </w:r>
    </w:p>
    <w:p w14:paraId="5EE41D6D" w14:textId="77777777" w:rsidR="00694F41" w:rsidRPr="00CD4857" w:rsidRDefault="005018AD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</w:t>
      </w:r>
      <w:r w:rsidR="00694F41" w:rsidRPr="00CD4857">
        <w:rPr>
          <w:rFonts w:eastAsia="Calibri"/>
          <w:lang w:eastAsia="en-US"/>
        </w:rPr>
        <w:t>ídlo:</w:t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>Podřipská 1, Horní Beřkovice, PSČ: 411 85</w:t>
      </w:r>
    </w:p>
    <w:p w14:paraId="7049D3B5" w14:textId="77777777" w:rsidR="00694F41" w:rsidRPr="00CD4857" w:rsidRDefault="00694F41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00673552</w:t>
      </w:r>
    </w:p>
    <w:p w14:paraId="5B4BC349" w14:textId="77777777" w:rsidR="00694F41" w:rsidRPr="00CD4857" w:rsidRDefault="00694F41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DIČ: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CZ00673552</w:t>
      </w:r>
    </w:p>
    <w:p w14:paraId="048F9D2B" w14:textId="77777777" w:rsidR="007B6A29" w:rsidRPr="00CD4857" w:rsidRDefault="007B6A29" w:rsidP="006E6140">
      <w:pPr>
        <w:spacing w:line="276" w:lineRule="auto"/>
        <w:ind w:left="2832"/>
        <w:jc w:val="both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státní příspěvková organizace zřízená rozhodnutím ministerstva zdravotnictví ČR – zřizovací</w:t>
      </w:r>
      <w:r w:rsidR="006E6140">
        <w:rPr>
          <w:rFonts w:eastAsia="Calibri"/>
          <w:lang w:eastAsia="en-US"/>
        </w:rPr>
        <w:t xml:space="preserve"> </w:t>
      </w:r>
      <w:r w:rsidRPr="00CD4857">
        <w:rPr>
          <w:rFonts w:eastAsia="Calibri"/>
          <w:lang w:eastAsia="en-US"/>
        </w:rPr>
        <w:t>listina ve znění ze dne 8. 9. 2022,</w:t>
      </w:r>
      <w:r w:rsidR="006E6140">
        <w:rPr>
          <w:rFonts w:eastAsia="Calibri"/>
          <w:lang w:eastAsia="en-US"/>
        </w:rPr>
        <w:br/>
      </w:r>
      <w:r w:rsidRPr="00CD4857">
        <w:rPr>
          <w:rFonts w:eastAsia="Calibri"/>
          <w:lang w:eastAsia="en-US"/>
        </w:rPr>
        <w:t xml:space="preserve">č. j. </w:t>
      </w:r>
      <w:proofErr w:type="spellStart"/>
      <w:r w:rsidRPr="00CD4857">
        <w:rPr>
          <w:rFonts w:eastAsia="Calibri"/>
          <w:lang w:eastAsia="en-US"/>
        </w:rPr>
        <w:t>MZDR</w:t>
      </w:r>
      <w:proofErr w:type="spellEnd"/>
      <w:r w:rsidRPr="00CD4857">
        <w:rPr>
          <w:rFonts w:eastAsia="Calibri"/>
          <w:lang w:eastAsia="en-US"/>
        </w:rPr>
        <w:t xml:space="preserve"> 24237/2022-1/</w:t>
      </w:r>
      <w:proofErr w:type="spellStart"/>
      <w:r w:rsidRPr="00CD4857">
        <w:rPr>
          <w:rFonts w:eastAsia="Calibri"/>
          <w:lang w:eastAsia="en-US"/>
        </w:rPr>
        <w:t>OPŘ</w:t>
      </w:r>
      <w:proofErr w:type="spellEnd"/>
      <w:r w:rsidRPr="00CD4857">
        <w:rPr>
          <w:rFonts w:eastAsia="Calibri"/>
          <w:lang w:eastAsia="en-US"/>
        </w:rPr>
        <w:t xml:space="preserve"> </w:t>
      </w:r>
    </w:p>
    <w:p w14:paraId="148D1F57" w14:textId="77777777" w:rsidR="00694F41" w:rsidRPr="00CD4857" w:rsidRDefault="005018AD" w:rsidP="00FC29DE">
      <w:pPr>
        <w:tabs>
          <w:tab w:val="left" w:pos="1276"/>
        </w:tabs>
        <w:spacing w:line="276" w:lineRule="auto"/>
        <w:rPr>
          <w:lang w:eastAsia="x-none"/>
        </w:rPr>
      </w:pPr>
      <w:r w:rsidRPr="00CD4857">
        <w:rPr>
          <w:lang w:eastAsia="x-none"/>
        </w:rPr>
        <w:t>z</w:t>
      </w:r>
      <w:r w:rsidR="00694F41" w:rsidRPr="00CD4857">
        <w:rPr>
          <w:lang w:eastAsia="x-none"/>
        </w:rPr>
        <w:t xml:space="preserve">astoupený: </w:t>
      </w:r>
      <w:r w:rsidR="00694F41" w:rsidRPr="00CD4857">
        <w:rPr>
          <w:lang w:eastAsia="x-none"/>
        </w:rPr>
        <w:tab/>
      </w:r>
      <w:r w:rsidR="00694F41" w:rsidRPr="00CD4857">
        <w:rPr>
          <w:lang w:eastAsia="x-none"/>
        </w:rPr>
        <w:tab/>
        <w:t xml:space="preserve">            </w:t>
      </w:r>
      <w:r w:rsidR="00210D6F" w:rsidRPr="00CD4857">
        <w:rPr>
          <w:lang w:eastAsia="x-none"/>
        </w:rPr>
        <w:tab/>
      </w:r>
      <w:r w:rsidR="00694F41" w:rsidRPr="00CD4857">
        <w:rPr>
          <w:lang w:eastAsia="x-none"/>
        </w:rPr>
        <w:t xml:space="preserve">MUDr. Jiřím Tomečkem, </w:t>
      </w:r>
      <w:proofErr w:type="spellStart"/>
      <w:r w:rsidR="00694F41" w:rsidRPr="00CD4857">
        <w:rPr>
          <w:lang w:eastAsia="x-none"/>
        </w:rPr>
        <w:t>MBA</w:t>
      </w:r>
      <w:proofErr w:type="spellEnd"/>
      <w:r w:rsidR="00694F41" w:rsidRPr="00CD4857">
        <w:rPr>
          <w:lang w:eastAsia="x-none"/>
        </w:rPr>
        <w:t>, ředitelem</w:t>
      </w:r>
      <w:r w:rsidR="00694F41" w:rsidRPr="00CD4857">
        <w:rPr>
          <w:lang w:eastAsia="x-none"/>
        </w:rPr>
        <w:tab/>
      </w:r>
    </w:p>
    <w:p w14:paraId="04F8003C" w14:textId="77777777" w:rsidR="00694F41" w:rsidRPr="00CD4857" w:rsidRDefault="00694F41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(dále </w:t>
      </w:r>
      <w:r w:rsidR="00FD6A57" w:rsidRPr="00CD4857">
        <w:rPr>
          <w:rFonts w:eastAsia="Calibri"/>
          <w:lang w:eastAsia="en-US"/>
        </w:rPr>
        <w:t xml:space="preserve">jako </w:t>
      </w:r>
      <w:r w:rsidRPr="00CD4857">
        <w:rPr>
          <w:rFonts w:eastAsia="Calibri"/>
          <w:lang w:eastAsia="en-US"/>
        </w:rPr>
        <w:t>„</w:t>
      </w:r>
      <w:r w:rsidR="009C7599">
        <w:rPr>
          <w:rFonts w:eastAsia="Calibri"/>
          <w:lang w:eastAsia="en-US"/>
        </w:rPr>
        <w:t>objednatel</w:t>
      </w:r>
      <w:r w:rsidRPr="00CD4857">
        <w:rPr>
          <w:rFonts w:eastAsia="Calibri"/>
          <w:lang w:eastAsia="en-US"/>
        </w:rPr>
        <w:t>“)</w:t>
      </w:r>
    </w:p>
    <w:p w14:paraId="392DB70B" w14:textId="77777777" w:rsidR="000E4921" w:rsidRPr="00CD4857" w:rsidRDefault="000E4921" w:rsidP="00FC29DE">
      <w:pPr>
        <w:spacing w:line="276" w:lineRule="auto"/>
        <w:rPr>
          <w:rFonts w:eastAsia="Calibri"/>
        </w:rPr>
      </w:pPr>
    </w:p>
    <w:p w14:paraId="29D3F225" w14:textId="77777777" w:rsidR="000E7FC8" w:rsidRPr="00CD4857" w:rsidRDefault="00B201AE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0E7FC8" w:rsidRPr="00CD4857">
        <w:rPr>
          <w:rFonts w:eastAsia="Calibri"/>
          <w:lang w:eastAsia="en-US"/>
        </w:rPr>
        <w:t xml:space="preserve">bjednatel a </w:t>
      </w:r>
      <w:r w:rsidR="00767891" w:rsidRPr="009B13C9">
        <w:rPr>
          <w:rFonts w:eastAsia="Calibri"/>
          <w:lang w:eastAsia="en-US"/>
        </w:rPr>
        <w:t>poskytovatel</w:t>
      </w:r>
      <w:r w:rsidR="00767891" w:rsidRPr="00CD4857">
        <w:rPr>
          <w:rFonts w:eastAsia="Calibri"/>
          <w:lang w:eastAsia="en-US"/>
        </w:rPr>
        <w:t xml:space="preserve"> </w:t>
      </w:r>
      <w:r w:rsidR="000E7FC8" w:rsidRPr="00CD4857">
        <w:rPr>
          <w:rFonts w:eastAsia="Calibri"/>
          <w:lang w:eastAsia="en-US"/>
        </w:rPr>
        <w:t>dále také jako „smluvní strany“ nebo jednotlivě jako „smluvní strana“,</w:t>
      </w:r>
    </w:p>
    <w:p w14:paraId="42FD446A" w14:textId="77777777" w:rsidR="000E7FC8" w:rsidRPr="00CD4857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09368196" w14:textId="77777777" w:rsidR="000E7FC8" w:rsidRPr="00CD4857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tímto uzavírají dodatek č. 1 </w:t>
      </w:r>
      <w:r w:rsidR="007516D9" w:rsidRPr="00CD4857">
        <w:rPr>
          <w:rFonts w:eastAsia="Calibri"/>
          <w:lang w:eastAsia="en-US"/>
        </w:rPr>
        <w:t xml:space="preserve">ke smlouvě o </w:t>
      </w:r>
      <w:r w:rsidR="002C5868" w:rsidRPr="002C5868">
        <w:rPr>
          <w:rFonts w:eastAsia="Calibri"/>
          <w:lang w:eastAsia="en-US"/>
        </w:rPr>
        <w:t xml:space="preserve">ke smlouvě o údržbě aplikačního software a technické pomoci ze dne 28. 12. 2018 </w:t>
      </w:r>
      <w:r w:rsidR="00840741" w:rsidRPr="00CD4857">
        <w:rPr>
          <w:rFonts w:eastAsia="Calibri"/>
          <w:lang w:eastAsia="en-US"/>
        </w:rPr>
        <w:t>(dále také jako „smlouva</w:t>
      </w:r>
      <w:r w:rsidR="00823BC5" w:rsidRPr="00CD4857">
        <w:rPr>
          <w:rFonts w:eastAsia="Calibri"/>
          <w:lang w:eastAsia="en-US"/>
        </w:rPr>
        <w:t xml:space="preserve"> o </w:t>
      </w:r>
      <w:r w:rsidR="002C5868">
        <w:rPr>
          <w:rFonts w:eastAsia="Calibri"/>
          <w:lang w:eastAsia="en-US"/>
        </w:rPr>
        <w:t>údržbě</w:t>
      </w:r>
      <w:r w:rsidR="00840741" w:rsidRPr="00CD4857">
        <w:rPr>
          <w:rFonts w:eastAsia="Calibri"/>
          <w:lang w:eastAsia="en-US"/>
        </w:rPr>
        <w:t>“)</w:t>
      </w:r>
      <w:r w:rsidRPr="00CD4857">
        <w:t>.</w:t>
      </w:r>
    </w:p>
    <w:p w14:paraId="0B15FA43" w14:textId="77777777" w:rsidR="000E7FC8" w:rsidRDefault="000E7FC8" w:rsidP="000E7FC8">
      <w:pPr>
        <w:pStyle w:val="Bezmezer"/>
        <w:spacing w:line="276" w:lineRule="auto"/>
        <w:jc w:val="both"/>
      </w:pPr>
    </w:p>
    <w:p w14:paraId="32E35E40" w14:textId="77777777" w:rsidR="009F7A24" w:rsidRPr="00CD4857" w:rsidRDefault="009F7A24" w:rsidP="000E7FC8">
      <w:pPr>
        <w:pStyle w:val="Bezmezer"/>
        <w:spacing w:line="276" w:lineRule="auto"/>
        <w:jc w:val="both"/>
      </w:pPr>
    </w:p>
    <w:p w14:paraId="652E9A9A" w14:textId="77777777" w:rsidR="007E2213" w:rsidRPr="00CD4857" w:rsidRDefault="007E2213" w:rsidP="00F5160F">
      <w:pPr>
        <w:pStyle w:val="Bezmezer"/>
        <w:spacing w:line="276" w:lineRule="auto"/>
        <w:jc w:val="center"/>
      </w:pPr>
      <w:r w:rsidRPr="00CD4857">
        <w:rPr>
          <w:b/>
          <w:bCs/>
          <w:snapToGrid w:val="0"/>
        </w:rPr>
        <w:t>Článek I.</w:t>
      </w:r>
    </w:p>
    <w:p w14:paraId="47EE03F9" w14:textId="77777777" w:rsidR="001474BD" w:rsidRDefault="000E7FC8" w:rsidP="001474BD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Smluvní strany konstatují, že </w:t>
      </w:r>
      <w:r w:rsidR="00BE0F8E">
        <w:rPr>
          <w:snapToGrid w:val="0"/>
        </w:rPr>
        <w:t xml:space="preserve">na základě objednávek objednatele </w:t>
      </w:r>
      <w:r w:rsidR="009B13C9" w:rsidRPr="009B13C9">
        <w:rPr>
          <w:rFonts w:eastAsia="Calibri"/>
          <w:lang w:eastAsia="en-US"/>
        </w:rPr>
        <w:t>poskytovatel</w:t>
      </w:r>
      <w:r w:rsidR="009B13C9">
        <w:rPr>
          <w:snapToGrid w:val="0"/>
        </w:rPr>
        <w:t xml:space="preserve"> </w:t>
      </w:r>
      <w:r w:rsidR="00F372F5">
        <w:rPr>
          <w:snapToGrid w:val="0"/>
        </w:rPr>
        <w:t xml:space="preserve">rozšířil </w:t>
      </w:r>
      <w:r w:rsidR="009C7599">
        <w:rPr>
          <w:snapToGrid w:val="0"/>
        </w:rPr>
        <w:t xml:space="preserve">NIS </w:t>
      </w:r>
      <w:proofErr w:type="spellStart"/>
      <w:r w:rsidR="009C7599">
        <w:rPr>
          <w:snapToGrid w:val="0"/>
        </w:rPr>
        <w:t>HIPPO</w:t>
      </w:r>
      <w:proofErr w:type="spellEnd"/>
      <w:r w:rsidR="009C7599">
        <w:rPr>
          <w:snapToGrid w:val="0"/>
        </w:rPr>
        <w:t xml:space="preserve"> </w:t>
      </w:r>
      <w:r w:rsidR="00BE0F8E">
        <w:rPr>
          <w:snapToGrid w:val="0"/>
        </w:rPr>
        <w:t>o následující funkcionality:</w:t>
      </w:r>
    </w:p>
    <w:p w14:paraId="111B553B" w14:textId="77777777" w:rsidR="001474BD" w:rsidRDefault="001474BD" w:rsidP="001474BD">
      <w:pPr>
        <w:pStyle w:val="Bezmezer"/>
        <w:spacing w:line="276" w:lineRule="auto"/>
        <w:jc w:val="both"/>
        <w:rPr>
          <w:snapToGrid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2048"/>
        <w:gridCol w:w="2107"/>
      </w:tblGrid>
      <w:tr w:rsidR="001474BD" w:rsidRPr="00967EE6" w14:paraId="6179F9E5" w14:textId="77777777" w:rsidTr="00492FAD">
        <w:trPr>
          <w:jc w:val="center"/>
        </w:trPr>
        <w:tc>
          <w:tcPr>
            <w:tcW w:w="5389" w:type="dxa"/>
            <w:shd w:val="clear" w:color="auto" w:fill="F2F2F2"/>
            <w:vAlign w:val="center"/>
          </w:tcPr>
          <w:p w14:paraId="60A16FE1" w14:textId="77777777" w:rsidR="001474BD" w:rsidRPr="009805FA" w:rsidRDefault="001474BD" w:rsidP="009805FA">
            <w:pPr>
              <w:pStyle w:val="Bezmezer"/>
              <w:spacing w:line="276" w:lineRule="auto"/>
              <w:jc w:val="center"/>
              <w:rPr>
                <w:b/>
                <w:bCs/>
              </w:rPr>
            </w:pPr>
            <w:r w:rsidRPr="009805FA">
              <w:rPr>
                <w:b/>
                <w:bCs/>
              </w:rPr>
              <w:t>Nová funkcionalita</w:t>
            </w:r>
          </w:p>
        </w:tc>
        <w:tc>
          <w:tcPr>
            <w:tcW w:w="2085" w:type="dxa"/>
            <w:shd w:val="clear" w:color="auto" w:fill="F2F2F2"/>
            <w:vAlign w:val="center"/>
          </w:tcPr>
          <w:p w14:paraId="2C4DF477" w14:textId="77777777" w:rsidR="001474BD" w:rsidRPr="009805FA" w:rsidRDefault="001474BD" w:rsidP="009805FA">
            <w:pPr>
              <w:pStyle w:val="Bezmezer"/>
              <w:spacing w:line="276" w:lineRule="auto"/>
              <w:jc w:val="center"/>
              <w:rPr>
                <w:b/>
                <w:bCs/>
              </w:rPr>
            </w:pPr>
            <w:r w:rsidRPr="009805FA">
              <w:rPr>
                <w:b/>
                <w:bCs/>
              </w:rPr>
              <w:t>Navýšení ceny služeb</w:t>
            </w:r>
          </w:p>
        </w:tc>
        <w:tc>
          <w:tcPr>
            <w:tcW w:w="2148" w:type="dxa"/>
            <w:shd w:val="clear" w:color="auto" w:fill="F2F2F2"/>
            <w:vAlign w:val="center"/>
          </w:tcPr>
          <w:p w14:paraId="45A83805" w14:textId="77777777" w:rsidR="001474BD" w:rsidRPr="009805FA" w:rsidRDefault="001474BD" w:rsidP="009805FA">
            <w:pPr>
              <w:pStyle w:val="Bezmezer"/>
              <w:spacing w:line="276" w:lineRule="auto"/>
              <w:jc w:val="center"/>
              <w:rPr>
                <w:b/>
                <w:bCs/>
              </w:rPr>
            </w:pPr>
            <w:r w:rsidRPr="009805FA">
              <w:rPr>
                <w:b/>
                <w:bCs/>
              </w:rPr>
              <w:t>Měsíční cena služeb po navýšení</w:t>
            </w:r>
          </w:p>
        </w:tc>
      </w:tr>
      <w:tr w:rsidR="00492FAD" w:rsidRPr="00967EE6" w14:paraId="6739BB71" w14:textId="77777777" w:rsidTr="00492FAD">
        <w:trPr>
          <w:jc w:val="center"/>
        </w:trPr>
        <w:tc>
          <w:tcPr>
            <w:tcW w:w="5389" w:type="dxa"/>
            <w:shd w:val="clear" w:color="auto" w:fill="auto"/>
            <w:vAlign w:val="center"/>
          </w:tcPr>
          <w:p w14:paraId="1F74BD7B" w14:textId="77777777" w:rsidR="00492FAD" w:rsidRPr="001474BD" w:rsidRDefault="00492FAD" w:rsidP="009805FA">
            <w:pPr>
              <w:pStyle w:val="Bezmezer"/>
              <w:spacing w:line="276" w:lineRule="auto"/>
              <w:jc w:val="center"/>
            </w:pPr>
            <w:r w:rsidRPr="005A51F1">
              <w:rPr>
                <w:sz w:val="22"/>
                <w:szCs w:val="22"/>
              </w:rPr>
              <w:t>Komunikace z modulu Lékárna – výdej + Komunikace z modulu Evidence pacientů, psychiatrická ordinace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14:paraId="5C95D1C0" w14:textId="77777777" w:rsidR="00492FAD" w:rsidRPr="001474BD" w:rsidRDefault="00492FAD" w:rsidP="009805FA">
            <w:pPr>
              <w:pStyle w:val="Bezmezer"/>
              <w:spacing w:line="276" w:lineRule="auto"/>
              <w:jc w:val="center"/>
            </w:pPr>
            <w:r w:rsidRPr="001474BD">
              <w:t xml:space="preserve">+ </w:t>
            </w:r>
            <w:r>
              <w:t>7</w:t>
            </w:r>
            <w:r w:rsidRPr="001474BD">
              <w:t>00,00 Kč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7A9CAA2F" w14:textId="77777777" w:rsidR="00492FAD" w:rsidRPr="001474BD" w:rsidRDefault="00492FAD" w:rsidP="009805FA">
            <w:pPr>
              <w:pStyle w:val="Bezmezer"/>
              <w:spacing w:line="276" w:lineRule="auto"/>
              <w:jc w:val="center"/>
            </w:pPr>
            <w:r w:rsidRPr="001474BD">
              <w:t>98 547,00 Kč</w:t>
            </w:r>
          </w:p>
        </w:tc>
      </w:tr>
      <w:tr w:rsidR="00492FAD" w:rsidRPr="00967EE6" w14:paraId="76408D0B" w14:textId="77777777" w:rsidTr="00492FAD">
        <w:trPr>
          <w:jc w:val="center"/>
        </w:trPr>
        <w:tc>
          <w:tcPr>
            <w:tcW w:w="5389" w:type="dxa"/>
            <w:shd w:val="clear" w:color="auto" w:fill="auto"/>
            <w:vAlign w:val="center"/>
          </w:tcPr>
          <w:p w14:paraId="2CD8CD52" w14:textId="77777777" w:rsidR="00492FAD" w:rsidRPr="001474BD" w:rsidRDefault="00492FAD" w:rsidP="009805FA">
            <w:pPr>
              <w:pStyle w:val="Bezmezer"/>
              <w:spacing w:line="276" w:lineRule="auto"/>
              <w:jc w:val="center"/>
            </w:pPr>
            <w:r w:rsidRPr="001474BD">
              <w:t xml:space="preserve">Rozhraní pro komunikaci – </w:t>
            </w:r>
            <w:proofErr w:type="spellStart"/>
            <w:r w:rsidRPr="001474BD">
              <w:t>eOčkování</w:t>
            </w:r>
            <w:proofErr w:type="spellEnd"/>
          </w:p>
        </w:tc>
        <w:tc>
          <w:tcPr>
            <w:tcW w:w="2085" w:type="dxa"/>
            <w:vMerge/>
            <w:shd w:val="clear" w:color="auto" w:fill="auto"/>
            <w:vAlign w:val="center"/>
          </w:tcPr>
          <w:p w14:paraId="14499284" w14:textId="77777777" w:rsidR="00492FAD" w:rsidRPr="001474BD" w:rsidRDefault="00492FAD" w:rsidP="009805FA">
            <w:pPr>
              <w:pStyle w:val="Bezmezer"/>
              <w:spacing w:line="276" w:lineRule="auto"/>
              <w:jc w:val="center"/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65868F9E" w14:textId="77777777" w:rsidR="00492FAD" w:rsidRPr="001474BD" w:rsidRDefault="00492FAD" w:rsidP="009805FA">
            <w:pPr>
              <w:pStyle w:val="Bezmezer"/>
              <w:spacing w:line="276" w:lineRule="auto"/>
              <w:jc w:val="center"/>
            </w:pPr>
          </w:p>
        </w:tc>
      </w:tr>
      <w:tr w:rsidR="001474BD" w:rsidRPr="00967EE6" w14:paraId="28403902" w14:textId="77777777" w:rsidTr="00492FAD">
        <w:trPr>
          <w:jc w:val="center"/>
        </w:trPr>
        <w:tc>
          <w:tcPr>
            <w:tcW w:w="5389" w:type="dxa"/>
            <w:shd w:val="clear" w:color="auto" w:fill="auto"/>
            <w:vAlign w:val="center"/>
          </w:tcPr>
          <w:p w14:paraId="256FC760" w14:textId="77777777" w:rsidR="001474BD" w:rsidRPr="001474BD" w:rsidRDefault="001474BD" w:rsidP="009805FA">
            <w:pPr>
              <w:pStyle w:val="Bezmezer"/>
              <w:spacing w:line="276" w:lineRule="auto"/>
              <w:jc w:val="center"/>
            </w:pPr>
            <w:r w:rsidRPr="001474BD">
              <w:t>Modul pro práci klinického farmaceuta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C406266" w14:textId="77777777" w:rsidR="001474BD" w:rsidRPr="001474BD" w:rsidRDefault="001474BD" w:rsidP="009805FA">
            <w:pPr>
              <w:pStyle w:val="Bezmezer"/>
              <w:spacing w:line="276" w:lineRule="auto"/>
              <w:jc w:val="center"/>
            </w:pPr>
            <w:r w:rsidRPr="001474BD">
              <w:t>+ 450,00 Kč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D0BC98E" w14:textId="77777777" w:rsidR="001474BD" w:rsidRPr="001474BD" w:rsidRDefault="001474BD" w:rsidP="009805FA">
            <w:pPr>
              <w:pStyle w:val="Bezmezer"/>
              <w:spacing w:line="276" w:lineRule="auto"/>
              <w:jc w:val="center"/>
            </w:pPr>
            <w:r w:rsidRPr="001474BD">
              <w:t>98 997,00 Kč</w:t>
            </w:r>
          </w:p>
        </w:tc>
      </w:tr>
    </w:tbl>
    <w:p w14:paraId="42D7D532" w14:textId="77777777" w:rsidR="001474BD" w:rsidRDefault="001474BD" w:rsidP="001474BD">
      <w:pPr>
        <w:pStyle w:val="Bezmezer"/>
        <w:spacing w:line="276" w:lineRule="auto"/>
        <w:jc w:val="both"/>
        <w:rPr>
          <w:snapToGrid w:val="0"/>
        </w:rPr>
      </w:pPr>
    </w:p>
    <w:p w14:paraId="2FFBF3BD" w14:textId="77777777" w:rsidR="00E20EC8" w:rsidRDefault="00E20EC8" w:rsidP="008C1AE5">
      <w:pPr>
        <w:pStyle w:val="Bezmezer"/>
        <w:spacing w:line="276" w:lineRule="auto"/>
        <w:jc w:val="center"/>
        <w:rPr>
          <w:b/>
          <w:bCs/>
          <w:snapToGrid w:val="0"/>
        </w:rPr>
      </w:pPr>
    </w:p>
    <w:p w14:paraId="109C7546" w14:textId="77777777" w:rsidR="00E20EC8" w:rsidRDefault="00E20EC8" w:rsidP="008C1AE5">
      <w:pPr>
        <w:pStyle w:val="Bezmezer"/>
        <w:spacing w:line="276" w:lineRule="auto"/>
        <w:jc w:val="center"/>
        <w:rPr>
          <w:b/>
          <w:bCs/>
          <w:snapToGrid w:val="0"/>
        </w:rPr>
      </w:pPr>
    </w:p>
    <w:p w14:paraId="6D1AC657" w14:textId="6FC26B54" w:rsidR="000E7FC8" w:rsidRPr="00CD4857" w:rsidRDefault="000E7FC8" w:rsidP="008C1AE5">
      <w:pPr>
        <w:pStyle w:val="Bezmezer"/>
        <w:spacing w:line="276" w:lineRule="auto"/>
        <w:jc w:val="center"/>
        <w:rPr>
          <w:snapToGrid w:val="0"/>
          <w:u w:val="words"/>
        </w:rPr>
      </w:pPr>
      <w:r w:rsidRPr="00CD4857">
        <w:rPr>
          <w:b/>
          <w:bCs/>
          <w:snapToGrid w:val="0"/>
        </w:rPr>
        <w:lastRenderedPageBreak/>
        <w:t>Článek I</w:t>
      </w:r>
      <w:r w:rsidR="00490AAA">
        <w:rPr>
          <w:b/>
          <w:bCs/>
          <w:snapToGrid w:val="0"/>
        </w:rPr>
        <w:t>I</w:t>
      </w:r>
      <w:r w:rsidRPr="00CD4857">
        <w:rPr>
          <w:b/>
          <w:bCs/>
          <w:snapToGrid w:val="0"/>
        </w:rPr>
        <w:t>.</w:t>
      </w:r>
    </w:p>
    <w:p w14:paraId="3737D604" w14:textId="77777777" w:rsidR="0010559C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S ohledem na </w:t>
      </w:r>
      <w:r w:rsidR="00C32B32">
        <w:rPr>
          <w:snapToGrid w:val="0"/>
        </w:rPr>
        <w:t xml:space="preserve">výše uvedené </w:t>
      </w:r>
      <w:r w:rsidRPr="00CD4857">
        <w:rPr>
          <w:snapToGrid w:val="0"/>
        </w:rPr>
        <w:t xml:space="preserve">se mění </w:t>
      </w:r>
      <w:r w:rsidR="0010559C">
        <w:rPr>
          <w:snapToGrid w:val="0"/>
        </w:rPr>
        <w:t xml:space="preserve">článek </w:t>
      </w:r>
      <w:r w:rsidR="00C06833">
        <w:rPr>
          <w:snapToGrid w:val="0"/>
        </w:rPr>
        <w:t>II. „</w:t>
      </w:r>
      <w:r w:rsidR="0010559C">
        <w:rPr>
          <w:snapToGrid w:val="0"/>
        </w:rPr>
        <w:t>Cena</w:t>
      </w:r>
      <w:r w:rsidR="00C06833">
        <w:rPr>
          <w:snapToGrid w:val="0"/>
        </w:rPr>
        <w:t>“</w:t>
      </w:r>
      <w:r w:rsidR="0010559C">
        <w:rPr>
          <w:snapToGrid w:val="0"/>
        </w:rPr>
        <w:t xml:space="preserve"> v odstavci 1. smlouvy o údržbě takto:</w:t>
      </w:r>
    </w:p>
    <w:p w14:paraId="741A2C32" w14:textId="77777777" w:rsidR="0010559C" w:rsidRPr="00F507E3" w:rsidRDefault="0010559C" w:rsidP="000E7FC8">
      <w:pPr>
        <w:pStyle w:val="Bezmezer"/>
        <w:spacing w:line="276" w:lineRule="auto"/>
        <w:jc w:val="both"/>
        <w:rPr>
          <w:snapToGrid w:val="0"/>
          <w:sz w:val="16"/>
          <w:szCs w:val="16"/>
        </w:rPr>
      </w:pPr>
    </w:p>
    <w:p w14:paraId="2B1E64B7" w14:textId="391C5464" w:rsidR="000E7FC8" w:rsidRPr="00490AAA" w:rsidRDefault="00F3418B" w:rsidP="00490AAA">
      <w:pPr>
        <w:pStyle w:val="Bezmezer"/>
        <w:spacing w:line="276" w:lineRule="auto"/>
        <w:ind w:left="708"/>
        <w:jc w:val="both"/>
        <w:rPr>
          <w:b/>
          <w:bCs/>
        </w:rPr>
      </w:pPr>
      <w:r>
        <w:rPr>
          <w:b/>
          <w:bCs/>
        </w:rPr>
        <w:t>„</w:t>
      </w:r>
      <w:r w:rsidR="00490AAA" w:rsidRPr="00490AAA">
        <w:rPr>
          <w:b/>
          <w:bCs/>
        </w:rPr>
        <w:t xml:space="preserve">Cena předmětu smlouvy je stanovena dohodou smluvních stran ve formě pravidelné měsíční platby a činí </w:t>
      </w:r>
      <w:proofErr w:type="gramStart"/>
      <w:r w:rsidR="00490AAA" w:rsidRPr="00490AAA">
        <w:rPr>
          <w:b/>
          <w:bCs/>
        </w:rPr>
        <w:t>9</w:t>
      </w:r>
      <w:r w:rsidR="00490AAA">
        <w:rPr>
          <w:b/>
          <w:bCs/>
        </w:rPr>
        <w:t>8</w:t>
      </w:r>
      <w:r w:rsidR="00490AAA" w:rsidRPr="00490AAA">
        <w:rPr>
          <w:b/>
          <w:bCs/>
        </w:rPr>
        <w:t>.</w:t>
      </w:r>
      <w:r w:rsidR="00490AAA">
        <w:rPr>
          <w:b/>
          <w:bCs/>
        </w:rPr>
        <w:t>997</w:t>
      </w:r>
      <w:r w:rsidR="00490AAA" w:rsidRPr="00490AAA">
        <w:rPr>
          <w:b/>
          <w:bCs/>
        </w:rPr>
        <w:t>,</w:t>
      </w:r>
      <w:r w:rsidR="005D7FF1">
        <w:rPr>
          <w:b/>
          <w:bCs/>
        </w:rPr>
        <w:t>-</w:t>
      </w:r>
      <w:r w:rsidR="00490AAA" w:rsidRPr="00490AAA">
        <w:rPr>
          <w:b/>
          <w:bCs/>
        </w:rPr>
        <w:t>-</w:t>
      </w:r>
      <w:proofErr w:type="gramEnd"/>
      <w:r w:rsidR="00490AAA" w:rsidRPr="00490AAA">
        <w:rPr>
          <w:b/>
          <w:bCs/>
        </w:rPr>
        <w:t xml:space="preserve"> Kč měsíčně </w:t>
      </w:r>
      <w:r w:rsidR="005D7FF1">
        <w:rPr>
          <w:b/>
          <w:bCs/>
        </w:rPr>
        <w:t>(</w:t>
      </w:r>
      <w:r w:rsidR="00490AAA" w:rsidRPr="00490AAA">
        <w:rPr>
          <w:b/>
          <w:bCs/>
        </w:rPr>
        <w:t xml:space="preserve">slovy devadesát </w:t>
      </w:r>
      <w:r w:rsidR="005D7FF1">
        <w:rPr>
          <w:b/>
          <w:bCs/>
        </w:rPr>
        <w:t xml:space="preserve">osm </w:t>
      </w:r>
      <w:r w:rsidR="00490AAA" w:rsidRPr="00490AAA">
        <w:rPr>
          <w:b/>
          <w:bCs/>
        </w:rPr>
        <w:t xml:space="preserve">tisíc </w:t>
      </w:r>
      <w:r w:rsidR="005D7FF1">
        <w:rPr>
          <w:b/>
          <w:bCs/>
        </w:rPr>
        <w:t>devět set devadesát sedm</w:t>
      </w:r>
      <w:r w:rsidR="00CF62CB">
        <w:rPr>
          <w:b/>
          <w:bCs/>
        </w:rPr>
        <w:t xml:space="preserve"> korun českých</w:t>
      </w:r>
      <w:r w:rsidR="005D7FF1">
        <w:rPr>
          <w:b/>
          <w:bCs/>
        </w:rPr>
        <w:t>)</w:t>
      </w:r>
      <w:r w:rsidR="00490AAA" w:rsidRPr="00490AAA">
        <w:rPr>
          <w:b/>
          <w:bCs/>
        </w:rPr>
        <w:t>.</w:t>
      </w:r>
      <w:r w:rsidR="006841AC">
        <w:rPr>
          <w:b/>
          <w:bCs/>
        </w:rPr>
        <w:t xml:space="preserve"> </w:t>
      </w:r>
      <w:r w:rsidR="00490AAA" w:rsidRPr="00490AAA">
        <w:rPr>
          <w:b/>
          <w:bCs/>
        </w:rPr>
        <w:t>Tato cena neobsahuje DPH a bude</w:t>
      </w:r>
      <w:r w:rsidR="006841AC">
        <w:rPr>
          <w:b/>
          <w:bCs/>
        </w:rPr>
        <w:t xml:space="preserve"> </w:t>
      </w:r>
      <w:r w:rsidR="00490AAA" w:rsidRPr="00490AAA">
        <w:rPr>
          <w:b/>
          <w:bCs/>
        </w:rPr>
        <w:t>o ni při měsíční fakturaci zvýšena dle platných předpisů.</w:t>
      </w:r>
      <w:r>
        <w:rPr>
          <w:b/>
          <w:bCs/>
        </w:rPr>
        <w:t>“</w:t>
      </w:r>
    </w:p>
    <w:p w14:paraId="480A7F58" w14:textId="77777777" w:rsidR="00490AAA" w:rsidRPr="00F507E3" w:rsidRDefault="00490AAA" w:rsidP="000E7FC8">
      <w:pPr>
        <w:pStyle w:val="Bezmezer"/>
        <w:spacing w:line="276" w:lineRule="auto"/>
        <w:jc w:val="both"/>
        <w:rPr>
          <w:snapToGrid w:val="0"/>
          <w:sz w:val="16"/>
          <w:szCs w:val="16"/>
          <w:u w:val="words"/>
        </w:rPr>
      </w:pPr>
    </w:p>
    <w:p w14:paraId="55C43C04" w14:textId="77777777" w:rsidR="009256A0" w:rsidRPr="00CD4857" w:rsidRDefault="009256A0" w:rsidP="009256A0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 xml:space="preserve">Článek </w:t>
      </w:r>
      <w:r>
        <w:rPr>
          <w:b/>
          <w:bCs/>
          <w:snapToGrid w:val="0"/>
        </w:rPr>
        <w:t>III</w:t>
      </w:r>
      <w:r w:rsidRPr="00CD4857">
        <w:rPr>
          <w:b/>
          <w:bCs/>
          <w:snapToGrid w:val="0"/>
        </w:rPr>
        <w:t>.</w:t>
      </w:r>
    </w:p>
    <w:p w14:paraId="3E6EF4AD" w14:textId="2AE79E4E" w:rsidR="009256A0" w:rsidRDefault="009256A0" w:rsidP="009256A0">
      <w:pPr>
        <w:pStyle w:val="Bezmezer"/>
        <w:spacing w:line="276" w:lineRule="auto"/>
        <w:jc w:val="both"/>
      </w:pPr>
      <w:r w:rsidRPr="00CD4857">
        <w:t xml:space="preserve">Smluvní strany </w:t>
      </w:r>
      <w:r>
        <w:t>se dohodly na doplnění článku II. „Cena“ smlouvy</w:t>
      </w:r>
      <w:r w:rsidR="00F507E3">
        <w:t xml:space="preserve"> o údržbě o </w:t>
      </w:r>
      <w:r w:rsidR="009D713E">
        <w:t xml:space="preserve">nový </w:t>
      </w:r>
      <w:r w:rsidR="00F507E3">
        <w:t>odstavec</w:t>
      </w:r>
      <w:r w:rsidR="008D2924">
        <w:br/>
      </w:r>
      <w:r>
        <w:t>4. v tomto znění:</w:t>
      </w:r>
    </w:p>
    <w:p w14:paraId="52C82775" w14:textId="77777777" w:rsidR="00E44812" w:rsidRDefault="00E44812" w:rsidP="009256A0">
      <w:pPr>
        <w:pStyle w:val="Bezmezer"/>
        <w:spacing w:line="276" w:lineRule="auto"/>
        <w:jc w:val="both"/>
      </w:pPr>
    </w:p>
    <w:p w14:paraId="2963A63D" w14:textId="0F3C7747" w:rsidR="00F1033C" w:rsidRPr="00F1033C" w:rsidRDefault="00F1033C" w:rsidP="00F1033C">
      <w:pPr>
        <w:pStyle w:val="Bezmezer"/>
        <w:spacing w:line="276" w:lineRule="auto"/>
        <w:ind w:left="708"/>
        <w:jc w:val="both"/>
        <w:rPr>
          <w:b/>
          <w:bCs/>
        </w:rPr>
      </w:pPr>
      <w:r>
        <w:rPr>
          <w:b/>
          <w:bCs/>
        </w:rPr>
        <w:t>„</w:t>
      </w:r>
      <w:r w:rsidRPr="00F1033C">
        <w:rPr>
          <w:b/>
          <w:bCs/>
        </w:rPr>
        <w:t xml:space="preserve">Smluvní strany se dohodly, že výši </w:t>
      </w:r>
      <w:r>
        <w:rPr>
          <w:b/>
          <w:bCs/>
        </w:rPr>
        <w:t>ceny předmětu smlouvy</w:t>
      </w:r>
      <w:r w:rsidRPr="00F1033C">
        <w:rPr>
          <w:b/>
          <w:bCs/>
        </w:rPr>
        <w:t xml:space="preserve"> má </w:t>
      </w:r>
      <w:r>
        <w:rPr>
          <w:b/>
          <w:bCs/>
        </w:rPr>
        <w:t xml:space="preserve">poskytovatel </w:t>
      </w:r>
      <w:r w:rsidRPr="00F1033C">
        <w:rPr>
          <w:b/>
          <w:bCs/>
        </w:rPr>
        <w:t xml:space="preserve">právo každoročně upravit s účinností od 1. </w:t>
      </w:r>
      <w:r>
        <w:rPr>
          <w:b/>
          <w:bCs/>
        </w:rPr>
        <w:t xml:space="preserve">března </w:t>
      </w:r>
      <w:r w:rsidRPr="00F1033C">
        <w:rPr>
          <w:b/>
          <w:bCs/>
        </w:rPr>
        <w:t xml:space="preserve">příslušného roku o míru inflace vyjádřenou přírůstkem průměrného ročního indexu spotřebitelských cen, vyhlášeným Českým statistickým úřadem („ČSÚ“) za minulý kalendářní rok, přičemž za základ této úpravy se bere vždy poslední stanovená výše </w:t>
      </w:r>
      <w:r w:rsidR="00C8505F">
        <w:rPr>
          <w:b/>
          <w:bCs/>
        </w:rPr>
        <w:t xml:space="preserve">ceny </w:t>
      </w:r>
      <w:r>
        <w:rPr>
          <w:b/>
          <w:bCs/>
        </w:rPr>
        <w:t>předmětu smlouvy</w:t>
      </w:r>
      <w:r w:rsidRPr="00F1033C">
        <w:rPr>
          <w:b/>
          <w:bCs/>
        </w:rPr>
        <w:t xml:space="preserve">. </w:t>
      </w:r>
      <w:r>
        <w:rPr>
          <w:b/>
          <w:bCs/>
        </w:rPr>
        <w:t xml:space="preserve">Poskytovatel </w:t>
      </w:r>
      <w:r w:rsidRPr="00F1033C">
        <w:rPr>
          <w:b/>
          <w:bCs/>
        </w:rPr>
        <w:t xml:space="preserve">písemně oznámí </w:t>
      </w:r>
      <w:r>
        <w:rPr>
          <w:b/>
          <w:bCs/>
        </w:rPr>
        <w:t xml:space="preserve">objednateli </w:t>
      </w:r>
      <w:r w:rsidRPr="00F1033C">
        <w:rPr>
          <w:b/>
          <w:bCs/>
        </w:rPr>
        <w:t xml:space="preserve">upravenou výši </w:t>
      </w:r>
      <w:r>
        <w:rPr>
          <w:b/>
          <w:bCs/>
        </w:rPr>
        <w:t>ceny předmětu smlouvy</w:t>
      </w:r>
      <w:r>
        <w:rPr>
          <w:b/>
          <w:bCs/>
        </w:rPr>
        <w:br/>
      </w:r>
      <w:r w:rsidRPr="00F1033C">
        <w:rPr>
          <w:b/>
          <w:bCs/>
        </w:rPr>
        <w:t xml:space="preserve">v souladu s ujednáním dle předchozí věty vždy nejpozději do </w:t>
      </w:r>
      <w:r>
        <w:rPr>
          <w:b/>
          <w:bCs/>
        </w:rPr>
        <w:t>28. února</w:t>
      </w:r>
      <w:r w:rsidRPr="00F1033C">
        <w:rPr>
          <w:b/>
          <w:bCs/>
        </w:rPr>
        <w:t xml:space="preserve"> příslušného roku</w:t>
      </w:r>
      <w:r>
        <w:rPr>
          <w:b/>
          <w:bCs/>
        </w:rPr>
        <w:t>;</w:t>
      </w:r>
      <w:r w:rsidRPr="00F1033C">
        <w:rPr>
          <w:b/>
          <w:bCs/>
        </w:rPr>
        <w:t xml:space="preserve"> </w:t>
      </w:r>
      <w:r>
        <w:rPr>
          <w:b/>
          <w:bCs/>
        </w:rPr>
        <w:t>marným uplynutím této lhůty právo poskytovatele na úprav</w:t>
      </w:r>
      <w:r w:rsidR="009C0F8E">
        <w:rPr>
          <w:b/>
          <w:bCs/>
        </w:rPr>
        <w:t>u</w:t>
      </w:r>
      <w:r>
        <w:rPr>
          <w:b/>
          <w:bCs/>
        </w:rPr>
        <w:t xml:space="preserve"> ceny předmětu smlouvy </w:t>
      </w:r>
      <w:r w:rsidRPr="00F1033C">
        <w:rPr>
          <w:b/>
          <w:bCs/>
        </w:rPr>
        <w:t xml:space="preserve">pro </w:t>
      </w:r>
      <w:r>
        <w:rPr>
          <w:b/>
          <w:bCs/>
        </w:rPr>
        <w:t xml:space="preserve">daný </w:t>
      </w:r>
      <w:r w:rsidRPr="00F1033C">
        <w:rPr>
          <w:b/>
          <w:bCs/>
        </w:rPr>
        <w:t>rok zaniká.</w:t>
      </w:r>
      <w:r>
        <w:rPr>
          <w:b/>
          <w:bCs/>
        </w:rPr>
        <w:t xml:space="preserve"> </w:t>
      </w:r>
      <w:r w:rsidR="007035E8">
        <w:rPr>
          <w:b/>
          <w:bCs/>
        </w:rPr>
        <w:t xml:space="preserve">O </w:t>
      </w:r>
      <w:r w:rsidR="0002645E">
        <w:rPr>
          <w:b/>
          <w:bCs/>
        </w:rPr>
        <w:t xml:space="preserve">skutečnosti </w:t>
      </w:r>
      <w:r w:rsidR="007035E8">
        <w:rPr>
          <w:b/>
          <w:bCs/>
        </w:rPr>
        <w:t>navýšení ceny předmětu smlouvy následně smluvní strany uzavřou dodatek</w:t>
      </w:r>
      <w:r w:rsidR="00C908D3">
        <w:rPr>
          <w:b/>
          <w:bCs/>
        </w:rPr>
        <w:t xml:space="preserve"> k této smlouvě</w:t>
      </w:r>
      <w:r w:rsidR="007035E8">
        <w:rPr>
          <w:b/>
          <w:bCs/>
        </w:rPr>
        <w:t>.</w:t>
      </w:r>
      <w:r w:rsidR="007F29A9">
        <w:rPr>
          <w:b/>
          <w:bCs/>
        </w:rPr>
        <w:t xml:space="preserve"> Smluvní strany výslovně ujednávají</w:t>
      </w:r>
      <w:r w:rsidR="008A6F23">
        <w:rPr>
          <w:b/>
          <w:bCs/>
        </w:rPr>
        <w:t xml:space="preserve">, </w:t>
      </w:r>
      <w:r w:rsidR="007F29A9">
        <w:rPr>
          <w:b/>
          <w:bCs/>
        </w:rPr>
        <w:t>že poskytovatel</w:t>
      </w:r>
      <w:r w:rsidR="0002645E">
        <w:rPr>
          <w:b/>
          <w:bCs/>
        </w:rPr>
        <w:t xml:space="preserve"> </w:t>
      </w:r>
      <w:r w:rsidR="007F29A9">
        <w:rPr>
          <w:b/>
          <w:bCs/>
        </w:rPr>
        <w:t xml:space="preserve">je oprávněn </w:t>
      </w:r>
      <w:r w:rsidR="009A5F81">
        <w:rPr>
          <w:b/>
          <w:bCs/>
        </w:rPr>
        <w:t xml:space="preserve">využít </w:t>
      </w:r>
      <w:r w:rsidR="00361614">
        <w:rPr>
          <w:b/>
          <w:bCs/>
        </w:rPr>
        <w:t xml:space="preserve">svého </w:t>
      </w:r>
      <w:r w:rsidR="009A5F81">
        <w:rPr>
          <w:b/>
          <w:bCs/>
        </w:rPr>
        <w:t xml:space="preserve">práva na </w:t>
      </w:r>
      <w:r w:rsidR="007F29A9">
        <w:rPr>
          <w:b/>
          <w:bCs/>
        </w:rPr>
        <w:t>navýš</w:t>
      </w:r>
      <w:r w:rsidR="009A5F81">
        <w:rPr>
          <w:b/>
          <w:bCs/>
        </w:rPr>
        <w:t>ení</w:t>
      </w:r>
      <w:r w:rsidR="007F29A9">
        <w:rPr>
          <w:b/>
          <w:bCs/>
        </w:rPr>
        <w:t xml:space="preserve"> cen</w:t>
      </w:r>
      <w:r w:rsidR="009A5F81">
        <w:rPr>
          <w:b/>
          <w:bCs/>
        </w:rPr>
        <w:t>y</w:t>
      </w:r>
      <w:r w:rsidR="007F29A9">
        <w:rPr>
          <w:b/>
          <w:bCs/>
        </w:rPr>
        <w:t xml:space="preserve"> předmětu smlouvy dle tohoto odstavce nejdříve v roce 2026.</w:t>
      </w:r>
      <w:r>
        <w:rPr>
          <w:b/>
          <w:bCs/>
        </w:rPr>
        <w:t>“</w:t>
      </w:r>
    </w:p>
    <w:p w14:paraId="1BFA622E" w14:textId="77777777" w:rsidR="00F1033C" w:rsidRDefault="00F1033C" w:rsidP="000E7FC8">
      <w:pPr>
        <w:pStyle w:val="Bezmezer"/>
        <w:spacing w:line="276" w:lineRule="auto"/>
        <w:jc w:val="center"/>
      </w:pPr>
    </w:p>
    <w:p w14:paraId="41AD6285" w14:textId="6EED2D93" w:rsidR="000E7FC8" w:rsidRPr="00CD4857" w:rsidRDefault="000E7FC8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 xml:space="preserve">Článek </w:t>
      </w:r>
      <w:r w:rsidR="00B05773">
        <w:rPr>
          <w:b/>
          <w:bCs/>
          <w:snapToGrid w:val="0"/>
        </w:rPr>
        <w:t>I</w:t>
      </w:r>
      <w:r w:rsidR="00F507E3">
        <w:rPr>
          <w:b/>
          <w:bCs/>
          <w:snapToGrid w:val="0"/>
        </w:rPr>
        <w:t>V</w:t>
      </w:r>
      <w:r w:rsidRPr="00CD4857">
        <w:rPr>
          <w:b/>
          <w:bCs/>
          <w:snapToGrid w:val="0"/>
        </w:rPr>
        <w:t>.</w:t>
      </w:r>
    </w:p>
    <w:p w14:paraId="33A961B5" w14:textId="00F93C79" w:rsidR="000E7FC8" w:rsidRPr="00CD4857" w:rsidRDefault="000E7FC8" w:rsidP="000E7FC8">
      <w:pPr>
        <w:pStyle w:val="Bezmezer"/>
        <w:spacing w:line="276" w:lineRule="auto"/>
        <w:jc w:val="both"/>
      </w:pPr>
      <w:r w:rsidRPr="00CD4857">
        <w:t xml:space="preserve">Smluvní strany stvrzují, že ostatní ustanovení smlouvy </w:t>
      </w:r>
      <w:r w:rsidR="005A6A4C" w:rsidRPr="00CD4857">
        <w:t xml:space="preserve">o </w:t>
      </w:r>
      <w:r w:rsidR="00E65DD0">
        <w:t xml:space="preserve">údržbě </w:t>
      </w:r>
      <w:r w:rsidRPr="00CD4857">
        <w:t xml:space="preserve">se nemění. </w:t>
      </w:r>
    </w:p>
    <w:p w14:paraId="04162AFC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ab/>
        <w:t xml:space="preserve">      </w:t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  <w:t xml:space="preserve">  </w:t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  <w:t xml:space="preserve">        </w:t>
      </w:r>
    </w:p>
    <w:p w14:paraId="617BAAEF" w14:textId="77777777" w:rsidR="000E7FC8" w:rsidRPr="00CD4857" w:rsidRDefault="000E7FC8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>Článek V.</w:t>
      </w:r>
    </w:p>
    <w:p w14:paraId="6059852A" w14:textId="77777777" w:rsidR="000E7FC8" w:rsidRPr="00CD4857" w:rsidRDefault="000E7FC8" w:rsidP="000E7FC8">
      <w:pPr>
        <w:pStyle w:val="Bezmezer"/>
        <w:numPr>
          <w:ilvl w:val="0"/>
          <w:numId w:val="45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>Tento dodatek je vyhotoven ve dvou stejnopisech, z nichž každá ze smluvních stran obdrží</w:t>
      </w:r>
      <w:r w:rsidR="00BF021C" w:rsidRPr="00CD4857">
        <w:rPr>
          <w:snapToGrid w:val="0"/>
        </w:rPr>
        <w:br/>
      </w:r>
      <w:r w:rsidRPr="00CD4857">
        <w:rPr>
          <w:snapToGrid w:val="0"/>
        </w:rPr>
        <w:t>po jednom.</w:t>
      </w:r>
      <w:r w:rsidR="00422FED">
        <w:rPr>
          <w:snapToGrid w:val="0"/>
        </w:rPr>
        <w:t xml:space="preserve"> </w:t>
      </w:r>
      <w:r w:rsidR="00422FED" w:rsidRPr="00422FED">
        <w:rPr>
          <w:snapToGrid w:val="0"/>
        </w:rPr>
        <w:t>Alternativně může být dohoda vyhotovena v elektronické podobě, kdy každá</w:t>
      </w:r>
      <w:r w:rsidR="00422FED">
        <w:rPr>
          <w:snapToGrid w:val="0"/>
        </w:rPr>
        <w:br/>
      </w:r>
      <w:r w:rsidR="00422FED" w:rsidRPr="00422FED">
        <w:rPr>
          <w:snapToGrid w:val="0"/>
        </w:rPr>
        <w:t xml:space="preserve">ze smluvních stran obdrží její originální vyhotovení podepsané uznávaným elektronickým podpisem </w:t>
      </w:r>
      <w:r w:rsidR="00F0189F">
        <w:rPr>
          <w:snapToGrid w:val="0"/>
        </w:rPr>
        <w:t xml:space="preserve">s časovým razítkem </w:t>
      </w:r>
      <w:r w:rsidR="00422FED" w:rsidRPr="00422FED">
        <w:rPr>
          <w:snapToGrid w:val="0"/>
        </w:rPr>
        <w:t>oběma smluvními stranami.</w:t>
      </w:r>
    </w:p>
    <w:p w14:paraId="65567D23" w14:textId="77777777" w:rsidR="000E7FC8" w:rsidRPr="00CD4857" w:rsidRDefault="000E7FC8" w:rsidP="000E7FC8">
      <w:pPr>
        <w:pStyle w:val="Bezmezer"/>
        <w:numPr>
          <w:ilvl w:val="0"/>
          <w:numId w:val="45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>Tento dodatek nabývá platnosti dnem jeho podpisu oběma smluvními stranami a účinnosti zveřejněním v informačním systému veřejné správy „Registr smluv“.</w:t>
      </w:r>
    </w:p>
    <w:p w14:paraId="420BA299" w14:textId="77777777" w:rsidR="00F0189F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 </w:t>
      </w:r>
    </w:p>
    <w:p w14:paraId="53699D39" w14:textId="07D3DA38" w:rsidR="000E7FC8" w:rsidRPr="00CD4857" w:rsidRDefault="005013B7" w:rsidP="000E7FC8">
      <w:pPr>
        <w:pStyle w:val="Bezmezer"/>
        <w:spacing w:line="276" w:lineRule="auto"/>
        <w:jc w:val="both"/>
      </w:pPr>
      <w:bookmarkStart w:id="0" w:name="_Hlk189211556"/>
      <w:r>
        <w:t>V Brně dne</w:t>
      </w:r>
      <w:r w:rsidR="0069228A">
        <w:t xml:space="preserve"> 17. 2. 2025</w:t>
      </w:r>
      <w:r w:rsidR="008B4827">
        <w:tab/>
      </w:r>
      <w:r w:rsidR="008B4827">
        <w:tab/>
      </w:r>
      <w:r w:rsidR="008B4827">
        <w:tab/>
      </w:r>
      <w:r w:rsidR="000E7FC8" w:rsidRPr="00CD4857">
        <w:rPr>
          <w:color w:val="FF0000"/>
        </w:rPr>
        <w:tab/>
      </w:r>
      <w:r w:rsidR="00E644E0" w:rsidRPr="00CD4857">
        <w:t xml:space="preserve">V Horních </w:t>
      </w:r>
      <w:r w:rsidR="00E644E0" w:rsidRPr="0069228A">
        <w:t>Beřkovicích</w:t>
      </w:r>
      <w:r w:rsidR="008B4827" w:rsidRPr="0069228A">
        <w:t xml:space="preserve"> dne</w:t>
      </w:r>
      <w:r w:rsidR="0069228A" w:rsidRPr="0069228A">
        <w:t xml:space="preserve"> 19. 2. 2025</w:t>
      </w:r>
    </w:p>
    <w:bookmarkEnd w:id="0"/>
    <w:p w14:paraId="3C1DDCCB" w14:textId="77777777" w:rsidR="008B4827" w:rsidRPr="000B32BF" w:rsidRDefault="008B4827" w:rsidP="000E7FC8">
      <w:pPr>
        <w:spacing w:line="276" w:lineRule="auto"/>
        <w:ind w:left="851" w:hanging="851"/>
        <w:jc w:val="both"/>
        <w:rPr>
          <w:bCs/>
          <w:sz w:val="16"/>
          <w:szCs w:val="16"/>
        </w:rPr>
      </w:pPr>
    </w:p>
    <w:p w14:paraId="60AC375A" w14:textId="77777777" w:rsidR="000E7FC8" w:rsidRPr="00CD4857" w:rsidRDefault="000E7FC8" w:rsidP="000E7FC8">
      <w:pPr>
        <w:spacing w:line="276" w:lineRule="auto"/>
        <w:ind w:left="851" w:hanging="851"/>
        <w:jc w:val="both"/>
        <w:rPr>
          <w:bCs/>
        </w:rPr>
      </w:pPr>
      <w:r w:rsidRPr="00CD4857">
        <w:rPr>
          <w:bCs/>
        </w:rPr>
        <w:t xml:space="preserve">Za </w:t>
      </w:r>
      <w:r w:rsidR="009B13C9" w:rsidRPr="009B13C9">
        <w:rPr>
          <w:rFonts w:eastAsia="Calibri"/>
          <w:lang w:eastAsia="en-US"/>
        </w:rPr>
        <w:t>poskytovatel</w:t>
      </w:r>
      <w:r w:rsidR="009B13C9">
        <w:rPr>
          <w:rFonts w:eastAsia="Calibri"/>
          <w:lang w:eastAsia="en-US"/>
        </w:rPr>
        <w:t>e</w:t>
      </w:r>
      <w:r w:rsidRPr="00CD4857">
        <w:rPr>
          <w:bCs/>
        </w:rPr>
        <w:t>:</w:t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  <w:t xml:space="preserve">za </w:t>
      </w:r>
      <w:r w:rsidR="003A4967" w:rsidRPr="00CD4857">
        <w:rPr>
          <w:bCs/>
        </w:rPr>
        <w:t>objednatele</w:t>
      </w:r>
      <w:r w:rsidR="003A4967">
        <w:rPr>
          <w:bCs/>
        </w:rPr>
        <w:t>:</w:t>
      </w:r>
    </w:p>
    <w:p w14:paraId="60FCEBA5" w14:textId="77777777" w:rsidR="00F507E3" w:rsidRPr="00CD4857" w:rsidRDefault="00F507E3" w:rsidP="000E7FC8">
      <w:pPr>
        <w:pStyle w:val="Bezmezer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FC8" w:rsidRPr="003D2B79" w14:paraId="74F32261" w14:textId="77777777" w:rsidTr="00D717EF">
        <w:tc>
          <w:tcPr>
            <w:tcW w:w="4606" w:type="dxa"/>
          </w:tcPr>
          <w:p w14:paraId="61E90489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435FF5AE" w14:textId="77777777" w:rsidR="000E7FC8" w:rsidRPr="00CD4857" w:rsidRDefault="003A496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Ing. Petr Hájek</w:t>
            </w:r>
          </w:p>
          <w:p w14:paraId="51D31B72" w14:textId="09795ED5" w:rsidR="000E7FC8" w:rsidRDefault="00D75523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j</w:t>
            </w:r>
            <w:r w:rsidR="003A4967">
              <w:t>ednatel</w:t>
            </w:r>
          </w:p>
          <w:p w14:paraId="5360DBFE" w14:textId="4B5BA414" w:rsidR="00D75523" w:rsidRPr="00D75523" w:rsidRDefault="00D75523" w:rsidP="00D75523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i/>
                <w:iCs/>
              </w:rPr>
            </w:pPr>
            <w:r w:rsidRPr="00D75523">
              <w:rPr>
                <w:i/>
                <w:iCs/>
              </w:rPr>
              <w:t>(elektronicky podepsáno)</w:t>
            </w:r>
          </w:p>
        </w:tc>
        <w:tc>
          <w:tcPr>
            <w:tcW w:w="4606" w:type="dxa"/>
          </w:tcPr>
          <w:p w14:paraId="45E47990" w14:textId="77777777" w:rsidR="003A4967" w:rsidRPr="00CD4857" w:rsidRDefault="003A4967" w:rsidP="003A4967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69185E6E" w14:textId="77777777" w:rsidR="003A4967" w:rsidRPr="00CD4857" w:rsidRDefault="003A4967" w:rsidP="003A4967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CD4857">
              <w:rPr>
                <w:b/>
                <w:bCs/>
              </w:rPr>
              <w:t xml:space="preserve">MUDr. Jiří Tomeček, </w:t>
            </w:r>
            <w:proofErr w:type="spellStart"/>
            <w:r w:rsidRPr="00CD4857">
              <w:rPr>
                <w:b/>
                <w:bCs/>
              </w:rPr>
              <w:t>MBA</w:t>
            </w:r>
            <w:proofErr w:type="spellEnd"/>
          </w:p>
          <w:p w14:paraId="14B05185" w14:textId="25107FE6" w:rsidR="00094367" w:rsidRDefault="00D75523" w:rsidP="003A4967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ř</w:t>
            </w:r>
            <w:r w:rsidR="003A4967" w:rsidRPr="00CD4857">
              <w:t>editel</w:t>
            </w:r>
          </w:p>
          <w:p w14:paraId="66EB88FC" w14:textId="5AF4D4E6" w:rsidR="00D75523" w:rsidRPr="00094367" w:rsidRDefault="00D75523" w:rsidP="003A4967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 w:rsidRPr="00D75523">
              <w:rPr>
                <w:i/>
                <w:iCs/>
              </w:rPr>
              <w:t>(elektronicky podepsáno)</w:t>
            </w:r>
          </w:p>
        </w:tc>
      </w:tr>
    </w:tbl>
    <w:p w14:paraId="2E7AE697" w14:textId="77777777" w:rsidR="00FC29DE" w:rsidRDefault="00FC29DE" w:rsidP="00F507E3">
      <w:pPr>
        <w:pStyle w:val="Bezmezer"/>
        <w:rPr>
          <w:rFonts w:eastAsia="Calibri"/>
          <w:lang w:eastAsia="en-US"/>
        </w:rPr>
      </w:pPr>
    </w:p>
    <w:sectPr w:rsidR="00FC29DE" w:rsidSect="009F7A24">
      <w:footerReference w:type="default" r:id="rId8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976B" w14:textId="77777777" w:rsidR="000C45C6" w:rsidRDefault="000C45C6">
      <w:r>
        <w:separator/>
      </w:r>
    </w:p>
  </w:endnote>
  <w:endnote w:type="continuationSeparator" w:id="0">
    <w:p w14:paraId="6B6A2753" w14:textId="77777777" w:rsidR="000C45C6" w:rsidRDefault="000C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C3CF" w14:textId="77777777" w:rsidR="008C564E" w:rsidRPr="008C5E4D" w:rsidRDefault="00336528" w:rsidP="002F6E6B">
    <w:pPr>
      <w:pStyle w:val="Zpat"/>
      <w:jc w:val="center"/>
      <w:rPr>
        <w:sz w:val="20"/>
        <w:szCs w:val="20"/>
      </w:rPr>
    </w:pPr>
    <w:r w:rsidRPr="008C5E4D">
      <w:rPr>
        <w:sz w:val="20"/>
        <w:szCs w:val="20"/>
      </w:rPr>
      <w:t xml:space="preserve">Strana </w:t>
    </w:r>
    <w:r w:rsidR="00EA3DCF" w:rsidRPr="008C5E4D">
      <w:rPr>
        <w:sz w:val="20"/>
        <w:szCs w:val="20"/>
      </w:rPr>
      <w:fldChar w:fldCharType="begin"/>
    </w:r>
    <w:r w:rsidR="00EA3DCF" w:rsidRPr="008C5E4D">
      <w:rPr>
        <w:sz w:val="20"/>
        <w:szCs w:val="20"/>
      </w:rPr>
      <w:instrText>PAGE   \* MERGEFORMAT</w:instrText>
    </w:r>
    <w:r w:rsidR="00EA3DCF" w:rsidRPr="008C5E4D">
      <w:rPr>
        <w:sz w:val="20"/>
        <w:szCs w:val="20"/>
      </w:rPr>
      <w:fldChar w:fldCharType="separate"/>
    </w:r>
    <w:r w:rsidR="00C43F05">
      <w:rPr>
        <w:noProof/>
        <w:sz w:val="20"/>
        <w:szCs w:val="20"/>
      </w:rPr>
      <w:t>2</w:t>
    </w:r>
    <w:r w:rsidR="00EA3DCF" w:rsidRPr="008C5E4D">
      <w:rPr>
        <w:sz w:val="20"/>
        <w:szCs w:val="20"/>
      </w:rPr>
      <w:fldChar w:fldCharType="end"/>
    </w:r>
    <w:r w:rsidRPr="008C5E4D">
      <w:rPr>
        <w:sz w:val="20"/>
        <w:szCs w:val="20"/>
      </w:rPr>
      <w:t xml:space="preserve"> z(e) </w:t>
    </w:r>
    <w:r w:rsidRPr="008C5E4D">
      <w:rPr>
        <w:sz w:val="20"/>
        <w:szCs w:val="20"/>
      </w:rPr>
      <w:fldChar w:fldCharType="begin"/>
    </w:r>
    <w:r w:rsidRPr="008C5E4D">
      <w:rPr>
        <w:sz w:val="20"/>
        <w:szCs w:val="20"/>
      </w:rPr>
      <w:instrText xml:space="preserve"> NUMPAGES   \* MERGEFORMAT </w:instrText>
    </w:r>
    <w:r w:rsidRPr="008C5E4D">
      <w:rPr>
        <w:sz w:val="20"/>
        <w:szCs w:val="20"/>
      </w:rPr>
      <w:fldChar w:fldCharType="separate"/>
    </w:r>
    <w:r w:rsidR="00C43F05">
      <w:rPr>
        <w:noProof/>
        <w:sz w:val="20"/>
        <w:szCs w:val="20"/>
      </w:rPr>
      <w:t>2</w:t>
    </w:r>
    <w:r w:rsidRPr="008C5E4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CCE1" w14:textId="77777777" w:rsidR="000C45C6" w:rsidRDefault="000C45C6">
      <w:r>
        <w:separator/>
      </w:r>
    </w:p>
  </w:footnote>
  <w:footnote w:type="continuationSeparator" w:id="0">
    <w:p w14:paraId="5C7A1AA7" w14:textId="77777777" w:rsidR="000C45C6" w:rsidRDefault="000C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86D"/>
    <w:multiLevelType w:val="hybridMultilevel"/>
    <w:tmpl w:val="C7C2F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454"/>
    <w:multiLevelType w:val="hybridMultilevel"/>
    <w:tmpl w:val="24D449A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739F6"/>
    <w:multiLevelType w:val="hybridMultilevel"/>
    <w:tmpl w:val="CC8835A6"/>
    <w:lvl w:ilvl="0" w:tplc="8160A8E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41F92"/>
    <w:multiLevelType w:val="hybridMultilevel"/>
    <w:tmpl w:val="9A4A9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567D"/>
    <w:multiLevelType w:val="hybridMultilevel"/>
    <w:tmpl w:val="C3AE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6BB"/>
    <w:multiLevelType w:val="hybridMultilevel"/>
    <w:tmpl w:val="B55657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239E8"/>
    <w:multiLevelType w:val="hybridMultilevel"/>
    <w:tmpl w:val="1004CA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16702"/>
    <w:multiLevelType w:val="hybridMultilevel"/>
    <w:tmpl w:val="8B8030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90085"/>
    <w:multiLevelType w:val="hybridMultilevel"/>
    <w:tmpl w:val="B936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37CEA"/>
    <w:multiLevelType w:val="hybridMultilevel"/>
    <w:tmpl w:val="C28CF6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B7CED"/>
    <w:multiLevelType w:val="hybridMultilevel"/>
    <w:tmpl w:val="ABB6EC4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FE1FE5"/>
    <w:multiLevelType w:val="hybridMultilevel"/>
    <w:tmpl w:val="C9A448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B729FEA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A7939"/>
    <w:multiLevelType w:val="hybridMultilevel"/>
    <w:tmpl w:val="37681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E27BC"/>
    <w:multiLevelType w:val="hybridMultilevel"/>
    <w:tmpl w:val="42BA25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C7057"/>
    <w:multiLevelType w:val="hybridMultilevel"/>
    <w:tmpl w:val="F0FA3A0E"/>
    <w:lvl w:ilvl="0" w:tplc="CC7A1AC2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72263"/>
    <w:multiLevelType w:val="hybridMultilevel"/>
    <w:tmpl w:val="59F6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31D0D"/>
    <w:multiLevelType w:val="hybridMultilevel"/>
    <w:tmpl w:val="62C47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66B11"/>
    <w:multiLevelType w:val="hybridMultilevel"/>
    <w:tmpl w:val="FDBC9A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E4C7CE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224A7"/>
    <w:multiLevelType w:val="hybridMultilevel"/>
    <w:tmpl w:val="B052C5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29415A"/>
    <w:multiLevelType w:val="hybridMultilevel"/>
    <w:tmpl w:val="ABAC95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3E2783"/>
    <w:multiLevelType w:val="hybridMultilevel"/>
    <w:tmpl w:val="28E07C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7D7D23"/>
    <w:multiLevelType w:val="hybridMultilevel"/>
    <w:tmpl w:val="FD623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2F82"/>
    <w:multiLevelType w:val="hybridMultilevel"/>
    <w:tmpl w:val="A8B0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32C51"/>
    <w:multiLevelType w:val="hybridMultilevel"/>
    <w:tmpl w:val="EBCA5E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44F0B"/>
    <w:multiLevelType w:val="hybridMultilevel"/>
    <w:tmpl w:val="D48CA566"/>
    <w:lvl w:ilvl="0" w:tplc="A41AF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33E56"/>
    <w:multiLevelType w:val="hybridMultilevel"/>
    <w:tmpl w:val="141A7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F2E9F"/>
    <w:multiLevelType w:val="hybridMultilevel"/>
    <w:tmpl w:val="948C28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4D545E"/>
    <w:multiLevelType w:val="hybridMultilevel"/>
    <w:tmpl w:val="A2D2F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03641"/>
    <w:multiLevelType w:val="hybridMultilevel"/>
    <w:tmpl w:val="1004CA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8C22A8E"/>
    <w:multiLevelType w:val="hybridMultilevel"/>
    <w:tmpl w:val="6DD89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7A"/>
    <w:multiLevelType w:val="hybridMultilevel"/>
    <w:tmpl w:val="DFE04E8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0C693A"/>
    <w:multiLevelType w:val="hybridMultilevel"/>
    <w:tmpl w:val="45DEE5EA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 w15:restartNumberingAfterBreak="0">
    <w:nsid w:val="6CCB00B1"/>
    <w:multiLevelType w:val="hybridMultilevel"/>
    <w:tmpl w:val="50F65E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74D33"/>
    <w:multiLevelType w:val="hybridMultilevel"/>
    <w:tmpl w:val="A386D9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424DD1"/>
    <w:multiLevelType w:val="hybridMultilevel"/>
    <w:tmpl w:val="0DB2BC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17E8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42658498">
    <w:abstractNumId w:val="29"/>
  </w:num>
  <w:num w:numId="2" w16cid:durableId="1464496803">
    <w:abstractNumId w:val="29"/>
  </w:num>
  <w:num w:numId="3" w16cid:durableId="288047249">
    <w:abstractNumId w:val="29"/>
  </w:num>
  <w:num w:numId="4" w16cid:durableId="541140529">
    <w:abstractNumId w:val="29"/>
  </w:num>
  <w:num w:numId="5" w16cid:durableId="992759683">
    <w:abstractNumId w:val="29"/>
  </w:num>
  <w:num w:numId="6" w16cid:durableId="1999919248">
    <w:abstractNumId w:val="29"/>
  </w:num>
  <w:num w:numId="7" w16cid:durableId="602609175">
    <w:abstractNumId w:val="29"/>
  </w:num>
  <w:num w:numId="8" w16cid:durableId="665018020">
    <w:abstractNumId w:val="29"/>
  </w:num>
  <w:num w:numId="9" w16cid:durableId="1835298838">
    <w:abstractNumId w:val="29"/>
  </w:num>
  <w:num w:numId="10" w16cid:durableId="1531187256">
    <w:abstractNumId w:val="29"/>
  </w:num>
  <w:num w:numId="11" w16cid:durableId="1325088413">
    <w:abstractNumId w:val="36"/>
  </w:num>
  <w:num w:numId="12" w16cid:durableId="1471434186">
    <w:abstractNumId w:val="10"/>
  </w:num>
  <w:num w:numId="13" w16cid:durableId="275328621">
    <w:abstractNumId w:val="19"/>
  </w:num>
  <w:num w:numId="14" w16cid:durableId="564028473">
    <w:abstractNumId w:val="32"/>
  </w:num>
  <w:num w:numId="15" w16cid:durableId="2023314777">
    <w:abstractNumId w:val="31"/>
  </w:num>
  <w:num w:numId="16" w16cid:durableId="1017922843">
    <w:abstractNumId w:val="12"/>
  </w:num>
  <w:num w:numId="17" w16cid:durableId="2068603770">
    <w:abstractNumId w:val="4"/>
  </w:num>
  <w:num w:numId="18" w16cid:durableId="1673682786">
    <w:abstractNumId w:val="15"/>
  </w:num>
  <w:num w:numId="19" w16cid:durableId="592787710">
    <w:abstractNumId w:val="22"/>
  </w:num>
  <w:num w:numId="20" w16cid:durableId="1424260826">
    <w:abstractNumId w:val="8"/>
  </w:num>
  <w:num w:numId="21" w16cid:durableId="838077883">
    <w:abstractNumId w:val="28"/>
  </w:num>
  <w:num w:numId="22" w16cid:durableId="1956979522">
    <w:abstractNumId w:val="14"/>
  </w:num>
  <w:num w:numId="23" w16cid:durableId="89160358">
    <w:abstractNumId w:val="2"/>
  </w:num>
  <w:num w:numId="24" w16cid:durableId="523591800">
    <w:abstractNumId w:val="23"/>
  </w:num>
  <w:num w:numId="25" w16cid:durableId="933055334">
    <w:abstractNumId w:val="9"/>
  </w:num>
  <w:num w:numId="26" w16cid:durableId="2250630">
    <w:abstractNumId w:val="26"/>
  </w:num>
  <w:num w:numId="27" w16cid:durableId="1773739779">
    <w:abstractNumId w:val="35"/>
  </w:num>
  <w:num w:numId="28" w16cid:durableId="499466599">
    <w:abstractNumId w:val="18"/>
  </w:num>
  <w:num w:numId="29" w16cid:durableId="1276866535">
    <w:abstractNumId w:val="13"/>
  </w:num>
  <w:num w:numId="30" w16cid:durableId="1660421743">
    <w:abstractNumId w:val="33"/>
  </w:num>
  <w:num w:numId="31" w16cid:durableId="913389764">
    <w:abstractNumId w:val="11"/>
  </w:num>
  <w:num w:numId="32" w16cid:durableId="570509393">
    <w:abstractNumId w:val="20"/>
  </w:num>
  <w:num w:numId="33" w16cid:durableId="1557543629">
    <w:abstractNumId w:val="6"/>
  </w:num>
  <w:num w:numId="34" w16cid:durableId="1826045799">
    <w:abstractNumId w:val="1"/>
  </w:num>
  <w:num w:numId="35" w16cid:durableId="1722171967">
    <w:abstractNumId w:val="34"/>
  </w:num>
  <w:num w:numId="36" w16cid:durableId="1605919113">
    <w:abstractNumId w:val="5"/>
  </w:num>
  <w:num w:numId="37" w16cid:durableId="201721408">
    <w:abstractNumId w:val="7"/>
  </w:num>
  <w:num w:numId="38" w16cid:durableId="257250140">
    <w:abstractNumId w:val="27"/>
  </w:num>
  <w:num w:numId="39" w16cid:durableId="1219171976">
    <w:abstractNumId w:val="21"/>
  </w:num>
  <w:num w:numId="40" w16cid:durableId="592589866">
    <w:abstractNumId w:val="17"/>
  </w:num>
  <w:num w:numId="41" w16cid:durableId="1207335972">
    <w:abstractNumId w:val="0"/>
  </w:num>
  <w:num w:numId="42" w16cid:durableId="650788857">
    <w:abstractNumId w:val="24"/>
  </w:num>
  <w:num w:numId="43" w16cid:durableId="227696495">
    <w:abstractNumId w:val="25"/>
  </w:num>
  <w:num w:numId="44" w16cid:durableId="203101863">
    <w:abstractNumId w:val="30"/>
  </w:num>
  <w:num w:numId="45" w16cid:durableId="1239705432">
    <w:abstractNumId w:val="16"/>
  </w:num>
  <w:num w:numId="46" w16cid:durableId="211709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1"/>
    <w:rsid w:val="00001A48"/>
    <w:rsid w:val="00002EA7"/>
    <w:rsid w:val="00006ADB"/>
    <w:rsid w:val="00011316"/>
    <w:rsid w:val="00011AC4"/>
    <w:rsid w:val="000173C0"/>
    <w:rsid w:val="0002645E"/>
    <w:rsid w:val="000318F3"/>
    <w:rsid w:val="00033430"/>
    <w:rsid w:val="00034E90"/>
    <w:rsid w:val="00041A37"/>
    <w:rsid w:val="00041A6C"/>
    <w:rsid w:val="00045C31"/>
    <w:rsid w:val="00057784"/>
    <w:rsid w:val="00067613"/>
    <w:rsid w:val="00067A7C"/>
    <w:rsid w:val="000717B3"/>
    <w:rsid w:val="000725D4"/>
    <w:rsid w:val="00074141"/>
    <w:rsid w:val="0007498D"/>
    <w:rsid w:val="0007720F"/>
    <w:rsid w:val="00080C12"/>
    <w:rsid w:val="0008312A"/>
    <w:rsid w:val="000852A9"/>
    <w:rsid w:val="00093BDA"/>
    <w:rsid w:val="00094367"/>
    <w:rsid w:val="00097BBC"/>
    <w:rsid w:val="000A46CD"/>
    <w:rsid w:val="000A5B39"/>
    <w:rsid w:val="000B2310"/>
    <w:rsid w:val="000B26C3"/>
    <w:rsid w:val="000B32BF"/>
    <w:rsid w:val="000B78C2"/>
    <w:rsid w:val="000C45C6"/>
    <w:rsid w:val="000C7C4C"/>
    <w:rsid w:val="000D4FBF"/>
    <w:rsid w:val="000D5C93"/>
    <w:rsid w:val="000D6F15"/>
    <w:rsid w:val="000D7D09"/>
    <w:rsid w:val="000E1008"/>
    <w:rsid w:val="000E4645"/>
    <w:rsid w:val="000E4921"/>
    <w:rsid w:val="000E7FC8"/>
    <w:rsid w:val="000F01EE"/>
    <w:rsid w:val="000F1041"/>
    <w:rsid w:val="000F1A3A"/>
    <w:rsid w:val="000F228A"/>
    <w:rsid w:val="000F61BD"/>
    <w:rsid w:val="000F76D7"/>
    <w:rsid w:val="0010559C"/>
    <w:rsid w:val="001144D4"/>
    <w:rsid w:val="00121427"/>
    <w:rsid w:val="00121C8A"/>
    <w:rsid w:val="00124494"/>
    <w:rsid w:val="00124FA1"/>
    <w:rsid w:val="00132977"/>
    <w:rsid w:val="001335E1"/>
    <w:rsid w:val="001474BD"/>
    <w:rsid w:val="001505CB"/>
    <w:rsid w:val="00150F08"/>
    <w:rsid w:val="001711E0"/>
    <w:rsid w:val="001871DA"/>
    <w:rsid w:val="001921F0"/>
    <w:rsid w:val="001A42F3"/>
    <w:rsid w:val="001A789E"/>
    <w:rsid w:val="001B1827"/>
    <w:rsid w:val="001B42A2"/>
    <w:rsid w:val="001B4DE6"/>
    <w:rsid w:val="001D22D2"/>
    <w:rsid w:val="001E5452"/>
    <w:rsid w:val="001E77B8"/>
    <w:rsid w:val="001F1975"/>
    <w:rsid w:val="0020393A"/>
    <w:rsid w:val="00206E9A"/>
    <w:rsid w:val="00210D6F"/>
    <w:rsid w:val="00217443"/>
    <w:rsid w:val="0021770F"/>
    <w:rsid w:val="002214FB"/>
    <w:rsid w:val="00225CDD"/>
    <w:rsid w:val="00233A97"/>
    <w:rsid w:val="002376FD"/>
    <w:rsid w:val="00240EDA"/>
    <w:rsid w:val="002510F8"/>
    <w:rsid w:val="002564E2"/>
    <w:rsid w:val="0026212D"/>
    <w:rsid w:val="00262643"/>
    <w:rsid w:val="00262B00"/>
    <w:rsid w:val="00267413"/>
    <w:rsid w:val="00267AB6"/>
    <w:rsid w:val="00280368"/>
    <w:rsid w:val="0028041B"/>
    <w:rsid w:val="0028232E"/>
    <w:rsid w:val="00282BB7"/>
    <w:rsid w:val="00285AE8"/>
    <w:rsid w:val="00290BEE"/>
    <w:rsid w:val="0029397F"/>
    <w:rsid w:val="002B7020"/>
    <w:rsid w:val="002C06EF"/>
    <w:rsid w:val="002C4932"/>
    <w:rsid w:val="002C5868"/>
    <w:rsid w:val="002D322E"/>
    <w:rsid w:val="002D6192"/>
    <w:rsid w:val="002D7B68"/>
    <w:rsid w:val="002E0F5B"/>
    <w:rsid w:val="002E157E"/>
    <w:rsid w:val="002E258A"/>
    <w:rsid w:val="002F4D53"/>
    <w:rsid w:val="002F6E6B"/>
    <w:rsid w:val="003000D0"/>
    <w:rsid w:val="00300C51"/>
    <w:rsid w:val="0030332E"/>
    <w:rsid w:val="0031090F"/>
    <w:rsid w:val="003123D1"/>
    <w:rsid w:val="00316698"/>
    <w:rsid w:val="003318E8"/>
    <w:rsid w:val="003340A0"/>
    <w:rsid w:val="003352A4"/>
    <w:rsid w:val="00336528"/>
    <w:rsid w:val="00352F15"/>
    <w:rsid w:val="00353D54"/>
    <w:rsid w:val="00361614"/>
    <w:rsid w:val="00373AB5"/>
    <w:rsid w:val="003819FB"/>
    <w:rsid w:val="00382B3F"/>
    <w:rsid w:val="00384D09"/>
    <w:rsid w:val="00386C72"/>
    <w:rsid w:val="00387BB3"/>
    <w:rsid w:val="00387F22"/>
    <w:rsid w:val="003915DD"/>
    <w:rsid w:val="0039342B"/>
    <w:rsid w:val="00393FCC"/>
    <w:rsid w:val="003966B5"/>
    <w:rsid w:val="00396A83"/>
    <w:rsid w:val="00396BA2"/>
    <w:rsid w:val="003979C4"/>
    <w:rsid w:val="003A23F2"/>
    <w:rsid w:val="003A2C2F"/>
    <w:rsid w:val="003A2D49"/>
    <w:rsid w:val="003A4967"/>
    <w:rsid w:val="003A665C"/>
    <w:rsid w:val="003A670A"/>
    <w:rsid w:val="003B6C05"/>
    <w:rsid w:val="003C01D3"/>
    <w:rsid w:val="003C1559"/>
    <w:rsid w:val="003D0534"/>
    <w:rsid w:val="003D0F2E"/>
    <w:rsid w:val="003E1D82"/>
    <w:rsid w:val="003E3AE3"/>
    <w:rsid w:val="003F00A8"/>
    <w:rsid w:val="003F6DCE"/>
    <w:rsid w:val="00401D69"/>
    <w:rsid w:val="004141CC"/>
    <w:rsid w:val="00414F59"/>
    <w:rsid w:val="00420C31"/>
    <w:rsid w:val="00422FED"/>
    <w:rsid w:val="00434FF6"/>
    <w:rsid w:val="004478A2"/>
    <w:rsid w:val="00452501"/>
    <w:rsid w:val="0045689D"/>
    <w:rsid w:val="004571BD"/>
    <w:rsid w:val="00472BC3"/>
    <w:rsid w:val="00476765"/>
    <w:rsid w:val="00482966"/>
    <w:rsid w:val="00484E47"/>
    <w:rsid w:val="00490AAA"/>
    <w:rsid w:val="00492FAD"/>
    <w:rsid w:val="00496D80"/>
    <w:rsid w:val="004972DA"/>
    <w:rsid w:val="004A11AB"/>
    <w:rsid w:val="004A46BE"/>
    <w:rsid w:val="004A78AA"/>
    <w:rsid w:val="004A7FDA"/>
    <w:rsid w:val="004B3FC1"/>
    <w:rsid w:val="004C01F6"/>
    <w:rsid w:val="004C2CDF"/>
    <w:rsid w:val="004C5E9E"/>
    <w:rsid w:val="004C7F9A"/>
    <w:rsid w:val="004D57AA"/>
    <w:rsid w:val="004F014A"/>
    <w:rsid w:val="004F7804"/>
    <w:rsid w:val="005013B7"/>
    <w:rsid w:val="005018AD"/>
    <w:rsid w:val="00502587"/>
    <w:rsid w:val="00505F9B"/>
    <w:rsid w:val="00506220"/>
    <w:rsid w:val="00514533"/>
    <w:rsid w:val="00516AF2"/>
    <w:rsid w:val="00517021"/>
    <w:rsid w:val="005274D8"/>
    <w:rsid w:val="00540E78"/>
    <w:rsid w:val="0054519E"/>
    <w:rsid w:val="00545AD9"/>
    <w:rsid w:val="00546E72"/>
    <w:rsid w:val="005501E7"/>
    <w:rsid w:val="0055592C"/>
    <w:rsid w:val="00555E01"/>
    <w:rsid w:val="00556417"/>
    <w:rsid w:val="00556BAE"/>
    <w:rsid w:val="0057016A"/>
    <w:rsid w:val="005738B5"/>
    <w:rsid w:val="00575831"/>
    <w:rsid w:val="00585302"/>
    <w:rsid w:val="00587E20"/>
    <w:rsid w:val="005908EA"/>
    <w:rsid w:val="00596A8D"/>
    <w:rsid w:val="005A1874"/>
    <w:rsid w:val="005A3BAA"/>
    <w:rsid w:val="005A51F1"/>
    <w:rsid w:val="005A6A4C"/>
    <w:rsid w:val="005A7854"/>
    <w:rsid w:val="005B31BB"/>
    <w:rsid w:val="005B60F3"/>
    <w:rsid w:val="005C2239"/>
    <w:rsid w:val="005C2A86"/>
    <w:rsid w:val="005D4A7A"/>
    <w:rsid w:val="005D5E3A"/>
    <w:rsid w:val="005D7FF1"/>
    <w:rsid w:val="005E38E8"/>
    <w:rsid w:val="005E3C33"/>
    <w:rsid w:val="005F0742"/>
    <w:rsid w:val="005F1E2A"/>
    <w:rsid w:val="005F59BB"/>
    <w:rsid w:val="005F6A82"/>
    <w:rsid w:val="005F6BBD"/>
    <w:rsid w:val="005F7ABF"/>
    <w:rsid w:val="00600135"/>
    <w:rsid w:val="0060078D"/>
    <w:rsid w:val="006026D8"/>
    <w:rsid w:val="00604D44"/>
    <w:rsid w:val="006055A6"/>
    <w:rsid w:val="00607290"/>
    <w:rsid w:val="00612408"/>
    <w:rsid w:val="00613FE7"/>
    <w:rsid w:val="0061549B"/>
    <w:rsid w:val="00623ECC"/>
    <w:rsid w:val="0062451F"/>
    <w:rsid w:val="00627A63"/>
    <w:rsid w:val="00633501"/>
    <w:rsid w:val="00641CC7"/>
    <w:rsid w:val="00641DA5"/>
    <w:rsid w:val="0064563B"/>
    <w:rsid w:val="006479C3"/>
    <w:rsid w:val="006502E1"/>
    <w:rsid w:val="006509DC"/>
    <w:rsid w:val="0065149F"/>
    <w:rsid w:val="006517FF"/>
    <w:rsid w:val="00654D80"/>
    <w:rsid w:val="006555EC"/>
    <w:rsid w:val="00656BAE"/>
    <w:rsid w:val="006701C8"/>
    <w:rsid w:val="006747C9"/>
    <w:rsid w:val="00676D98"/>
    <w:rsid w:val="00681F4B"/>
    <w:rsid w:val="00682A17"/>
    <w:rsid w:val="00682BCD"/>
    <w:rsid w:val="00682E2F"/>
    <w:rsid w:val="006841AC"/>
    <w:rsid w:val="006857CF"/>
    <w:rsid w:val="00685DAB"/>
    <w:rsid w:val="006866DA"/>
    <w:rsid w:val="00687FF1"/>
    <w:rsid w:val="0069228A"/>
    <w:rsid w:val="00693428"/>
    <w:rsid w:val="00694F41"/>
    <w:rsid w:val="006965B6"/>
    <w:rsid w:val="006B436C"/>
    <w:rsid w:val="006B634B"/>
    <w:rsid w:val="006C106E"/>
    <w:rsid w:val="006C2B21"/>
    <w:rsid w:val="006C5660"/>
    <w:rsid w:val="006C5947"/>
    <w:rsid w:val="006D2DB3"/>
    <w:rsid w:val="006D3262"/>
    <w:rsid w:val="006D3B98"/>
    <w:rsid w:val="006D572C"/>
    <w:rsid w:val="006E3B7E"/>
    <w:rsid w:val="006E6140"/>
    <w:rsid w:val="006F1C53"/>
    <w:rsid w:val="006F6AA4"/>
    <w:rsid w:val="0070099A"/>
    <w:rsid w:val="00701EC6"/>
    <w:rsid w:val="007035E8"/>
    <w:rsid w:val="007060F0"/>
    <w:rsid w:val="00706A6B"/>
    <w:rsid w:val="00706FE0"/>
    <w:rsid w:val="007102F0"/>
    <w:rsid w:val="007142FE"/>
    <w:rsid w:val="00715E16"/>
    <w:rsid w:val="00720648"/>
    <w:rsid w:val="007338E6"/>
    <w:rsid w:val="00734FB6"/>
    <w:rsid w:val="007411DF"/>
    <w:rsid w:val="00746B3E"/>
    <w:rsid w:val="00747469"/>
    <w:rsid w:val="007516D9"/>
    <w:rsid w:val="0075669F"/>
    <w:rsid w:val="00767891"/>
    <w:rsid w:val="0077187D"/>
    <w:rsid w:val="00773BF8"/>
    <w:rsid w:val="00774666"/>
    <w:rsid w:val="007768CD"/>
    <w:rsid w:val="0078321A"/>
    <w:rsid w:val="00783C42"/>
    <w:rsid w:val="007848CD"/>
    <w:rsid w:val="00786AA9"/>
    <w:rsid w:val="00786E1F"/>
    <w:rsid w:val="0079266C"/>
    <w:rsid w:val="00792BA7"/>
    <w:rsid w:val="00794B78"/>
    <w:rsid w:val="00795556"/>
    <w:rsid w:val="0079559D"/>
    <w:rsid w:val="007A5331"/>
    <w:rsid w:val="007A6D2C"/>
    <w:rsid w:val="007A7B02"/>
    <w:rsid w:val="007B02D7"/>
    <w:rsid w:val="007B659E"/>
    <w:rsid w:val="007B6A29"/>
    <w:rsid w:val="007C1997"/>
    <w:rsid w:val="007C6EF1"/>
    <w:rsid w:val="007C72C5"/>
    <w:rsid w:val="007D2073"/>
    <w:rsid w:val="007E1B14"/>
    <w:rsid w:val="007E2213"/>
    <w:rsid w:val="007F29A9"/>
    <w:rsid w:val="007F463F"/>
    <w:rsid w:val="007F47F7"/>
    <w:rsid w:val="007F59EC"/>
    <w:rsid w:val="007F7326"/>
    <w:rsid w:val="008019C1"/>
    <w:rsid w:val="00802F86"/>
    <w:rsid w:val="008114D8"/>
    <w:rsid w:val="0082263C"/>
    <w:rsid w:val="00823BC5"/>
    <w:rsid w:val="00825DBA"/>
    <w:rsid w:val="00827913"/>
    <w:rsid w:val="0083270F"/>
    <w:rsid w:val="00832AEF"/>
    <w:rsid w:val="0083761F"/>
    <w:rsid w:val="00837D36"/>
    <w:rsid w:val="00840741"/>
    <w:rsid w:val="00845932"/>
    <w:rsid w:val="0084596F"/>
    <w:rsid w:val="00855C0E"/>
    <w:rsid w:val="00857661"/>
    <w:rsid w:val="00864810"/>
    <w:rsid w:val="00873C74"/>
    <w:rsid w:val="0088081D"/>
    <w:rsid w:val="00881991"/>
    <w:rsid w:val="00881F6B"/>
    <w:rsid w:val="00884255"/>
    <w:rsid w:val="00893723"/>
    <w:rsid w:val="008973C2"/>
    <w:rsid w:val="008A168C"/>
    <w:rsid w:val="008A1CD1"/>
    <w:rsid w:val="008A5B69"/>
    <w:rsid w:val="008A6F23"/>
    <w:rsid w:val="008B0D7B"/>
    <w:rsid w:val="008B4827"/>
    <w:rsid w:val="008B5200"/>
    <w:rsid w:val="008C04BE"/>
    <w:rsid w:val="008C1AE5"/>
    <w:rsid w:val="008C2AAA"/>
    <w:rsid w:val="008C564E"/>
    <w:rsid w:val="008C5E4D"/>
    <w:rsid w:val="008D1881"/>
    <w:rsid w:val="008D2924"/>
    <w:rsid w:val="008D2C15"/>
    <w:rsid w:val="008D4F88"/>
    <w:rsid w:val="008D5EFE"/>
    <w:rsid w:val="008E0089"/>
    <w:rsid w:val="008E4B71"/>
    <w:rsid w:val="008E60C5"/>
    <w:rsid w:val="008F01B2"/>
    <w:rsid w:val="008F2AB2"/>
    <w:rsid w:val="008F35E7"/>
    <w:rsid w:val="008F3B89"/>
    <w:rsid w:val="008F54C6"/>
    <w:rsid w:val="00907CD9"/>
    <w:rsid w:val="009146DC"/>
    <w:rsid w:val="009166AB"/>
    <w:rsid w:val="009252D5"/>
    <w:rsid w:val="0092531F"/>
    <w:rsid w:val="009256A0"/>
    <w:rsid w:val="0093320D"/>
    <w:rsid w:val="00934D1D"/>
    <w:rsid w:val="009351EC"/>
    <w:rsid w:val="009357A3"/>
    <w:rsid w:val="00946D10"/>
    <w:rsid w:val="0095049A"/>
    <w:rsid w:val="00961DA6"/>
    <w:rsid w:val="009624B6"/>
    <w:rsid w:val="009660C7"/>
    <w:rsid w:val="009805FA"/>
    <w:rsid w:val="00983A87"/>
    <w:rsid w:val="0098577E"/>
    <w:rsid w:val="00987239"/>
    <w:rsid w:val="00991837"/>
    <w:rsid w:val="00991BD5"/>
    <w:rsid w:val="00994DEE"/>
    <w:rsid w:val="0099617C"/>
    <w:rsid w:val="009A0E53"/>
    <w:rsid w:val="009A5F81"/>
    <w:rsid w:val="009B13C9"/>
    <w:rsid w:val="009B1F76"/>
    <w:rsid w:val="009B32EA"/>
    <w:rsid w:val="009C0633"/>
    <w:rsid w:val="009C0F8E"/>
    <w:rsid w:val="009C7599"/>
    <w:rsid w:val="009D1E86"/>
    <w:rsid w:val="009D5061"/>
    <w:rsid w:val="009D597F"/>
    <w:rsid w:val="009D713E"/>
    <w:rsid w:val="009E2BDF"/>
    <w:rsid w:val="009E44F4"/>
    <w:rsid w:val="009E7049"/>
    <w:rsid w:val="009E7D5E"/>
    <w:rsid w:val="009F1C69"/>
    <w:rsid w:val="009F6C30"/>
    <w:rsid w:val="009F7A24"/>
    <w:rsid w:val="00A01943"/>
    <w:rsid w:val="00A01D6F"/>
    <w:rsid w:val="00A022EC"/>
    <w:rsid w:val="00A10B5D"/>
    <w:rsid w:val="00A16D80"/>
    <w:rsid w:val="00A178B6"/>
    <w:rsid w:val="00A20932"/>
    <w:rsid w:val="00A24AD8"/>
    <w:rsid w:val="00A26311"/>
    <w:rsid w:val="00A359F2"/>
    <w:rsid w:val="00A51E51"/>
    <w:rsid w:val="00A51F04"/>
    <w:rsid w:val="00A522EF"/>
    <w:rsid w:val="00A52B1B"/>
    <w:rsid w:val="00A67AD3"/>
    <w:rsid w:val="00A70D2F"/>
    <w:rsid w:val="00A713B6"/>
    <w:rsid w:val="00A80A05"/>
    <w:rsid w:val="00A862C9"/>
    <w:rsid w:val="00A87D91"/>
    <w:rsid w:val="00A93322"/>
    <w:rsid w:val="00AA7EA5"/>
    <w:rsid w:val="00AB1D5C"/>
    <w:rsid w:val="00AB3686"/>
    <w:rsid w:val="00AB409C"/>
    <w:rsid w:val="00AC0209"/>
    <w:rsid w:val="00AC16DC"/>
    <w:rsid w:val="00AD3AE5"/>
    <w:rsid w:val="00AE08AB"/>
    <w:rsid w:val="00AE1023"/>
    <w:rsid w:val="00AE5282"/>
    <w:rsid w:val="00AF0FCC"/>
    <w:rsid w:val="00AF156D"/>
    <w:rsid w:val="00AF60C4"/>
    <w:rsid w:val="00AF6CB7"/>
    <w:rsid w:val="00B02565"/>
    <w:rsid w:val="00B05773"/>
    <w:rsid w:val="00B10FEA"/>
    <w:rsid w:val="00B124A1"/>
    <w:rsid w:val="00B1383B"/>
    <w:rsid w:val="00B15C5F"/>
    <w:rsid w:val="00B17052"/>
    <w:rsid w:val="00B201AE"/>
    <w:rsid w:val="00B222BC"/>
    <w:rsid w:val="00B22E2D"/>
    <w:rsid w:val="00B31E80"/>
    <w:rsid w:val="00B34087"/>
    <w:rsid w:val="00B344B7"/>
    <w:rsid w:val="00B347E0"/>
    <w:rsid w:val="00B352D0"/>
    <w:rsid w:val="00B412F3"/>
    <w:rsid w:val="00B4195A"/>
    <w:rsid w:val="00B449F1"/>
    <w:rsid w:val="00B46EE3"/>
    <w:rsid w:val="00B5043D"/>
    <w:rsid w:val="00B55960"/>
    <w:rsid w:val="00B61D84"/>
    <w:rsid w:val="00B622A5"/>
    <w:rsid w:val="00B63155"/>
    <w:rsid w:val="00B70A8D"/>
    <w:rsid w:val="00B73A0A"/>
    <w:rsid w:val="00B77D75"/>
    <w:rsid w:val="00B91696"/>
    <w:rsid w:val="00B91DFB"/>
    <w:rsid w:val="00B91F7B"/>
    <w:rsid w:val="00BA4B87"/>
    <w:rsid w:val="00BC1DF0"/>
    <w:rsid w:val="00BC2F33"/>
    <w:rsid w:val="00BC32B5"/>
    <w:rsid w:val="00BD154D"/>
    <w:rsid w:val="00BD5320"/>
    <w:rsid w:val="00BD62BD"/>
    <w:rsid w:val="00BE0F8E"/>
    <w:rsid w:val="00BE44EE"/>
    <w:rsid w:val="00BE4FD3"/>
    <w:rsid w:val="00BE7847"/>
    <w:rsid w:val="00BF021C"/>
    <w:rsid w:val="00C06833"/>
    <w:rsid w:val="00C1069C"/>
    <w:rsid w:val="00C12CD6"/>
    <w:rsid w:val="00C13AF1"/>
    <w:rsid w:val="00C144D5"/>
    <w:rsid w:val="00C215B0"/>
    <w:rsid w:val="00C2221E"/>
    <w:rsid w:val="00C23796"/>
    <w:rsid w:val="00C276C5"/>
    <w:rsid w:val="00C30840"/>
    <w:rsid w:val="00C32B32"/>
    <w:rsid w:val="00C33F98"/>
    <w:rsid w:val="00C40C4D"/>
    <w:rsid w:val="00C43144"/>
    <w:rsid w:val="00C431E5"/>
    <w:rsid w:val="00C43F05"/>
    <w:rsid w:val="00C45A5E"/>
    <w:rsid w:val="00C51315"/>
    <w:rsid w:val="00C576A0"/>
    <w:rsid w:val="00C81258"/>
    <w:rsid w:val="00C82D7D"/>
    <w:rsid w:val="00C8505F"/>
    <w:rsid w:val="00C908D3"/>
    <w:rsid w:val="00C91491"/>
    <w:rsid w:val="00C93C0C"/>
    <w:rsid w:val="00CA0447"/>
    <w:rsid w:val="00CA2D3E"/>
    <w:rsid w:val="00CA3820"/>
    <w:rsid w:val="00CA382A"/>
    <w:rsid w:val="00CA6916"/>
    <w:rsid w:val="00CB0FD2"/>
    <w:rsid w:val="00CB2C7D"/>
    <w:rsid w:val="00CB6496"/>
    <w:rsid w:val="00CC3E44"/>
    <w:rsid w:val="00CC476E"/>
    <w:rsid w:val="00CC5BC0"/>
    <w:rsid w:val="00CC77D8"/>
    <w:rsid w:val="00CD4006"/>
    <w:rsid w:val="00CD4857"/>
    <w:rsid w:val="00CD6AEA"/>
    <w:rsid w:val="00CE5EFB"/>
    <w:rsid w:val="00CE72B2"/>
    <w:rsid w:val="00CF2EDB"/>
    <w:rsid w:val="00CF4B4B"/>
    <w:rsid w:val="00CF62CB"/>
    <w:rsid w:val="00D04E8F"/>
    <w:rsid w:val="00D05A97"/>
    <w:rsid w:val="00D12D78"/>
    <w:rsid w:val="00D12E54"/>
    <w:rsid w:val="00D13273"/>
    <w:rsid w:val="00D13517"/>
    <w:rsid w:val="00D2722E"/>
    <w:rsid w:val="00D3452A"/>
    <w:rsid w:val="00D4748A"/>
    <w:rsid w:val="00D5320B"/>
    <w:rsid w:val="00D618DE"/>
    <w:rsid w:val="00D63BFC"/>
    <w:rsid w:val="00D717EF"/>
    <w:rsid w:val="00D744CA"/>
    <w:rsid w:val="00D75523"/>
    <w:rsid w:val="00D8719D"/>
    <w:rsid w:val="00D93409"/>
    <w:rsid w:val="00D95CEE"/>
    <w:rsid w:val="00DA26F7"/>
    <w:rsid w:val="00DB01D2"/>
    <w:rsid w:val="00DB358F"/>
    <w:rsid w:val="00DB57D8"/>
    <w:rsid w:val="00DC072A"/>
    <w:rsid w:val="00DC369C"/>
    <w:rsid w:val="00DC5596"/>
    <w:rsid w:val="00DD04A0"/>
    <w:rsid w:val="00DD284E"/>
    <w:rsid w:val="00DD5792"/>
    <w:rsid w:val="00DE20D1"/>
    <w:rsid w:val="00DE3D03"/>
    <w:rsid w:val="00DE5832"/>
    <w:rsid w:val="00DF30D5"/>
    <w:rsid w:val="00DF37EB"/>
    <w:rsid w:val="00DF5C4C"/>
    <w:rsid w:val="00DF723D"/>
    <w:rsid w:val="00DF7C1E"/>
    <w:rsid w:val="00E002A3"/>
    <w:rsid w:val="00E058C3"/>
    <w:rsid w:val="00E05B4F"/>
    <w:rsid w:val="00E1351C"/>
    <w:rsid w:val="00E137A6"/>
    <w:rsid w:val="00E14046"/>
    <w:rsid w:val="00E151B4"/>
    <w:rsid w:val="00E15213"/>
    <w:rsid w:val="00E20EC8"/>
    <w:rsid w:val="00E213B4"/>
    <w:rsid w:val="00E21D06"/>
    <w:rsid w:val="00E2452C"/>
    <w:rsid w:val="00E31A91"/>
    <w:rsid w:val="00E33B47"/>
    <w:rsid w:val="00E44812"/>
    <w:rsid w:val="00E4696E"/>
    <w:rsid w:val="00E6174D"/>
    <w:rsid w:val="00E63C95"/>
    <w:rsid w:val="00E644E0"/>
    <w:rsid w:val="00E65A49"/>
    <w:rsid w:val="00E65DD0"/>
    <w:rsid w:val="00E65DE2"/>
    <w:rsid w:val="00E72432"/>
    <w:rsid w:val="00E7343A"/>
    <w:rsid w:val="00E73AD2"/>
    <w:rsid w:val="00E73E7F"/>
    <w:rsid w:val="00E80306"/>
    <w:rsid w:val="00E82977"/>
    <w:rsid w:val="00E85DBA"/>
    <w:rsid w:val="00E86368"/>
    <w:rsid w:val="00E869B6"/>
    <w:rsid w:val="00E95BED"/>
    <w:rsid w:val="00E9726F"/>
    <w:rsid w:val="00EA1BA2"/>
    <w:rsid w:val="00EA3DCF"/>
    <w:rsid w:val="00EA5F4F"/>
    <w:rsid w:val="00EB16F5"/>
    <w:rsid w:val="00EB25DC"/>
    <w:rsid w:val="00EB2E3D"/>
    <w:rsid w:val="00EC4146"/>
    <w:rsid w:val="00ED0632"/>
    <w:rsid w:val="00EE13DB"/>
    <w:rsid w:val="00F00A7B"/>
    <w:rsid w:val="00F0189F"/>
    <w:rsid w:val="00F039A0"/>
    <w:rsid w:val="00F100F6"/>
    <w:rsid w:val="00F1033C"/>
    <w:rsid w:val="00F10E1A"/>
    <w:rsid w:val="00F13091"/>
    <w:rsid w:val="00F14D37"/>
    <w:rsid w:val="00F3108C"/>
    <w:rsid w:val="00F3140D"/>
    <w:rsid w:val="00F3418B"/>
    <w:rsid w:val="00F34AAB"/>
    <w:rsid w:val="00F372F5"/>
    <w:rsid w:val="00F42F40"/>
    <w:rsid w:val="00F507E3"/>
    <w:rsid w:val="00F5160F"/>
    <w:rsid w:val="00F5371A"/>
    <w:rsid w:val="00F54A11"/>
    <w:rsid w:val="00F55BA1"/>
    <w:rsid w:val="00F57F39"/>
    <w:rsid w:val="00F666B5"/>
    <w:rsid w:val="00F71DE4"/>
    <w:rsid w:val="00F76A67"/>
    <w:rsid w:val="00F77DEC"/>
    <w:rsid w:val="00F84945"/>
    <w:rsid w:val="00F87129"/>
    <w:rsid w:val="00FB1230"/>
    <w:rsid w:val="00FB3D5C"/>
    <w:rsid w:val="00FC00B3"/>
    <w:rsid w:val="00FC29DE"/>
    <w:rsid w:val="00FC6CDC"/>
    <w:rsid w:val="00FD0A61"/>
    <w:rsid w:val="00FD22D6"/>
    <w:rsid w:val="00FD6A57"/>
    <w:rsid w:val="00FE11C2"/>
    <w:rsid w:val="00FE43B7"/>
    <w:rsid w:val="00FE66B7"/>
    <w:rsid w:val="00FE7362"/>
    <w:rsid w:val="00FE7D37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739F"/>
  <w15:docId w15:val="{7D7D8F91-F236-43C2-AAB8-F749B31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967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6CD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link w:val="Nadpis9"/>
    <w:rsid w:val="00CB0FD2"/>
    <w:rPr>
      <w:rFonts w:ascii="Arial" w:hAnsi="Arial"/>
      <w:b/>
      <w:i/>
      <w:sz w:val="18"/>
      <w:lang w:eastAsia="cs-CZ"/>
    </w:rPr>
  </w:style>
  <w:style w:type="paragraph" w:customStyle="1" w:styleId="Podnadpis1">
    <w:name w:val="Podnadpis1"/>
    <w:basedOn w:val="Normln"/>
    <w:next w:val="Normln"/>
    <w:link w:val="PodnadpisChar"/>
    <w:qFormat/>
    <w:rsid w:val="00CB0FD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dpisChar">
    <w:name w:val="Podnadpis Char"/>
    <w:link w:val="Podnadpis1"/>
    <w:rsid w:val="00CB0FD2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customStyle="1" w:styleId="Zdraznn1">
    <w:name w:val="Zdůraznění1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694F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4F41"/>
  </w:style>
  <w:style w:type="paragraph" w:styleId="Zpat">
    <w:name w:val="footer"/>
    <w:basedOn w:val="Normln"/>
    <w:link w:val="ZpatChar"/>
    <w:uiPriority w:val="99"/>
    <w:unhideWhenUsed/>
    <w:rsid w:val="00694F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F41"/>
    <w:rPr>
      <w:sz w:val="24"/>
      <w:szCs w:val="24"/>
    </w:rPr>
  </w:style>
  <w:style w:type="character" w:styleId="Odkaznakoment">
    <w:name w:val="annotation reference"/>
    <w:uiPriority w:val="99"/>
    <w:unhideWhenUsed/>
    <w:rsid w:val="00694F4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F4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5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35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1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1E51"/>
    <w:rPr>
      <w:sz w:val="24"/>
      <w:szCs w:val="24"/>
    </w:rPr>
  </w:style>
  <w:style w:type="character" w:styleId="Hypertextovodkaz">
    <w:name w:val="Hyperlink"/>
    <w:uiPriority w:val="99"/>
    <w:unhideWhenUsed/>
    <w:rsid w:val="00373AB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373AB5"/>
    <w:rPr>
      <w:color w:val="605E5C"/>
      <w:shd w:val="clear" w:color="auto" w:fill="E1DFDD"/>
    </w:rPr>
  </w:style>
  <w:style w:type="character" w:customStyle="1" w:styleId="trzistetableoutputtext">
    <w:name w:val="trzistetableoutputtext"/>
    <w:rsid w:val="006517FF"/>
  </w:style>
  <w:style w:type="character" w:styleId="Sledovanodkaz">
    <w:name w:val="FollowedHyperlink"/>
    <w:uiPriority w:val="99"/>
    <w:semiHidden/>
    <w:unhideWhenUsed/>
    <w:rsid w:val="00FE7362"/>
    <w:rPr>
      <w:color w:val="954F72"/>
      <w:u w:val="single"/>
    </w:rPr>
  </w:style>
  <w:style w:type="table" w:styleId="Mkatabulky">
    <w:name w:val="Table Grid"/>
    <w:basedOn w:val="Normlntabulka"/>
    <w:uiPriority w:val="39"/>
    <w:unhideWhenUsed/>
    <w:rsid w:val="008E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E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B27D-AED9-4DF1-96FD-E73060DC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Mgr. Lukáš Záveský</cp:lastModifiedBy>
  <cp:revision>24</cp:revision>
  <cp:lastPrinted>2025-01-31T08:25:00Z</cp:lastPrinted>
  <dcterms:created xsi:type="dcterms:W3CDTF">2025-02-09T19:35:00Z</dcterms:created>
  <dcterms:modified xsi:type="dcterms:W3CDTF">2025-02-26T10:24:00Z</dcterms:modified>
</cp:coreProperties>
</file>