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4512" w14:textId="77777777" w:rsidR="00747501" w:rsidRDefault="00AC1B31">
      <w:pPr>
        <w:pStyle w:val="Nadpis1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Smlouva o Dílo</w:t>
      </w:r>
    </w:p>
    <w:p w14:paraId="21AFAE50" w14:textId="77777777" w:rsidR="00747501" w:rsidRDefault="00747501">
      <w:pPr>
        <w:jc w:val="both"/>
        <w:rPr>
          <w:color w:val="000000"/>
        </w:rPr>
      </w:pPr>
    </w:p>
    <w:p w14:paraId="6BBF06C1" w14:textId="77777777" w:rsidR="00747501" w:rsidRPr="00624772" w:rsidRDefault="00747501" w:rsidP="00624772">
      <w:pPr>
        <w:jc w:val="center"/>
      </w:pPr>
      <w:r>
        <w:rPr>
          <w:color w:val="000000"/>
        </w:rPr>
        <w:t>(</w:t>
      </w:r>
      <w:r w:rsidR="00B001D7" w:rsidRPr="0064464E">
        <w:t>dle §</w:t>
      </w:r>
      <w:r w:rsidR="00B001D7">
        <w:t xml:space="preserve"> 2586 a násl. </w:t>
      </w:r>
      <w:r w:rsidR="00B001D7" w:rsidRPr="0064464E">
        <w:t xml:space="preserve">zákona č. </w:t>
      </w:r>
      <w:r w:rsidR="00B001D7">
        <w:t>89/2012 Sb</w:t>
      </w:r>
      <w:r w:rsidR="00B001D7" w:rsidRPr="0064464E">
        <w:t xml:space="preserve">., </w:t>
      </w:r>
      <w:r w:rsidR="00B001D7">
        <w:t>občanský</w:t>
      </w:r>
      <w:r w:rsidR="00B001D7" w:rsidRPr="0064464E">
        <w:t xml:space="preserve"> zákoník, v</w:t>
      </w:r>
      <w:r w:rsidR="00B001D7">
        <w:t>e</w:t>
      </w:r>
      <w:r w:rsidR="00B001D7" w:rsidRPr="0064464E">
        <w:t> </w:t>
      </w:r>
      <w:r w:rsidR="00B001D7">
        <w:t>znění pozdějších předpisů (dále jen „občanský zákoník“)</w:t>
      </w:r>
      <w:r w:rsidR="00B001D7" w:rsidRPr="0064464E">
        <w:t>)</w:t>
      </w:r>
    </w:p>
    <w:p w14:paraId="1A731632" w14:textId="77777777" w:rsidR="00747501" w:rsidRDefault="00747501">
      <w:pPr>
        <w:pStyle w:val="Nadpis4"/>
        <w:rPr>
          <w:b/>
          <w:bCs/>
          <w:sz w:val="20"/>
          <w:szCs w:val="20"/>
          <w:u w:val="none"/>
        </w:rPr>
      </w:pPr>
    </w:p>
    <w:p w14:paraId="4C274E36" w14:textId="77777777" w:rsidR="00747501" w:rsidRDefault="00747501">
      <w:pPr>
        <w:pStyle w:val="Nadpis4"/>
        <w:rPr>
          <w:b/>
          <w:bCs/>
          <w:color w:val="auto"/>
          <w:sz w:val="20"/>
          <w:szCs w:val="20"/>
          <w:u w:val="none"/>
        </w:rPr>
      </w:pPr>
    </w:p>
    <w:p w14:paraId="1AF0437D" w14:textId="77777777" w:rsidR="00747501" w:rsidRDefault="00747501" w:rsidP="00D255D8">
      <w:pPr>
        <w:pStyle w:val="Nadpis4"/>
        <w:jc w:val="center"/>
        <w:rPr>
          <w:rFonts w:ascii="Times New Roman" w:hAnsi="Times New Roman" w:cs="Times New Roman"/>
          <w:b/>
          <w:bCs/>
          <w:color w:val="auto"/>
          <w:u w:val="none"/>
        </w:rPr>
      </w:pPr>
      <w:r>
        <w:rPr>
          <w:rFonts w:ascii="Times New Roman" w:hAnsi="Times New Roman" w:cs="Times New Roman"/>
          <w:b/>
          <w:bCs/>
          <w:color w:val="auto"/>
          <w:u w:val="none"/>
        </w:rPr>
        <w:t>I.</w:t>
      </w:r>
    </w:p>
    <w:p w14:paraId="0E59CC09" w14:textId="77777777" w:rsidR="00747501" w:rsidRDefault="00747501" w:rsidP="00D255D8">
      <w:pPr>
        <w:pStyle w:val="Nadpis4"/>
        <w:jc w:val="center"/>
        <w:rPr>
          <w:rFonts w:ascii="Times New Roman" w:hAnsi="Times New Roman" w:cs="Times New Roman"/>
          <w:b/>
          <w:bCs/>
          <w:color w:val="auto"/>
          <w:u w:val="none"/>
        </w:rPr>
      </w:pPr>
      <w:r>
        <w:rPr>
          <w:rFonts w:ascii="Times New Roman" w:hAnsi="Times New Roman" w:cs="Times New Roman"/>
          <w:b/>
          <w:bCs/>
          <w:color w:val="auto"/>
          <w:u w:val="none"/>
        </w:rPr>
        <w:t>Smluvní strany</w:t>
      </w:r>
    </w:p>
    <w:p w14:paraId="25F51C89" w14:textId="77777777" w:rsidR="003524D4" w:rsidRPr="003524D4" w:rsidRDefault="003524D4" w:rsidP="003524D4"/>
    <w:p w14:paraId="2EDAF5F6" w14:textId="0EECADF3" w:rsidR="00462695" w:rsidRDefault="00752C4A" w:rsidP="00462695">
      <w:pPr>
        <w:jc w:val="both"/>
        <w:rPr>
          <w:b/>
        </w:rPr>
      </w:pPr>
      <w:r>
        <w:rPr>
          <w:b/>
        </w:rPr>
        <w:t>Město Tišnov</w:t>
      </w:r>
      <w:r w:rsidR="00462695">
        <w:rPr>
          <w:b/>
        </w:rPr>
        <w:tab/>
      </w:r>
      <w:r w:rsidR="00462695">
        <w:rPr>
          <w:b/>
        </w:rPr>
        <w:tab/>
      </w:r>
    </w:p>
    <w:p w14:paraId="211A9930" w14:textId="05A0A656" w:rsidR="00462695" w:rsidRDefault="00462695" w:rsidP="00462695">
      <w:pPr>
        <w:jc w:val="both"/>
      </w:pPr>
      <w:r>
        <w:t xml:space="preserve">adresa: </w:t>
      </w:r>
      <w:r w:rsidR="00752C4A">
        <w:t>nám. Míru 111, 666 01 Tišnov</w:t>
      </w:r>
    </w:p>
    <w:p w14:paraId="14739078" w14:textId="146381C2" w:rsidR="00462695" w:rsidRDefault="00462695" w:rsidP="00462695">
      <w:pPr>
        <w:jc w:val="both"/>
      </w:pPr>
      <w:r>
        <w:t xml:space="preserve">IČO: </w:t>
      </w:r>
      <w:r w:rsidR="00752C4A" w:rsidRPr="00752C4A">
        <w:t>00282707</w:t>
      </w:r>
    </w:p>
    <w:p w14:paraId="307A10C1" w14:textId="67F94184" w:rsidR="00462695" w:rsidRDefault="00462695" w:rsidP="00462695">
      <w:pPr>
        <w:jc w:val="both"/>
      </w:pPr>
      <w:r>
        <w:t>DIČ: CZ</w:t>
      </w:r>
      <w:r w:rsidR="00752C4A" w:rsidRPr="00752C4A">
        <w:t>00282707</w:t>
      </w:r>
    </w:p>
    <w:p w14:paraId="4845BA34" w14:textId="4987FC88" w:rsidR="00462695" w:rsidRDefault="00462695" w:rsidP="00462695">
      <w:pPr>
        <w:jc w:val="both"/>
      </w:pPr>
      <w:r>
        <w:t xml:space="preserve">Zastoupená: </w:t>
      </w:r>
      <w:r w:rsidR="00625AF2" w:rsidRPr="00625AF2">
        <w:rPr>
          <w:bCs/>
        </w:rPr>
        <w:t>Ing. Miroslava Vyhňáková, vedoucí Odboru investic a projektové podpory</w:t>
      </w:r>
      <w:r w:rsidR="00625AF2" w:rsidRPr="00625AF2" w:rsidDel="00625AF2">
        <w:t xml:space="preserve"> </w:t>
      </w:r>
      <w:r>
        <w:t>(dále jako „</w:t>
      </w:r>
      <w:r w:rsidRPr="00625AF2">
        <w:rPr>
          <w:i/>
          <w:iCs/>
        </w:rPr>
        <w:t>objednatel</w:t>
      </w:r>
      <w:r>
        <w:t>“)</w:t>
      </w:r>
    </w:p>
    <w:p w14:paraId="12E3D9B9" w14:textId="77777777" w:rsidR="00747501" w:rsidRDefault="00747501">
      <w:pPr>
        <w:jc w:val="both"/>
      </w:pPr>
    </w:p>
    <w:p w14:paraId="4A245B9C" w14:textId="77777777" w:rsidR="00747501" w:rsidRDefault="007475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6FDB3B7F" w14:textId="77777777" w:rsidR="00747501" w:rsidRDefault="00747501">
      <w:pPr>
        <w:jc w:val="both"/>
        <w:rPr>
          <w:rFonts w:ascii="Arial" w:hAnsi="Arial" w:cs="Arial"/>
          <w:sz w:val="20"/>
          <w:szCs w:val="20"/>
        </w:rPr>
      </w:pPr>
    </w:p>
    <w:p w14:paraId="187C4749" w14:textId="00C011DC" w:rsidR="00457A63" w:rsidRPr="00BB765B" w:rsidRDefault="00752C4A" w:rsidP="00457A63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Rozvojová agentura zlínského kraje z. s.</w:t>
      </w:r>
    </w:p>
    <w:p w14:paraId="7CB1BF27" w14:textId="77777777" w:rsidR="00752C4A" w:rsidRPr="00BB765B" w:rsidRDefault="00457A63" w:rsidP="00752C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BB765B">
        <w:rPr>
          <w:color w:val="000000"/>
        </w:rPr>
        <w:t xml:space="preserve">se sídlem: </w:t>
      </w:r>
      <w:r w:rsidR="00752C4A" w:rsidRPr="00BB765B">
        <w:rPr>
          <w:color w:val="000000"/>
        </w:rPr>
        <w:t>Tř. Tomáše Bati 5146, 760 01 Zlín</w:t>
      </w:r>
    </w:p>
    <w:p w14:paraId="2DBEB627" w14:textId="3ADF1AF4" w:rsidR="00457A63" w:rsidRPr="00BB765B" w:rsidRDefault="00457A63" w:rsidP="00457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BB765B">
        <w:rPr>
          <w:color w:val="000000"/>
        </w:rPr>
        <w:t>IČ</w:t>
      </w:r>
      <w:r>
        <w:rPr>
          <w:color w:val="000000"/>
        </w:rPr>
        <w:t>O</w:t>
      </w:r>
      <w:r w:rsidRPr="00BB765B">
        <w:rPr>
          <w:color w:val="000000"/>
        </w:rPr>
        <w:t xml:space="preserve">: </w:t>
      </w:r>
      <w:r w:rsidR="00752C4A">
        <w:rPr>
          <w:color w:val="000000"/>
        </w:rPr>
        <w:t>22820671</w:t>
      </w:r>
    </w:p>
    <w:p w14:paraId="085EB99B" w14:textId="77777777" w:rsidR="00457A63" w:rsidRPr="00BB765B" w:rsidRDefault="00457A63" w:rsidP="00457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BB765B">
        <w:rPr>
          <w:color w:val="000000"/>
        </w:rPr>
        <w:t>neplátce DPH</w:t>
      </w:r>
    </w:p>
    <w:p w14:paraId="5717AB23" w14:textId="3745DAFA" w:rsidR="00457A63" w:rsidRPr="00BB765B" w:rsidRDefault="00457A63" w:rsidP="00457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BB765B">
        <w:rPr>
          <w:color w:val="000000"/>
        </w:rPr>
        <w:t xml:space="preserve">Zastoupená: </w:t>
      </w:r>
      <w:r w:rsidR="00752C4A">
        <w:rPr>
          <w:bCs/>
          <w:color w:val="000000"/>
        </w:rPr>
        <w:t>RNDr. Otakar Prudil, předseda</w:t>
      </w:r>
    </w:p>
    <w:p w14:paraId="420D2F03" w14:textId="77777777" w:rsidR="00457A63" w:rsidRPr="00BB765B" w:rsidRDefault="00457A63" w:rsidP="00457A63">
      <w:pPr>
        <w:jc w:val="both"/>
      </w:pPr>
      <w:r w:rsidRPr="00BB765B">
        <w:t>(dále jako „</w:t>
      </w:r>
      <w:r w:rsidRPr="004B1BE0">
        <w:rPr>
          <w:i/>
          <w:iCs/>
        </w:rPr>
        <w:t>zhotovitel</w:t>
      </w:r>
      <w:r w:rsidRPr="00BB765B">
        <w:t>“)</w:t>
      </w:r>
    </w:p>
    <w:p w14:paraId="630F9470" w14:textId="77777777" w:rsidR="00747501" w:rsidRDefault="0074750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7BE6BEB" w14:textId="77777777" w:rsidR="00747501" w:rsidRDefault="00747501" w:rsidP="00D255D8">
      <w:pPr>
        <w:pStyle w:val="Nadpis5"/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II.</w:t>
      </w:r>
    </w:p>
    <w:p w14:paraId="0F3F1168" w14:textId="77777777" w:rsidR="00747501" w:rsidRDefault="00747501" w:rsidP="00D255D8">
      <w:pPr>
        <w:pStyle w:val="Nadpis5"/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Předmět smlouvy</w:t>
      </w:r>
    </w:p>
    <w:p w14:paraId="018B8000" w14:textId="77777777" w:rsidR="00747501" w:rsidRDefault="00747501">
      <w:pPr>
        <w:jc w:val="both"/>
        <w:rPr>
          <w:color w:val="000000"/>
        </w:rPr>
      </w:pPr>
    </w:p>
    <w:p w14:paraId="5FBA42D6" w14:textId="77777777" w:rsidR="00747501" w:rsidRDefault="00747501">
      <w:pPr>
        <w:jc w:val="both"/>
        <w:rPr>
          <w:color w:val="000000"/>
        </w:rPr>
      </w:pPr>
      <w:r>
        <w:rPr>
          <w:color w:val="000000"/>
        </w:rPr>
        <w:t>Zhotovitel se tímto zavazuje vyhotovit pro objednatele poradenský a analytický materiál (d</w:t>
      </w:r>
      <w:r w:rsidR="00EF354F">
        <w:rPr>
          <w:color w:val="000000"/>
        </w:rPr>
        <w:t>ále jen „dílo“) specifikovaný v</w:t>
      </w:r>
      <w:r>
        <w:rPr>
          <w:color w:val="000000"/>
        </w:rPr>
        <w:t xml:space="preserve"> článku III. této smlouvy a objednatel se tímto zavazuje zaplatit cenu za jeho vyhotovení upravenou v článku VI. této smlouvy.</w:t>
      </w:r>
    </w:p>
    <w:p w14:paraId="07A2E67C" w14:textId="77777777" w:rsidR="00747501" w:rsidRDefault="00747501" w:rsidP="003524D4">
      <w:pPr>
        <w:rPr>
          <w:rFonts w:ascii="Arial" w:hAnsi="Arial" w:cs="Arial"/>
          <w:color w:val="000000"/>
          <w:sz w:val="20"/>
          <w:szCs w:val="20"/>
        </w:rPr>
      </w:pPr>
    </w:p>
    <w:p w14:paraId="0F70E0B7" w14:textId="77777777" w:rsidR="00747501" w:rsidRDefault="00747501" w:rsidP="007F4BE6">
      <w:pPr>
        <w:jc w:val="center"/>
        <w:rPr>
          <w:b/>
          <w:color w:val="000000"/>
        </w:rPr>
      </w:pPr>
      <w:r>
        <w:rPr>
          <w:b/>
          <w:color w:val="000000"/>
        </w:rPr>
        <w:t>III.</w:t>
      </w:r>
    </w:p>
    <w:p w14:paraId="786992C3" w14:textId="77777777" w:rsidR="00747501" w:rsidRDefault="00747501" w:rsidP="007F4BE6">
      <w:pPr>
        <w:jc w:val="center"/>
        <w:rPr>
          <w:b/>
          <w:color w:val="000000"/>
        </w:rPr>
      </w:pPr>
      <w:r>
        <w:rPr>
          <w:b/>
          <w:color w:val="000000"/>
        </w:rPr>
        <w:t>Specifikace díla</w:t>
      </w:r>
    </w:p>
    <w:p w14:paraId="05302B38" w14:textId="77777777" w:rsidR="00747501" w:rsidRDefault="00747501">
      <w:pPr>
        <w:jc w:val="center"/>
        <w:rPr>
          <w:b/>
          <w:color w:val="000000"/>
        </w:rPr>
      </w:pPr>
    </w:p>
    <w:p w14:paraId="1B22FEF0" w14:textId="7EADB59A" w:rsidR="006F5A75" w:rsidRPr="000C6912" w:rsidRDefault="006F5A75" w:rsidP="00641F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  <w:color w:val="000000"/>
        </w:rPr>
      </w:pPr>
      <w:r w:rsidRPr="000C6912">
        <w:rPr>
          <w:bCs/>
          <w:color w:val="000000"/>
        </w:rPr>
        <w:t>Předmětem díla je zpracování projektov</w:t>
      </w:r>
      <w:r w:rsidR="00754DA1">
        <w:rPr>
          <w:bCs/>
          <w:color w:val="000000"/>
        </w:rPr>
        <w:t>é</w:t>
      </w:r>
      <w:r w:rsidRPr="000C6912">
        <w:rPr>
          <w:bCs/>
          <w:color w:val="000000"/>
        </w:rPr>
        <w:t xml:space="preserve"> žádost</w:t>
      </w:r>
      <w:r w:rsidR="00754DA1">
        <w:rPr>
          <w:bCs/>
          <w:color w:val="000000"/>
        </w:rPr>
        <w:t>i</w:t>
      </w:r>
      <w:r w:rsidR="0070009F">
        <w:rPr>
          <w:bCs/>
          <w:color w:val="000000"/>
        </w:rPr>
        <w:t xml:space="preserve">, </w:t>
      </w:r>
      <w:r>
        <w:rPr>
          <w:bCs/>
          <w:color w:val="000000"/>
        </w:rPr>
        <w:t>administrace</w:t>
      </w:r>
      <w:r w:rsidR="0070009F">
        <w:rPr>
          <w:bCs/>
          <w:color w:val="000000"/>
        </w:rPr>
        <w:t xml:space="preserve"> projektu</w:t>
      </w:r>
      <w:r>
        <w:rPr>
          <w:bCs/>
          <w:color w:val="000000"/>
        </w:rPr>
        <w:t xml:space="preserve"> a</w:t>
      </w:r>
      <w:r w:rsidRPr="000C6912">
        <w:rPr>
          <w:bCs/>
          <w:color w:val="000000"/>
        </w:rPr>
        <w:t xml:space="preserve"> poradenství k žádosti o dotaci na projekt s pracovním názvem „</w:t>
      </w:r>
      <w:r w:rsidR="00752C4A" w:rsidRPr="00752C4A">
        <w:rPr>
          <w:b/>
        </w:rPr>
        <w:t xml:space="preserve">ZŠ SMÍŠKOVA, </w:t>
      </w:r>
      <w:proofErr w:type="gramStart"/>
      <w:r w:rsidR="00752C4A" w:rsidRPr="00752C4A">
        <w:rPr>
          <w:b/>
        </w:rPr>
        <w:t>TIŠNOV - Modernizace</w:t>
      </w:r>
      <w:proofErr w:type="gramEnd"/>
      <w:r w:rsidR="00752C4A" w:rsidRPr="00752C4A">
        <w:rPr>
          <w:b/>
        </w:rPr>
        <w:t xml:space="preserve"> elektroinstalace a slaboproudých rozvodů</w:t>
      </w:r>
      <w:r w:rsidRPr="000C6912">
        <w:rPr>
          <w:bCs/>
          <w:color w:val="000000"/>
        </w:rPr>
        <w:t>“ (dále jen „žádost). Žádost</w:t>
      </w:r>
      <w:r w:rsidR="0070009F">
        <w:rPr>
          <w:bCs/>
          <w:color w:val="000000"/>
        </w:rPr>
        <w:t>i</w:t>
      </w:r>
      <w:r w:rsidRPr="000C6912">
        <w:rPr>
          <w:bCs/>
          <w:color w:val="000000"/>
        </w:rPr>
        <w:t xml:space="preserve"> o dotaci bud</w:t>
      </w:r>
      <w:r w:rsidR="00754DA1">
        <w:rPr>
          <w:bCs/>
          <w:color w:val="000000"/>
        </w:rPr>
        <w:t>e</w:t>
      </w:r>
      <w:r w:rsidRPr="000C6912">
        <w:rPr>
          <w:bCs/>
          <w:color w:val="000000"/>
        </w:rPr>
        <w:t xml:space="preserve"> podán</w:t>
      </w:r>
      <w:r w:rsidR="00754DA1">
        <w:rPr>
          <w:bCs/>
          <w:color w:val="000000"/>
        </w:rPr>
        <w:t>a</w:t>
      </w:r>
      <w:r w:rsidRPr="000C6912">
        <w:rPr>
          <w:bCs/>
          <w:color w:val="000000"/>
        </w:rPr>
        <w:t xml:space="preserve"> do program</w:t>
      </w:r>
      <w:r w:rsidR="00754DA1">
        <w:rPr>
          <w:bCs/>
          <w:color w:val="000000"/>
        </w:rPr>
        <w:t>u</w:t>
      </w:r>
      <w:r w:rsidR="0070009F">
        <w:rPr>
          <w:bCs/>
          <w:color w:val="000000"/>
        </w:rPr>
        <w:t xml:space="preserve"> </w:t>
      </w:r>
      <w:r w:rsidR="0070009F" w:rsidRPr="006A6C8A">
        <w:rPr>
          <w:b/>
          <w:color w:val="000000"/>
        </w:rPr>
        <w:t xml:space="preserve">Ministerstva pro místní rozvoj </w:t>
      </w:r>
      <w:r w:rsidR="00A5583A">
        <w:rPr>
          <w:b/>
          <w:color w:val="000000"/>
        </w:rPr>
        <w:t xml:space="preserve">programu </w:t>
      </w:r>
      <w:r w:rsidR="00A5583A" w:rsidRPr="00A5583A">
        <w:rPr>
          <w:b/>
          <w:color w:val="000000"/>
        </w:rPr>
        <w:t>Podpora obnovy a rozvoje regionů 2025</w:t>
      </w:r>
      <w:r w:rsidR="0070009F" w:rsidRPr="006A6C8A">
        <w:rPr>
          <w:b/>
          <w:color w:val="000000"/>
        </w:rPr>
        <w:t xml:space="preserve"> </w:t>
      </w:r>
      <w:r w:rsidR="00A5583A">
        <w:rPr>
          <w:b/>
          <w:color w:val="000000"/>
        </w:rPr>
        <w:t xml:space="preserve">výzvy </w:t>
      </w:r>
      <w:r w:rsidR="00A5583A" w:rsidRPr="00A5583A">
        <w:rPr>
          <w:b/>
          <w:color w:val="000000"/>
        </w:rPr>
        <w:t>1/2025/117D762</w:t>
      </w:r>
      <w:r w:rsidR="00752C4A">
        <w:rPr>
          <w:b/>
          <w:color w:val="000000"/>
        </w:rPr>
        <w:t>1</w:t>
      </w:r>
      <w:r w:rsidR="0070009F" w:rsidRPr="006A6C8A">
        <w:rPr>
          <w:b/>
          <w:color w:val="000000"/>
        </w:rPr>
        <w:t xml:space="preserve"> </w:t>
      </w:r>
      <w:r w:rsidRPr="000C6912">
        <w:rPr>
          <w:bCs/>
          <w:color w:val="000000"/>
        </w:rPr>
        <w:t>(dále jen Program)</w:t>
      </w:r>
      <w:r w:rsidR="0070009F">
        <w:rPr>
          <w:bCs/>
          <w:color w:val="000000"/>
        </w:rPr>
        <w:t>.</w:t>
      </w:r>
      <w:r w:rsidR="00754DA1">
        <w:rPr>
          <w:bCs/>
          <w:color w:val="000000"/>
        </w:rPr>
        <w:t xml:space="preserve"> </w:t>
      </w:r>
      <w:r w:rsidRPr="000C6912">
        <w:rPr>
          <w:bCs/>
          <w:color w:val="000000"/>
        </w:rPr>
        <w:t>Konkrétně půjde o následující dílčí plnění:</w:t>
      </w:r>
    </w:p>
    <w:p w14:paraId="289AEE91" w14:textId="040E19CF" w:rsidR="006F5A75" w:rsidRDefault="006F5A75" w:rsidP="00641F51">
      <w:pPr>
        <w:numPr>
          <w:ilvl w:val="1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>Zpracování žádost</w:t>
      </w:r>
      <w:r w:rsidR="00754DA1">
        <w:rPr>
          <w:bCs/>
          <w:color w:val="000000"/>
        </w:rPr>
        <w:t>i</w:t>
      </w:r>
      <w:r>
        <w:rPr>
          <w:bCs/>
          <w:color w:val="000000"/>
        </w:rPr>
        <w:t xml:space="preserve"> o dota</w:t>
      </w:r>
      <w:r w:rsidR="00754DA1">
        <w:rPr>
          <w:bCs/>
          <w:color w:val="000000"/>
        </w:rPr>
        <w:t xml:space="preserve">ci </w:t>
      </w:r>
    </w:p>
    <w:p w14:paraId="6C4B6F69" w14:textId="51FFD874" w:rsidR="006F5A75" w:rsidRDefault="006F5A75" w:rsidP="00641F51">
      <w:pPr>
        <w:numPr>
          <w:ilvl w:val="1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Administrace projektu </w:t>
      </w:r>
    </w:p>
    <w:p w14:paraId="1059D550" w14:textId="77777777" w:rsidR="007F6A65" w:rsidRPr="007F6A65" w:rsidRDefault="007F6A65" w:rsidP="007F6A65">
      <w:pPr>
        <w:ind w:left="1440"/>
        <w:jc w:val="both"/>
        <w:rPr>
          <w:bCs/>
          <w:color w:val="000000"/>
        </w:rPr>
      </w:pPr>
    </w:p>
    <w:p w14:paraId="640C2141" w14:textId="45C5892A" w:rsidR="00457A63" w:rsidRDefault="00747501" w:rsidP="00641F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  <w:color w:val="000000"/>
        </w:rPr>
      </w:pPr>
      <w:r>
        <w:rPr>
          <w:color w:val="000000"/>
        </w:rPr>
        <w:t xml:space="preserve">Dílo bude obsahovat </w:t>
      </w:r>
      <w:r>
        <w:t xml:space="preserve">kompletní zpracování žádosti a její předání na CD a v tištěné formě, dle podmínek daných programem. Dále pak bude obsahovat všechny přílohy určené Programem. </w:t>
      </w:r>
    </w:p>
    <w:p w14:paraId="1F2AC276" w14:textId="77777777" w:rsidR="00A5583A" w:rsidRDefault="00A5583A" w:rsidP="00A5583A">
      <w:pPr>
        <w:ind w:left="360"/>
        <w:jc w:val="both"/>
        <w:rPr>
          <w:bCs/>
          <w:color w:val="000000"/>
        </w:rPr>
      </w:pPr>
    </w:p>
    <w:p w14:paraId="0C4ECA57" w14:textId="77777777" w:rsidR="00752C4A" w:rsidRDefault="00752C4A" w:rsidP="00A5583A">
      <w:pPr>
        <w:ind w:left="360"/>
        <w:jc w:val="both"/>
        <w:rPr>
          <w:bCs/>
          <w:color w:val="000000"/>
        </w:rPr>
      </w:pPr>
    </w:p>
    <w:p w14:paraId="0F42FFA9" w14:textId="77777777" w:rsidR="00752C4A" w:rsidRDefault="00752C4A" w:rsidP="00A5583A">
      <w:pPr>
        <w:ind w:left="360"/>
        <w:jc w:val="both"/>
        <w:rPr>
          <w:bCs/>
          <w:color w:val="000000"/>
        </w:rPr>
      </w:pPr>
    </w:p>
    <w:p w14:paraId="5015DDCE" w14:textId="77777777" w:rsidR="00752C4A" w:rsidRPr="00A5583A" w:rsidRDefault="00752C4A" w:rsidP="00A5583A">
      <w:pPr>
        <w:ind w:left="360"/>
        <w:jc w:val="both"/>
        <w:rPr>
          <w:bCs/>
          <w:color w:val="000000"/>
        </w:rPr>
      </w:pPr>
    </w:p>
    <w:p w14:paraId="6442BDF6" w14:textId="77777777" w:rsidR="00747501" w:rsidRDefault="00747501" w:rsidP="001C5155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IV.</w:t>
      </w:r>
    </w:p>
    <w:p w14:paraId="6F7E684C" w14:textId="77777777" w:rsidR="00747501" w:rsidRDefault="00747501" w:rsidP="001C5155">
      <w:pPr>
        <w:jc w:val="center"/>
        <w:rPr>
          <w:b/>
          <w:color w:val="000000"/>
        </w:rPr>
      </w:pPr>
      <w:r>
        <w:rPr>
          <w:b/>
          <w:color w:val="000000"/>
        </w:rPr>
        <w:t>Forma spolupráce</w:t>
      </w:r>
    </w:p>
    <w:p w14:paraId="5F7414F5" w14:textId="77777777" w:rsidR="00747501" w:rsidRDefault="00747501">
      <w:pPr>
        <w:jc w:val="center"/>
        <w:rPr>
          <w:b/>
          <w:color w:val="000000"/>
        </w:rPr>
      </w:pPr>
    </w:p>
    <w:p w14:paraId="0354E3D5" w14:textId="77777777" w:rsidR="00747501" w:rsidRDefault="00747501" w:rsidP="00641F5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Při vytváření díla bude zhotovitel jednat na základě pokynů objednatele a vycházet z materiálů a údajů dodaných objednatelem a z těch, které zajistí vlastní činností. Zhotovitel je povinen upozornit objednatele na nevhodný pokyn a všestranně chránit jeho zájmy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AB51A46" w14:textId="77777777" w:rsidR="00747501" w:rsidRDefault="0074750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BDDC9A" w14:textId="77777777" w:rsidR="00747501" w:rsidRDefault="00747501" w:rsidP="00641F5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t xml:space="preserve">Objednatel je povinen poskytovat zhotoviteli veškerou součinnost, kterou po něm lze rozumně požadovat. Zejména je povinen umožnit zhotoviteli získat ty podklady </w:t>
      </w:r>
      <w:r w:rsidR="000F0A79">
        <w:t xml:space="preserve">a dokumenty, které objednateli </w:t>
      </w:r>
      <w:r>
        <w:t>definuje a identifikuje v předstihu nezbytném pro pořízení těchto podkladů, jsou-li v jeho v dispozici. Objednate</w:t>
      </w:r>
      <w:r w:rsidR="00440E01">
        <w:t>l nemusí poskytovat zhotoviteli</w:t>
      </w:r>
      <w:r>
        <w:t xml:space="preserve"> informace dostupné z veřejných zdrojů. V tomto případě postačuje pouze odkaz na tyto zveřejněné informace. </w:t>
      </w:r>
    </w:p>
    <w:p w14:paraId="4EC4E360" w14:textId="77777777" w:rsidR="00747501" w:rsidRDefault="0074750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53B523" w14:textId="77777777" w:rsidR="00747501" w:rsidRDefault="00747501">
      <w:pPr>
        <w:jc w:val="center"/>
        <w:rPr>
          <w:b/>
          <w:color w:val="000000"/>
        </w:rPr>
      </w:pPr>
      <w:r>
        <w:rPr>
          <w:b/>
          <w:color w:val="000000"/>
        </w:rPr>
        <w:t>V.</w:t>
      </w:r>
    </w:p>
    <w:p w14:paraId="68B889E5" w14:textId="7E3402FF" w:rsidR="00747501" w:rsidRDefault="00747501" w:rsidP="005011E8">
      <w:pPr>
        <w:jc w:val="center"/>
        <w:rPr>
          <w:b/>
          <w:color w:val="000000"/>
        </w:rPr>
      </w:pPr>
      <w:r>
        <w:rPr>
          <w:b/>
          <w:color w:val="000000"/>
        </w:rPr>
        <w:t>Doba a způsob plnění</w:t>
      </w:r>
    </w:p>
    <w:p w14:paraId="0A8F0E01" w14:textId="5EBD5B05" w:rsidR="00747501" w:rsidRDefault="00747501" w:rsidP="00641F5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rPr>
          <w:color w:val="000000"/>
        </w:rPr>
        <w:t xml:space="preserve">Zhotovitel se zavazuje vyhotovit </w:t>
      </w:r>
      <w:r>
        <w:t xml:space="preserve">dílo </w:t>
      </w:r>
      <w:r w:rsidR="007D3DEF">
        <w:t>dle podmínek daných poskytovatelem.</w:t>
      </w:r>
      <w:r>
        <w:t xml:space="preserve"> Dílo bude v písemné a elektronické podobě dodáno na adresu objednatele a zároveň předloženo implementační agentuře. Kopie povinných příloh žádosti bude objednateli předána</w:t>
      </w:r>
      <w:r w:rsidR="00D24EAE">
        <w:t xml:space="preserve"> do 30 dnů po podání </w:t>
      </w:r>
      <w:proofErr w:type="gramStart"/>
      <w:r w:rsidR="00D24EAE">
        <w:t>žádosti.</w:t>
      </w:r>
      <w:r w:rsidR="00380CD6">
        <w:t>.</w:t>
      </w:r>
      <w:proofErr w:type="gramEnd"/>
      <w:r>
        <w:t xml:space="preserve"> </w:t>
      </w:r>
    </w:p>
    <w:p w14:paraId="2D1900D9" w14:textId="77777777" w:rsidR="00747501" w:rsidRDefault="00747501">
      <w:pPr>
        <w:jc w:val="both"/>
      </w:pPr>
    </w:p>
    <w:p w14:paraId="33425F6C" w14:textId="77777777" w:rsidR="00747501" w:rsidRDefault="00747501" w:rsidP="00641F5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V případě opožděného dodání podkladů, nebo jiného zd</w:t>
      </w:r>
      <w:r w:rsidR="000F0A79">
        <w:t xml:space="preserve">ržení způsobeného objednatelem </w:t>
      </w:r>
      <w:r>
        <w:t>se termín zhotovení posouvá o stejný počet dní, jaký činila prodleva ze strany objednatele</w:t>
      </w:r>
      <w:r>
        <w:rPr>
          <w:rFonts w:ascii="Arial" w:hAnsi="Arial" w:cs="Arial"/>
          <w:sz w:val="20"/>
          <w:szCs w:val="20"/>
        </w:rPr>
        <w:t xml:space="preserve">. </w:t>
      </w:r>
      <w:r>
        <w:t>Minimální poče</w:t>
      </w:r>
      <w:r w:rsidR="003524D4">
        <w:t>t dní na vyhotovení díla činí 10</w:t>
      </w:r>
      <w:r>
        <w:t xml:space="preserve"> pracovních dní od předání veškerých podkladů objednatelem.</w:t>
      </w:r>
    </w:p>
    <w:p w14:paraId="14537CDE" w14:textId="77777777" w:rsidR="00747501" w:rsidRDefault="00747501">
      <w:pPr>
        <w:jc w:val="both"/>
      </w:pPr>
    </w:p>
    <w:p w14:paraId="61EA00D3" w14:textId="77777777" w:rsidR="00747501" w:rsidRDefault="000F0A79" w:rsidP="00641F5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V případě </w:t>
      </w:r>
      <w:r w:rsidR="00747501">
        <w:t>pozdního předání podkladů pro vypracování žádosti nebo pro změnu v žádosti, nese objednatel plnou odpovědnost za případné chyby v žádosti. Za pozdní před</w:t>
      </w:r>
      <w:r w:rsidR="003524D4">
        <w:t>ání se považuje lhůta nejméně 12</w:t>
      </w:r>
      <w:r w:rsidR="00747501">
        <w:t xml:space="preserve"> dní před odevzdáním žádosti. </w:t>
      </w:r>
    </w:p>
    <w:p w14:paraId="692E96FC" w14:textId="77777777" w:rsidR="00C57CBA" w:rsidRDefault="00C57CBA" w:rsidP="00C57CBA">
      <w:pPr>
        <w:ind w:left="360"/>
        <w:jc w:val="both"/>
      </w:pPr>
    </w:p>
    <w:p w14:paraId="3B6336CF" w14:textId="77777777" w:rsidR="00F27D24" w:rsidRPr="003E613E" w:rsidRDefault="00C57CBA" w:rsidP="00641F5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57CBA">
        <w:t xml:space="preserve">V případě prodlení se </w:t>
      </w:r>
      <w:r>
        <w:t>zhotovením díla</w:t>
      </w:r>
      <w:r w:rsidRPr="00C57CBA">
        <w:t xml:space="preserve"> je </w:t>
      </w:r>
      <w:r>
        <w:t>zhotovitel</w:t>
      </w:r>
      <w:r w:rsidRPr="00C57CBA">
        <w:t xml:space="preserve"> povinen zaplatit smluvní pokutu ve výši 0,1 % z fakturova</w:t>
      </w:r>
      <w:r w:rsidR="003E613E">
        <w:t>né částky za každý den prodlení.</w:t>
      </w:r>
    </w:p>
    <w:p w14:paraId="3DB60FB1" w14:textId="77777777" w:rsidR="001F44A3" w:rsidRDefault="001F44A3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8681507" w14:textId="77777777" w:rsidR="00747501" w:rsidRDefault="007475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VI.</w:t>
      </w:r>
      <w:r>
        <w:rPr>
          <w:b/>
          <w:color w:val="000000"/>
        </w:rPr>
        <w:tab/>
        <w:t xml:space="preserve"> </w:t>
      </w:r>
    </w:p>
    <w:p w14:paraId="5BFB99AA" w14:textId="77777777" w:rsidR="00747501" w:rsidRDefault="00747501">
      <w:pPr>
        <w:jc w:val="center"/>
        <w:rPr>
          <w:b/>
          <w:color w:val="000000"/>
        </w:rPr>
      </w:pPr>
      <w:r>
        <w:rPr>
          <w:b/>
          <w:color w:val="000000"/>
        </w:rPr>
        <w:t>Cena a způsob placení</w:t>
      </w:r>
    </w:p>
    <w:p w14:paraId="5E42ECB7" w14:textId="77777777" w:rsidR="00747501" w:rsidRDefault="00747501">
      <w:pPr>
        <w:jc w:val="center"/>
        <w:rPr>
          <w:b/>
          <w:color w:val="000000"/>
        </w:rPr>
      </w:pPr>
    </w:p>
    <w:p w14:paraId="48802024" w14:textId="77777777" w:rsidR="005F4C7E" w:rsidRPr="004F4792" w:rsidRDefault="00B001D7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Celková cena za vyhotovení díla je </w:t>
      </w:r>
      <w:r w:rsidR="005F4C7E">
        <w:rPr>
          <w:color w:val="000000"/>
        </w:rPr>
        <w:t>následující:</w:t>
      </w:r>
      <w:r>
        <w:t xml:space="preserve">  </w:t>
      </w:r>
    </w:p>
    <w:tbl>
      <w:tblPr>
        <w:tblW w:w="88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89"/>
        <w:gridCol w:w="6425"/>
        <w:gridCol w:w="1701"/>
      </w:tblGrid>
      <w:tr w:rsidR="00457A63" w:rsidRPr="00495682" w14:paraId="51275AE5" w14:textId="77777777" w:rsidTr="00457A63">
        <w:trPr>
          <w:trHeight w:hRule="exact" w:val="728"/>
        </w:trPr>
        <w:tc>
          <w:tcPr>
            <w:tcW w:w="689" w:type="dxa"/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765DE1FC" w14:textId="77777777" w:rsidR="00457A63" w:rsidRPr="00495682" w:rsidRDefault="00457A63" w:rsidP="00000578">
            <w:pPr>
              <w:keepNext/>
              <w:keepLines/>
              <w:spacing w:before="60" w:after="60"/>
              <w:jc w:val="center"/>
              <w:rPr>
                <w:rFonts w:eastAsia="Times"/>
                <w:b/>
                <w:lang w:eastAsia="ja-JP" w:bidi="he-IL"/>
              </w:rPr>
            </w:pPr>
            <w:r w:rsidRPr="00495682">
              <w:rPr>
                <w:rFonts w:eastAsia="Times"/>
                <w:b/>
                <w:lang w:eastAsia="ja-JP" w:bidi="he-IL"/>
              </w:rPr>
              <w:t>Pol.</w:t>
            </w:r>
          </w:p>
        </w:tc>
        <w:tc>
          <w:tcPr>
            <w:tcW w:w="6425" w:type="dxa"/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0AB389BF" w14:textId="77777777" w:rsidR="00457A63" w:rsidRPr="00495682" w:rsidRDefault="00457A63" w:rsidP="00000578">
            <w:pPr>
              <w:keepNext/>
              <w:keepLines/>
              <w:spacing w:before="60" w:after="60"/>
              <w:jc w:val="center"/>
              <w:rPr>
                <w:rFonts w:eastAsia="Times"/>
                <w:b/>
                <w:lang w:eastAsia="ja-JP" w:bidi="he-IL"/>
              </w:rPr>
            </w:pPr>
            <w:r w:rsidRPr="00495682">
              <w:rPr>
                <w:rFonts w:eastAsia="Times"/>
                <w:b/>
                <w:lang w:eastAsia="ja-JP" w:bidi="he-IL"/>
              </w:rPr>
              <w:t>Předmět plnění</w:t>
            </w:r>
          </w:p>
        </w:tc>
        <w:tc>
          <w:tcPr>
            <w:tcW w:w="1701" w:type="dxa"/>
            <w:shd w:val="clear" w:color="auto" w:fill="E0E0E0"/>
            <w:tcMar>
              <w:left w:w="57" w:type="dxa"/>
              <w:right w:w="57" w:type="dxa"/>
            </w:tcMar>
            <w:vAlign w:val="center"/>
          </w:tcPr>
          <w:p w14:paraId="24B807FB" w14:textId="5D8F353A" w:rsidR="00457A63" w:rsidRPr="00495682" w:rsidRDefault="00457A63" w:rsidP="00000578">
            <w:pPr>
              <w:keepNext/>
              <w:keepLines/>
              <w:spacing w:before="60" w:after="60"/>
              <w:jc w:val="center"/>
              <w:rPr>
                <w:rFonts w:eastAsia="Times"/>
                <w:b/>
                <w:lang w:eastAsia="ja-JP" w:bidi="he-IL"/>
              </w:rPr>
            </w:pPr>
            <w:r w:rsidRPr="00495682">
              <w:rPr>
                <w:rFonts w:eastAsia="Times"/>
                <w:b/>
                <w:lang w:eastAsia="ja-JP" w:bidi="he-IL"/>
              </w:rPr>
              <w:t xml:space="preserve">Cena </w:t>
            </w:r>
            <w:r>
              <w:rPr>
                <w:rFonts w:eastAsia="Times"/>
                <w:b/>
                <w:lang w:eastAsia="ja-JP" w:bidi="he-IL"/>
              </w:rPr>
              <w:t>Kč</w:t>
            </w:r>
          </w:p>
        </w:tc>
      </w:tr>
      <w:tr w:rsidR="00457A63" w:rsidRPr="009C5823" w14:paraId="3B2C5D67" w14:textId="77777777" w:rsidTr="00457A63">
        <w:trPr>
          <w:trHeight w:hRule="exact" w:val="1014"/>
        </w:trPr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6F06F" w14:textId="77777777" w:rsidR="00457A63" w:rsidRPr="00EF354F" w:rsidRDefault="00457A63" w:rsidP="00000578">
            <w:pPr>
              <w:keepNext/>
              <w:keepLines/>
              <w:spacing w:before="60" w:after="60"/>
              <w:jc w:val="center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A</w:t>
            </w:r>
            <w:r w:rsidRPr="00EF354F">
              <w:rPr>
                <w:rFonts w:eastAsia="Times"/>
                <w:b/>
                <w:lang w:eastAsia="ja-JP" w:bidi="he-IL"/>
              </w:rPr>
              <w:t>.</w:t>
            </w:r>
          </w:p>
        </w:tc>
        <w:tc>
          <w:tcPr>
            <w:tcW w:w="6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2CC15" w14:textId="1DC66CA5" w:rsidR="00457A63" w:rsidRPr="00EF354F" w:rsidRDefault="00457A63" w:rsidP="005011E8">
            <w:pPr>
              <w:keepNext/>
              <w:keepLines/>
              <w:spacing w:before="60" w:after="60"/>
              <w:rPr>
                <w:rFonts w:eastAsia="Times"/>
                <w:b/>
                <w:lang w:eastAsia="ja-JP" w:bidi="he-IL"/>
              </w:rPr>
            </w:pPr>
            <w:r w:rsidRPr="00EF354F">
              <w:rPr>
                <w:rFonts w:eastAsia="Times"/>
                <w:b/>
                <w:lang w:eastAsia="ja-JP" w:bidi="he-IL"/>
              </w:rPr>
              <w:t>Podání žádosti o dotaci vč. příloh</w:t>
            </w:r>
            <w:r>
              <w:rPr>
                <w:rFonts w:eastAsia="Times"/>
                <w:b/>
                <w:lang w:eastAsia="ja-JP" w:bidi="he-IL"/>
              </w:rPr>
              <w:t xml:space="preserve"> do programu Ministerstva pro místní rozvoj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C21E9" w14:textId="1AEA9364" w:rsidR="00457A63" w:rsidRPr="00EF354F" w:rsidRDefault="00457A63" w:rsidP="00DC4C3C">
            <w:pPr>
              <w:keepNext/>
              <w:keepLines/>
              <w:tabs>
                <w:tab w:val="left" w:pos="436"/>
                <w:tab w:val="left" w:pos="601"/>
                <w:tab w:val="left" w:pos="700"/>
              </w:tabs>
              <w:spacing w:before="60" w:after="60"/>
              <w:ind w:left="10" w:right="302" w:hanging="10"/>
              <w:jc w:val="center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1</w:t>
            </w:r>
            <w:r w:rsidR="00752C4A">
              <w:rPr>
                <w:rFonts w:eastAsia="Times"/>
                <w:b/>
                <w:lang w:eastAsia="ja-JP" w:bidi="he-IL"/>
              </w:rPr>
              <w:t>8</w:t>
            </w:r>
            <w:r w:rsidRPr="00EF354F">
              <w:rPr>
                <w:rFonts w:eastAsia="Times"/>
                <w:b/>
                <w:lang w:eastAsia="ja-JP" w:bidi="he-IL"/>
              </w:rPr>
              <w:t> 000,-</w:t>
            </w:r>
          </w:p>
        </w:tc>
      </w:tr>
      <w:tr w:rsidR="00457A63" w:rsidRPr="009C5823" w14:paraId="733E7D46" w14:textId="77777777" w:rsidTr="00457A63">
        <w:trPr>
          <w:trHeight w:hRule="exact" w:val="644"/>
        </w:trPr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7FD0E" w14:textId="2B485EEF" w:rsidR="00457A63" w:rsidRPr="00EF354F" w:rsidRDefault="00457A63" w:rsidP="006F5A75">
            <w:pPr>
              <w:keepNext/>
              <w:keepLines/>
              <w:spacing w:before="60" w:after="60"/>
              <w:jc w:val="center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B</w:t>
            </w:r>
            <w:r w:rsidRPr="00EF354F">
              <w:rPr>
                <w:rFonts w:eastAsia="Times"/>
                <w:b/>
                <w:lang w:eastAsia="ja-JP" w:bidi="he-IL"/>
              </w:rPr>
              <w:t>.</w:t>
            </w:r>
          </w:p>
        </w:tc>
        <w:tc>
          <w:tcPr>
            <w:tcW w:w="6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3C440" w14:textId="77777777" w:rsidR="00457A63" w:rsidRPr="00EF354F" w:rsidRDefault="00457A63" w:rsidP="006F5A75">
            <w:pPr>
              <w:keepNext/>
              <w:keepLines/>
              <w:spacing w:before="60" w:after="60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Doplatek po zisku dotace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C8DA4" w14:textId="538B5E58" w:rsidR="00457A63" w:rsidRPr="00EF354F" w:rsidRDefault="00752C4A" w:rsidP="006F5A75">
            <w:pPr>
              <w:keepNext/>
              <w:keepLines/>
              <w:tabs>
                <w:tab w:val="left" w:pos="436"/>
                <w:tab w:val="left" w:pos="601"/>
                <w:tab w:val="left" w:pos="700"/>
              </w:tabs>
              <w:spacing w:before="60" w:after="60"/>
              <w:ind w:right="302"/>
              <w:jc w:val="center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20</w:t>
            </w:r>
            <w:r w:rsidR="00457A63">
              <w:rPr>
                <w:rFonts w:eastAsia="Times"/>
                <w:b/>
                <w:lang w:eastAsia="ja-JP" w:bidi="he-IL"/>
              </w:rPr>
              <w:t xml:space="preserve"> 000</w:t>
            </w:r>
            <w:r w:rsidR="00457A63" w:rsidRPr="00EF354F">
              <w:rPr>
                <w:rFonts w:eastAsia="Times"/>
                <w:b/>
                <w:lang w:eastAsia="ja-JP" w:bidi="he-IL"/>
              </w:rPr>
              <w:t>,-</w:t>
            </w:r>
          </w:p>
        </w:tc>
      </w:tr>
      <w:tr w:rsidR="00457A63" w:rsidRPr="009C5823" w14:paraId="768F3373" w14:textId="77777777" w:rsidTr="00457A63">
        <w:trPr>
          <w:trHeight w:hRule="exact" w:val="644"/>
        </w:trPr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F486A" w14:textId="67FF6226" w:rsidR="00457A63" w:rsidRDefault="00457A63" w:rsidP="00000578">
            <w:pPr>
              <w:keepNext/>
              <w:keepLines/>
              <w:spacing w:before="60" w:after="60"/>
              <w:jc w:val="center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C.</w:t>
            </w:r>
          </w:p>
        </w:tc>
        <w:tc>
          <w:tcPr>
            <w:tcW w:w="6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9AF73" w14:textId="77777777" w:rsidR="00457A63" w:rsidRDefault="00457A63" w:rsidP="005011E8">
            <w:pPr>
              <w:keepNext/>
              <w:keepLines/>
              <w:spacing w:before="60" w:after="60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Administrace projektu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C974F" w14:textId="77235EF1" w:rsidR="00457A63" w:rsidRDefault="00752C4A" w:rsidP="00DC4C3C">
            <w:pPr>
              <w:keepNext/>
              <w:keepLines/>
              <w:tabs>
                <w:tab w:val="left" w:pos="436"/>
                <w:tab w:val="left" w:pos="601"/>
                <w:tab w:val="left" w:pos="700"/>
              </w:tabs>
              <w:spacing w:before="60" w:after="60"/>
              <w:ind w:left="10" w:right="302" w:hanging="10"/>
              <w:jc w:val="center"/>
              <w:rPr>
                <w:rFonts w:eastAsia="Times"/>
                <w:b/>
                <w:lang w:eastAsia="ja-JP" w:bidi="he-IL"/>
              </w:rPr>
            </w:pPr>
            <w:r>
              <w:rPr>
                <w:rFonts w:eastAsia="Times"/>
                <w:b/>
                <w:lang w:eastAsia="ja-JP" w:bidi="he-IL"/>
              </w:rPr>
              <w:t>22</w:t>
            </w:r>
            <w:r w:rsidR="00457A63">
              <w:rPr>
                <w:rFonts w:eastAsia="Times"/>
                <w:b/>
                <w:lang w:eastAsia="ja-JP" w:bidi="he-IL"/>
              </w:rPr>
              <w:t> 000,-</w:t>
            </w:r>
          </w:p>
        </w:tc>
      </w:tr>
    </w:tbl>
    <w:p w14:paraId="4C5C7C12" w14:textId="77777777" w:rsidR="005F4C7E" w:rsidRPr="00A0263C" w:rsidRDefault="005F4C7E" w:rsidP="005D71DA">
      <w:pPr>
        <w:jc w:val="both"/>
        <w:rPr>
          <w:color w:val="000000"/>
          <w:highlight w:val="yellow"/>
        </w:rPr>
      </w:pPr>
    </w:p>
    <w:p w14:paraId="13109B14" w14:textId="0F9C9350" w:rsidR="008B09BB" w:rsidRDefault="008B09BB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F75BEC">
        <w:rPr>
          <w:color w:val="000000"/>
        </w:rPr>
        <w:t>Nárok na zaplacení ceny položky A ve výš</w:t>
      </w:r>
      <w:r w:rsidR="000851A4" w:rsidRPr="00F75BEC">
        <w:rPr>
          <w:color w:val="000000"/>
        </w:rPr>
        <w:t>i</w:t>
      </w:r>
      <w:r w:rsidRPr="00F75BEC">
        <w:rPr>
          <w:color w:val="000000"/>
        </w:rPr>
        <w:t xml:space="preserve"> </w:t>
      </w:r>
      <w:r w:rsidR="001E5AEB">
        <w:rPr>
          <w:color w:val="000000"/>
        </w:rPr>
        <w:t>1</w:t>
      </w:r>
      <w:r w:rsidR="00752C4A">
        <w:rPr>
          <w:color w:val="000000"/>
        </w:rPr>
        <w:t>8</w:t>
      </w:r>
      <w:r w:rsidRPr="00F75BEC">
        <w:rPr>
          <w:color w:val="000000"/>
        </w:rPr>
        <w:t xml:space="preserve"> 000,- Kč</w:t>
      </w:r>
      <w:r w:rsidR="004F4792">
        <w:rPr>
          <w:color w:val="000000"/>
        </w:rPr>
        <w:t xml:space="preserve"> </w:t>
      </w:r>
      <w:r w:rsidRPr="00F75BEC">
        <w:rPr>
          <w:color w:val="000000"/>
        </w:rPr>
        <w:t xml:space="preserve">vzniká </w:t>
      </w:r>
      <w:r w:rsidR="000C5178">
        <w:rPr>
          <w:color w:val="000000"/>
        </w:rPr>
        <w:t xml:space="preserve">zhotoviteli </w:t>
      </w:r>
      <w:r w:rsidRPr="00F75BEC">
        <w:rPr>
          <w:color w:val="000000"/>
        </w:rPr>
        <w:t>dnem předání kompletní žádosti o dotaci poskytovateli dotace</w:t>
      </w:r>
      <w:r w:rsidR="00DD762E">
        <w:rPr>
          <w:color w:val="000000"/>
        </w:rPr>
        <w:t xml:space="preserve"> – Ministerstvu pro místní rozvoj ČR.</w:t>
      </w:r>
    </w:p>
    <w:p w14:paraId="7F1A0E40" w14:textId="77777777" w:rsidR="00645E31" w:rsidRPr="00DD762E" w:rsidRDefault="00645E31" w:rsidP="00754DA1">
      <w:pPr>
        <w:jc w:val="both"/>
        <w:rPr>
          <w:color w:val="000000"/>
        </w:rPr>
      </w:pPr>
    </w:p>
    <w:p w14:paraId="25A1B21A" w14:textId="42A2AEE5" w:rsidR="00645E31" w:rsidRDefault="00645E31" w:rsidP="00641F5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 w:rsidRPr="00F75BEC">
        <w:rPr>
          <w:color w:val="000000"/>
        </w:rPr>
        <w:t>Nárok na zapla</w:t>
      </w:r>
      <w:r w:rsidR="000851A4" w:rsidRPr="00F75BEC">
        <w:rPr>
          <w:color w:val="000000"/>
        </w:rPr>
        <w:t xml:space="preserve">cení částky položky </w:t>
      </w:r>
      <w:r w:rsidR="00754DA1">
        <w:rPr>
          <w:color w:val="000000"/>
        </w:rPr>
        <w:t>B</w:t>
      </w:r>
      <w:r w:rsidR="000851A4" w:rsidRPr="00F75BEC">
        <w:rPr>
          <w:color w:val="000000"/>
        </w:rPr>
        <w:t xml:space="preserve"> ve výši</w:t>
      </w:r>
      <w:r w:rsidR="001E5AEB">
        <w:rPr>
          <w:color w:val="000000"/>
        </w:rPr>
        <w:t xml:space="preserve"> </w:t>
      </w:r>
      <w:r w:rsidR="00752C4A">
        <w:rPr>
          <w:color w:val="000000"/>
        </w:rPr>
        <w:t>20</w:t>
      </w:r>
      <w:r w:rsidRPr="00F75BEC">
        <w:rPr>
          <w:color w:val="000000"/>
        </w:rPr>
        <w:t xml:space="preserve"> 000,- Kč</w:t>
      </w:r>
      <w:r w:rsidR="00EA308D">
        <w:rPr>
          <w:color w:val="000000"/>
        </w:rPr>
        <w:t xml:space="preserve"> </w:t>
      </w:r>
      <w:r w:rsidRPr="00F75BEC">
        <w:rPr>
          <w:color w:val="000000"/>
        </w:rPr>
        <w:t xml:space="preserve">vzniká </w:t>
      </w:r>
      <w:r w:rsidR="000C5178">
        <w:rPr>
          <w:color w:val="000000"/>
        </w:rPr>
        <w:t>zhotoviteli dnem přiznání dotace ze strany</w:t>
      </w:r>
      <w:r w:rsidR="00DD762E">
        <w:rPr>
          <w:color w:val="000000"/>
        </w:rPr>
        <w:t xml:space="preserve"> jednoho z</w:t>
      </w:r>
      <w:r w:rsidR="000C5178">
        <w:rPr>
          <w:color w:val="000000"/>
        </w:rPr>
        <w:t xml:space="preserve"> poskytovate</w:t>
      </w:r>
      <w:r w:rsidR="00DD762E">
        <w:rPr>
          <w:color w:val="000000"/>
        </w:rPr>
        <w:t>lů</w:t>
      </w:r>
      <w:r w:rsidR="000C5178">
        <w:rPr>
          <w:color w:val="000000"/>
        </w:rPr>
        <w:t xml:space="preserve"> dotace. </w:t>
      </w:r>
    </w:p>
    <w:p w14:paraId="0BAB804A" w14:textId="77777777" w:rsidR="00DC4C3C" w:rsidRPr="00457A63" w:rsidRDefault="00DC4C3C" w:rsidP="00457A63">
      <w:pPr>
        <w:rPr>
          <w:color w:val="000000"/>
        </w:rPr>
      </w:pPr>
    </w:p>
    <w:p w14:paraId="2BFFB40F" w14:textId="7905269E" w:rsidR="00DC4C3C" w:rsidRPr="00DC4C3C" w:rsidRDefault="00DC4C3C" w:rsidP="00641F5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 w:rsidRPr="003B6A82">
        <w:rPr>
          <w:color w:val="000000"/>
        </w:rPr>
        <w:t>Nár</w:t>
      </w:r>
      <w:r>
        <w:rPr>
          <w:color w:val="000000"/>
        </w:rPr>
        <w:t xml:space="preserve">ok na zaplacení částky položky </w:t>
      </w:r>
      <w:r w:rsidR="00457A63">
        <w:rPr>
          <w:color w:val="000000"/>
        </w:rPr>
        <w:t>C</w:t>
      </w:r>
      <w:r w:rsidRPr="003B6A82">
        <w:rPr>
          <w:color w:val="000000"/>
        </w:rPr>
        <w:t xml:space="preserve"> ve výši</w:t>
      </w:r>
      <w:r>
        <w:rPr>
          <w:color w:val="000000"/>
        </w:rPr>
        <w:t xml:space="preserve"> </w:t>
      </w:r>
      <w:r w:rsidR="00752C4A">
        <w:rPr>
          <w:color w:val="000000"/>
        </w:rPr>
        <w:t>22</w:t>
      </w:r>
      <w:r w:rsidRPr="003B6A82">
        <w:rPr>
          <w:color w:val="000000"/>
        </w:rPr>
        <w:t xml:space="preserve"> </w:t>
      </w:r>
      <w:r>
        <w:rPr>
          <w:color w:val="000000"/>
        </w:rPr>
        <w:t>0</w:t>
      </w:r>
      <w:r w:rsidRPr="003B6A82">
        <w:rPr>
          <w:color w:val="000000"/>
        </w:rPr>
        <w:t>00,</w:t>
      </w:r>
      <w:r>
        <w:rPr>
          <w:color w:val="000000"/>
        </w:rPr>
        <w:t>- Kč vzniká</w:t>
      </w:r>
      <w:r w:rsidRPr="006743C8">
        <w:rPr>
          <w:color w:val="000000"/>
        </w:rPr>
        <w:t xml:space="preserve"> </w:t>
      </w:r>
      <w:r w:rsidRPr="006743C8">
        <w:t>dnem předání závěrečné monitorovací zprávy poskytovateli dotace.</w:t>
      </w:r>
    </w:p>
    <w:p w14:paraId="57A7C4F7" w14:textId="77777777" w:rsidR="005F4C7E" w:rsidRPr="00540B1C" w:rsidRDefault="005F4C7E" w:rsidP="008B09BB">
      <w:pPr>
        <w:jc w:val="both"/>
        <w:rPr>
          <w:color w:val="000000"/>
        </w:rPr>
      </w:pPr>
    </w:p>
    <w:p w14:paraId="5A3C1C0F" w14:textId="77777777" w:rsidR="00747501" w:rsidRDefault="00747501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Objednavatel se zavazuje do 14 dnů od obdržení</w:t>
      </w:r>
      <w:r w:rsidR="006824BB">
        <w:rPr>
          <w:color w:val="000000"/>
        </w:rPr>
        <w:t xml:space="preserve"> písemného</w:t>
      </w:r>
      <w:r>
        <w:rPr>
          <w:color w:val="000000"/>
        </w:rPr>
        <w:t xml:space="preserve"> rozhodnutí písemně sdělit zhotoviteli rozhodnutí hodnotitelského orgánu o přidělení či nepřidělení dotace. V případě nesdělení tohoto rozhodnutí ve výše zmíněné lhůtě se považuje toto rozhodnutí za kladné s přiznanou dotací v požadované výši uvedené v projektové dokumentaci. </w:t>
      </w:r>
    </w:p>
    <w:p w14:paraId="4F0D4D9B" w14:textId="77777777" w:rsidR="00747501" w:rsidRDefault="00747501">
      <w:pPr>
        <w:jc w:val="both"/>
        <w:rPr>
          <w:color w:val="000000"/>
        </w:rPr>
      </w:pPr>
    </w:p>
    <w:p w14:paraId="4C670B33" w14:textId="77777777" w:rsidR="000851A4" w:rsidRPr="00F75BEC" w:rsidRDefault="00747501" w:rsidP="00641F51">
      <w:pPr>
        <w:pStyle w:val="Normodsaz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Cs w:val="24"/>
        </w:rPr>
      </w:pPr>
      <w:r>
        <w:rPr>
          <w:szCs w:val="24"/>
        </w:rPr>
        <w:t>Smluvní strany sjednávají splatnost faktur vyst</w:t>
      </w:r>
      <w:r w:rsidR="00175098">
        <w:rPr>
          <w:szCs w:val="24"/>
        </w:rPr>
        <w:t>avených zhotovitelem do 30</w:t>
      </w:r>
      <w:r>
        <w:rPr>
          <w:szCs w:val="24"/>
        </w:rPr>
        <w:t xml:space="preserve"> dnů po jejich obdržení objednatelem. Za den úhrady faktury je smluvními stranami považován den, kdy objednatel předal příkaz k úhradě peněžnímu ústavu zhotovitele. </w:t>
      </w:r>
    </w:p>
    <w:p w14:paraId="28257FD7" w14:textId="77777777" w:rsidR="00747501" w:rsidRDefault="00747501">
      <w:pPr>
        <w:jc w:val="both"/>
        <w:rPr>
          <w:color w:val="000000"/>
        </w:rPr>
      </w:pPr>
    </w:p>
    <w:p w14:paraId="41A62C8E" w14:textId="77777777" w:rsidR="00747501" w:rsidRDefault="00747501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Cenu lze měnit pouze písemným dodatkem k této smlouvě.</w:t>
      </w:r>
    </w:p>
    <w:p w14:paraId="1F080813" w14:textId="77777777" w:rsidR="00747501" w:rsidRDefault="00747501">
      <w:pPr>
        <w:jc w:val="both"/>
        <w:rPr>
          <w:color w:val="000000"/>
        </w:rPr>
      </w:pPr>
    </w:p>
    <w:p w14:paraId="122A7521" w14:textId="77777777" w:rsidR="00747501" w:rsidRDefault="00747501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Účelně vynaložené poplatky státu (např. kolkovné) nejsou součástí ceny a jejich náhrada bude připočtena k fakturované ceně. Zhotovitel však upozorní předem na výši těchto poplatků. </w:t>
      </w:r>
    </w:p>
    <w:p w14:paraId="01DC3D9F" w14:textId="77777777" w:rsidR="00747501" w:rsidRDefault="00747501">
      <w:pPr>
        <w:jc w:val="both"/>
        <w:rPr>
          <w:color w:val="000000"/>
        </w:rPr>
      </w:pPr>
    </w:p>
    <w:p w14:paraId="7934ACF0" w14:textId="77777777" w:rsidR="00747501" w:rsidRDefault="00747501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Faktura vystavená zhoto</w:t>
      </w:r>
      <w:r w:rsidR="00C03238">
        <w:rPr>
          <w:color w:val="000000"/>
        </w:rPr>
        <w:t xml:space="preserve">vitelem a zaslaná objednateli </w:t>
      </w:r>
      <w:r>
        <w:rPr>
          <w:color w:val="000000"/>
        </w:rPr>
        <w:t>musí obsahovat tyto náležitosti: číslo faktury, označení objednatele a zhotovitele, označení účtu zhotovitele, datum vystavení, termín splatnosti, rozpis položek díla, fakturovaná částka, razítko zhotovitele a podpis oprávněné osoby</w:t>
      </w:r>
      <w:r>
        <w:rPr>
          <w:rFonts w:ascii="Arial" w:hAnsi="Arial" w:cs="Arial"/>
          <w:color w:val="000000"/>
          <w:sz w:val="20"/>
        </w:rPr>
        <w:t>.</w:t>
      </w:r>
    </w:p>
    <w:p w14:paraId="74DB6B86" w14:textId="77777777" w:rsidR="00747501" w:rsidRDefault="00747501">
      <w:pPr>
        <w:jc w:val="both"/>
        <w:rPr>
          <w:color w:val="000000"/>
        </w:rPr>
      </w:pPr>
    </w:p>
    <w:p w14:paraId="20B8D9A9" w14:textId="77777777" w:rsidR="00747501" w:rsidRDefault="00747501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Objednatel je oprávněn ve lhůtě splatnosti fakturu zhotoviteli vrátit, jestliže neobsahuje náležitosti dle této smlouvy nebo jestliže ve faktuře uvedený předmět plnění, jeho rozsah nebo obsah neodpovídají této smlou</w:t>
      </w:r>
      <w:r w:rsidR="000F0A79">
        <w:rPr>
          <w:color w:val="000000"/>
        </w:rPr>
        <w:t>vě nebo fakturovaná částka není</w:t>
      </w:r>
      <w:r>
        <w:rPr>
          <w:color w:val="000000"/>
        </w:rPr>
        <w:t xml:space="preserve"> v souladu s touto smlouvou. Od zaslání nové faktury běží nová čtrnáctidenní lhůta splatnosti</w:t>
      </w:r>
      <w:r>
        <w:rPr>
          <w:rFonts w:ascii="Arial" w:hAnsi="Arial" w:cs="Arial"/>
          <w:color w:val="000000"/>
          <w:sz w:val="20"/>
        </w:rPr>
        <w:t>.</w:t>
      </w:r>
    </w:p>
    <w:p w14:paraId="6E82E41C" w14:textId="77777777" w:rsidR="00747501" w:rsidRDefault="00747501">
      <w:pPr>
        <w:jc w:val="both"/>
        <w:rPr>
          <w:color w:val="000000"/>
        </w:rPr>
      </w:pPr>
    </w:p>
    <w:p w14:paraId="2E75FD76" w14:textId="77777777" w:rsidR="00747501" w:rsidRDefault="00747501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Objednatel je povinen splatnou fakturu zaplatit převodem na účet zhotovitele uvedeném ve faktuře.</w:t>
      </w:r>
    </w:p>
    <w:p w14:paraId="7F8951EF" w14:textId="77777777" w:rsidR="000C5178" w:rsidRPr="00C676AB" w:rsidRDefault="000C5178" w:rsidP="000C5178">
      <w:pPr>
        <w:jc w:val="both"/>
        <w:rPr>
          <w:color w:val="000000"/>
        </w:rPr>
      </w:pPr>
    </w:p>
    <w:p w14:paraId="52193542" w14:textId="77777777" w:rsidR="00747501" w:rsidRDefault="00747501" w:rsidP="00641F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V případě prodlení se splacením fakturované ceny je objednatel povinen zaplatit smluvní pokutu ve výši 0,1 % z fakturované částky za každý den prodlení.</w:t>
      </w:r>
    </w:p>
    <w:p w14:paraId="2C1D137F" w14:textId="77777777" w:rsidR="00C676AB" w:rsidRPr="008B09BB" w:rsidRDefault="00C676AB" w:rsidP="00C676AB">
      <w:pPr>
        <w:jc w:val="both"/>
        <w:rPr>
          <w:color w:val="000000"/>
        </w:rPr>
      </w:pPr>
    </w:p>
    <w:p w14:paraId="7281C5E7" w14:textId="77777777" w:rsidR="00747501" w:rsidRDefault="007F4BE6" w:rsidP="00FF3E26">
      <w:pPr>
        <w:pStyle w:val="Nadpis2"/>
        <w:jc w:val="center"/>
        <w:rPr>
          <w:rFonts w:ascii="Times New Roman" w:eastAsia="Times New Roman" w:hAnsi="Times New Roman" w:cs="Times New Roman"/>
          <w:bCs w:val="0"/>
          <w:color w:val="000000"/>
        </w:rPr>
      </w:pPr>
      <w:r>
        <w:rPr>
          <w:rFonts w:ascii="Times New Roman" w:eastAsia="Times New Roman" w:hAnsi="Times New Roman" w:cs="Times New Roman"/>
          <w:bCs w:val="0"/>
          <w:color w:val="000000"/>
        </w:rPr>
        <w:t>VI</w:t>
      </w:r>
      <w:r w:rsidR="00747501">
        <w:rPr>
          <w:rFonts w:ascii="Times New Roman" w:eastAsia="Times New Roman" w:hAnsi="Times New Roman" w:cs="Times New Roman"/>
          <w:bCs w:val="0"/>
          <w:color w:val="000000"/>
        </w:rPr>
        <w:t>I.</w:t>
      </w:r>
    </w:p>
    <w:p w14:paraId="779215CB" w14:textId="77777777" w:rsidR="00747501" w:rsidRDefault="00747501" w:rsidP="00FF3E26">
      <w:pPr>
        <w:pStyle w:val="Nadpis2"/>
        <w:jc w:val="center"/>
        <w:rPr>
          <w:rFonts w:ascii="Times New Roman" w:eastAsia="Times New Roman" w:hAnsi="Times New Roman" w:cs="Times New Roman"/>
          <w:bCs w:val="0"/>
          <w:color w:val="000000"/>
        </w:rPr>
      </w:pPr>
      <w:r>
        <w:rPr>
          <w:rFonts w:ascii="Times New Roman" w:eastAsia="Times New Roman" w:hAnsi="Times New Roman" w:cs="Times New Roman"/>
          <w:bCs w:val="0"/>
          <w:color w:val="000000"/>
        </w:rPr>
        <w:t>Další práva a povinnosti smluvních stran</w:t>
      </w:r>
    </w:p>
    <w:p w14:paraId="3A5AF5B9" w14:textId="77777777" w:rsidR="00747501" w:rsidRDefault="00747501"/>
    <w:p w14:paraId="4E91801D" w14:textId="77777777" w:rsidR="00747501" w:rsidRDefault="00747501" w:rsidP="00641F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Objednatel je povinen na výzvu zhotovitele poskytnout údaje a dokumenty vhodné jako podklady díla. </w:t>
      </w:r>
    </w:p>
    <w:p w14:paraId="3EECC46F" w14:textId="77777777" w:rsidR="00747501" w:rsidRDefault="00747501">
      <w:pPr>
        <w:jc w:val="both"/>
        <w:rPr>
          <w:color w:val="000000"/>
        </w:rPr>
      </w:pPr>
    </w:p>
    <w:p w14:paraId="1C389F62" w14:textId="77777777" w:rsidR="00747501" w:rsidRDefault="00747501" w:rsidP="00641F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Objednatel je oprávněn se průběžně informovat o stavu vyhotovování díla a podávat návrhy na změny díla, pokud nejsou v rozporu s touto smlouvou nebo jejími přílohami. </w:t>
      </w:r>
    </w:p>
    <w:p w14:paraId="434729E6" w14:textId="77777777" w:rsidR="00747501" w:rsidRDefault="00747501">
      <w:pPr>
        <w:jc w:val="both"/>
        <w:rPr>
          <w:color w:val="000000"/>
        </w:rPr>
      </w:pPr>
    </w:p>
    <w:p w14:paraId="1C1F3858" w14:textId="77777777" w:rsidR="00747501" w:rsidRDefault="00747501" w:rsidP="00641F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Zhotovitel je povinen vypracovávat dílo v odborné kvalitě běžné u obdobných poradenských a analytických služeb.  </w:t>
      </w:r>
    </w:p>
    <w:p w14:paraId="74C14EFF" w14:textId="77777777" w:rsidR="00747501" w:rsidRDefault="00747501">
      <w:pPr>
        <w:jc w:val="both"/>
        <w:rPr>
          <w:b/>
          <w:color w:val="000000"/>
        </w:rPr>
      </w:pPr>
    </w:p>
    <w:p w14:paraId="37009455" w14:textId="77777777" w:rsidR="00747501" w:rsidRDefault="00747501" w:rsidP="00641F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lastRenderedPageBreak/>
        <w:t xml:space="preserve">Zhotovitel se zavazuje využít neveřejné údaje získané od objednatele v souvislosti s touto smlouvou k jiným účelům než k účelům stanoveným v této smlouvě pouze s jeho souhlasem. </w:t>
      </w:r>
    </w:p>
    <w:p w14:paraId="2C4758EC" w14:textId="77777777" w:rsidR="00747501" w:rsidRDefault="00747501">
      <w:pPr>
        <w:jc w:val="both"/>
        <w:rPr>
          <w:color w:val="000000"/>
        </w:rPr>
      </w:pPr>
    </w:p>
    <w:p w14:paraId="482B199F" w14:textId="77777777" w:rsidR="00747501" w:rsidRDefault="00747501" w:rsidP="00641F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t>Objednatel podpisem žádosti potvrzuje, že se seznámil s jejím obsahem, včetně rozpočtu a všemi přílohami. Kopie povinných příloh žádosti bude objednateli předána na jeho vyžádání.</w:t>
      </w:r>
    </w:p>
    <w:p w14:paraId="3882B1F8" w14:textId="77777777" w:rsidR="00747501" w:rsidRDefault="00747501">
      <w:pPr>
        <w:jc w:val="both"/>
      </w:pPr>
    </w:p>
    <w:p w14:paraId="08F23C55" w14:textId="77777777" w:rsidR="00747501" w:rsidRDefault="007F4BE6" w:rsidP="007F6A65">
      <w:pPr>
        <w:jc w:val="center"/>
        <w:rPr>
          <w:b/>
        </w:rPr>
      </w:pPr>
      <w:r>
        <w:rPr>
          <w:b/>
        </w:rPr>
        <w:t>VIII</w:t>
      </w:r>
      <w:r w:rsidR="00747501">
        <w:rPr>
          <w:b/>
        </w:rPr>
        <w:t>.</w:t>
      </w:r>
    </w:p>
    <w:p w14:paraId="5001360F" w14:textId="77777777" w:rsidR="00747501" w:rsidRDefault="00747501" w:rsidP="007F6A65">
      <w:pPr>
        <w:jc w:val="center"/>
        <w:rPr>
          <w:b/>
          <w:color w:val="000000"/>
        </w:rPr>
      </w:pPr>
      <w:r>
        <w:rPr>
          <w:b/>
          <w:color w:val="000000"/>
        </w:rPr>
        <w:t>Umožnění kontroly třetích osob</w:t>
      </w:r>
    </w:p>
    <w:p w14:paraId="5983CB98" w14:textId="77777777" w:rsidR="00747501" w:rsidRDefault="00747501">
      <w:pPr>
        <w:jc w:val="both"/>
        <w:rPr>
          <w:color w:val="000000"/>
        </w:rPr>
      </w:pPr>
    </w:p>
    <w:p w14:paraId="30266082" w14:textId="77777777" w:rsidR="00747501" w:rsidRDefault="00747501" w:rsidP="00641F5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Realizace díla dle této smlouvy je součástí projektu spolufinancovaného ze Strukturálních fondů EU.</w:t>
      </w:r>
    </w:p>
    <w:p w14:paraId="4B513058" w14:textId="77777777" w:rsidR="00747501" w:rsidRDefault="00747501">
      <w:pPr>
        <w:jc w:val="both"/>
        <w:rPr>
          <w:color w:val="000000"/>
        </w:rPr>
      </w:pPr>
    </w:p>
    <w:p w14:paraId="04B88700" w14:textId="77777777" w:rsidR="00747501" w:rsidRDefault="00747501" w:rsidP="00641F5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S ohledem na výše uvedené skutečnosti se zhotovitel zavazuje, že poskytne subjektům provádějícím audit a kontrolu splnění povinností spojených s realizací projektu veškeré nezbytné informace týkající se jeho dodavatelských činností (v souladu s nařízením ES č. 448/2004, pravidlo 1, bod č.3,2.) Zhotovitel je tedy povinen poskytnout kompletní dokumentaci týkající se realizace zakázky dle této smlouvy a umožnit vstup kontrolním subjektům.</w:t>
      </w:r>
    </w:p>
    <w:p w14:paraId="361FB51C" w14:textId="77777777" w:rsidR="00747501" w:rsidRDefault="00747501">
      <w:pPr>
        <w:jc w:val="both"/>
        <w:rPr>
          <w:rFonts w:ascii="Arial" w:hAnsi="Arial" w:cs="Arial"/>
          <w:b/>
          <w:color w:val="000000"/>
          <w:sz w:val="20"/>
        </w:rPr>
      </w:pPr>
    </w:p>
    <w:p w14:paraId="7973D028" w14:textId="77777777" w:rsidR="00747501" w:rsidRDefault="007F4BE6" w:rsidP="001F44A3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747501">
        <w:rPr>
          <w:b/>
          <w:color w:val="000000"/>
        </w:rPr>
        <w:t>X.</w:t>
      </w:r>
    </w:p>
    <w:p w14:paraId="6B057854" w14:textId="77777777" w:rsidR="00747501" w:rsidRDefault="00747501" w:rsidP="001F44A3">
      <w:pPr>
        <w:jc w:val="center"/>
        <w:rPr>
          <w:b/>
          <w:color w:val="000000"/>
        </w:rPr>
      </w:pPr>
      <w:r>
        <w:rPr>
          <w:b/>
          <w:color w:val="000000"/>
        </w:rPr>
        <w:t>Odpovědnost za vady</w:t>
      </w:r>
    </w:p>
    <w:p w14:paraId="4BE61AA3" w14:textId="77777777" w:rsidR="00747501" w:rsidRDefault="00747501">
      <w:pPr>
        <w:jc w:val="center"/>
        <w:rPr>
          <w:b/>
          <w:color w:val="000000"/>
        </w:rPr>
      </w:pPr>
    </w:p>
    <w:p w14:paraId="5598BD40" w14:textId="77777777" w:rsidR="00747501" w:rsidRDefault="00747501" w:rsidP="00641F51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/>
        </w:rPr>
      </w:pPr>
      <w:r>
        <w:rPr>
          <w:color w:val="000000"/>
        </w:rPr>
        <w:t>Zjistí-li objednatel případné vady díla, je povinen je neprodleně nahlásit zhotoviteli. Objednatel je oprávněn požadovat jejich bezplatné odstranění, je-li to možné. Není-li odstranění vad možné</w:t>
      </w:r>
      <w:r w:rsidR="00440E01">
        <w:rPr>
          <w:color w:val="000000"/>
        </w:rPr>
        <w:t xml:space="preserve">, </w:t>
      </w:r>
      <w:r>
        <w:rPr>
          <w:color w:val="000000"/>
        </w:rPr>
        <w:t xml:space="preserve">nebo pokud to zhotovitel sám navrhne, může objednatel žádat přiměřenou slevu z ceny. </w:t>
      </w:r>
    </w:p>
    <w:p w14:paraId="5FA11884" w14:textId="77777777" w:rsidR="00747501" w:rsidRDefault="00747501">
      <w:pPr>
        <w:jc w:val="both"/>
        <w:rPr>
          <w:color w:val="000000"/>
        </w:rPr>
      </w:pPr>
    </w:p>
    <w:p w14:paraId="423658BE" w14:textId="77777777" w:rsidR="0062532D" w:rsidRPr="007E1BA6" w:rsidRDefault="00747501" w:rsidP="00641F51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Zhotovitel se zprošťuje odpovědnosti za vady, jsou-li způsobeny porušením povinnosti objednatele. </w:t>
      </w:r>
    </w:p>
    <w:p w14:paraId="39F7543B" w14:textId="77777777" w:rsidR="0062532D" w:rsidRDefault="0062532D">
      <w:pPr>
        <w:rPr>
          <w:b/>
          <w:color w:val="000000"/>
        </w:rPr>
      </w:pPr>
    </w:p>
    <w:p w14:paraId="606721CA" w14:textId="77777777" w:rsidR="00747501" w:rsidRDefault="007F4BE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X</w:t>
      </w:r>
      <w:r w:rsidR="00747501">
        <w:rPr>
          <w:b/>
          <w:color w:val="000000"/>
        </w:rPr>
        <w:t xml:space="preserve">. </w:t>
      </w:r>
      <w:r w:rsidR="00747501">
        <w:rPr>
          <w:b/>
          <w:color w:val="000000"/>
        </w:rPr>
        <w:tab/>
      </w:r>
    </w:p>
    <w:p w14:paraId="6F8831B9" w14:textId="77777777" w:rsidR="00747501" w:rsidRDefault="007475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Ukončení smluvního vztahu </w:t>
      </w:r>
    </w:p>
    <w:p w14:paraId="56E88343" w14:textId="77777777" w:rsidR="00747501" w:rsidRDefault="00747501">
      <w:pPr>
        <w:jc w:val="center"/>
        <w:rPr>
          <w:b/>
          <w:color w:val="000000"/>
        </w:rPr>
      </w:pPr>
    </w:p>
    <w:p w14:paraId="31008153" w14:textId="77777777" w:rsidR="00747501" w:rsidRDefault="00747501" w:rsidP="00641F5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Smluvní strany mohou ukončit tuto smlouvu písemnou dohodou, jejíž součástí bude rovněž finanční vyrovnání dosud provedených prací.  </w:t>
      </w:r>
    </w:p>
    <w:p w14:paraId="7B6E1AC6" w14:textId="77777777" w:rsidR="00747501" w:rsidRDefault="00747501">
      <w:pPr>
        <w:jc w:val="center"/>
        <w:rPr>
          <w:b/>
          <w:color w:val="000000"/>
        </w:rPr>
      </w:pPr>
    </w:p>
    <w:p w14:paraId="4A062506" w14:textId="77777777" w:rsidR="00747501" w:rsidRDefault="00747501" w:rsidP="00641F5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Objednatel je oprávněn od smlouvy odstoupit pouze tehdy, jestliže je zhotovitel v prodlení s předáním díla, jenž má za následek včasné nepředání žádosti implementační agentuře </w:t>
      </w:r>
      <w:proofErr w:type="gramStart"/>
      <w:r>
        <w:rPr>
          <w:color w:val="000000"/>
        </w:rPr>
        <w:t>a  toto</w:t>
      </w:r>
      <w:proofErr w:type="gramEnd"/>
      <w:r>
        <w:rPr>
          <w:color w:val="000000"/>
        </w:rPr>
        <w:t xml:space="preserve"> prodlení je zaviněno zhotovitelem. </w:t>
      </w:r>
    </w:p>
    <w:p w14:paraId="68C74433" w14:textId="77777777" w:rsidR="00747501" w:rsidRDefault="00747501">
      <w:pPr>
        <w:jc w:val="both"/>
        <w:rPr>
          <w:color w:val="000000"/>
        </w:rPr>
      </w:pPr>
    </w:p>
    <w:p w14:paraId="3F903D62" w14:textId="77777777" w:rsidR="00747501" w:rsidRPr="007F6A65" w:rsidRDefault="00747501" w:rsidP="00641F5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Zhotovitel je oprávněn od smlouvy odstoupit, jestliže objednatel je v prodlení s předáním údajů či podkladů vyžádaných zhotovitelem k dohodnutým termínům. Na možnost odstoupení je povinen zhotovitel objednatele písemně upozornit. V případě odstoupení je zhotovitel oprávněn vyúčtovat objednateli dosud provedené práce ve výši 500,</w:t>
      </w:r>
      <w:r>
        <w:rPr>
          <w:i/>
          <w:color w:val="000000"/>
        </w:rPr>
        <w:t>-</w:t>
      </w:r>
      <w:r>
        <w:rPr>
          <w:i/>
          <w:color w:val="FF0000"/>
        </w:rPr>
        <w:t xml:space="preserve"> </w:t>
      </w:r>
      <w:r w:rsidR="00373D9F">
        <w:rPr>
          <w:color w:val="000000"/>
        </w:rPr>
        <w:t xml:space="preserve">Kč/hod.    a </w:t>
      </w:r>
      <w:r>
        <w:rPr>
          <w:color w:val="000000"/>
        </w:rPr>
        <w:t>veškeré dosud vynaložené náklady spojené prováděním díla. Odstoupit od smlouvy mohou objednatel i zhotovitel na základě písemného projevu o odstoupení od smlouvy. Odstoupení je účinné s okamžitou platností, tj. ode dne následujícího po dni doručení</w:t>
      </w:r>
      <w:r w:rsidR="00C57CBA">
        <w:rPr>
          <w:color w:val="000000"/>
        </w:rPr>
        <w:t xml:space="preserve"> </w:t>
      </w:r>
      <w:r>
        <w:rPr>
          <w:color w:val="000000"/>
        </w:rPr>
        <w:t>o odstoupení od smlouvy.</w:t>
      </w:r>
    </w:p>
    <w:p w14:paraId="0C1468E7" w14:textId="77777777" w:rsidR="00033678" w:rsidRDefault="00033678">
      <w:pPr>
        <w:jc w:val="both"/>
        <w:rPr>
          <w:rFonts w:ascii="Arial" w:hAnsi="Arial" w:cs="Arial"/>
          <w:b/>
          <w:color w:val="000000"/>
          <w:sz w:val="20"/>
        </w:rPr>
      </w:pPr>
    </w:p>
    <w:p w14:paraId="6FCC4C9A" w14:textId="77777777" w:rsidR="00747501" w:rsidRDefault="00624772" w:rsidP="00F75BEC">
      <w:pPr>
        <w:pStyle w:val="Nadpis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XI</w:t>
      </w:r>
      <w:r w:rsidR="00747501">
        <w:rPr>
          <w:rFonts w:ascii="Times New Roman" w:hAnsi="Times New Roman" w:cs="Times New Roman"/>
        </w:rPr>
        <w:t>.</w:t>
      </w:r>
    </w:p>
    <w:p w14:paraId="0BA3B53F" w14:textId="31C41797" w:rsidR="00747501" w:rsidRDefault="00FC40F4" w:rsidP="00F75BEC">
      <w:pPr>
        <w:pStyle w:val="Nadpis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Trvání smlouvy</w:t>
      </w:r>
    </w:p>
    <w:p w14:paraId="226CEAC2" w14:textId="77777777" w:rsidR="00747501" w:rsidRDefault="00747501"/>
    <w:p w14:paraId="53A5B00A" w14:textId="0F64AF20" w:rsidR="009C0871" w:rsidRPr="009C0871" w:rsidRDefault="009C0871" w:rsidP="00641F51">
      <w:pPr>
        <w:numPr>
          <w:ilvl w:val="0"/>
          <w:numId w:val="7"/>
        </w:numPr>
        <w:jc w:val="both"/>
        <w:rPr>
          <w:color w:val="000000"/>
        </w:rPr>
      </w:pPr>
      <w:r w:rsidRPr="009C0871">
        <w:rPr>
          <w:color w:val="000000"/>
        </w:rPr>
        <w:t>Smluvní</w:t>
      </w:r>
      <w:r w:rsidR="00D24EAE">
        <w:rPr>
          <w:color w:val="000000"/>
        </w:rPr>
        <w:t xml:space="preserve"> </w:t>
      </w:r>
      <w:r w:rsidRPr="009C0871">
        <w:rPr>
          <w:color w:val="000000"/>
        </w:rPr>
        <w:t xml:space="preserve">strany sjednávají trvání této Smlouvy na dobu určitou, a to na dobu od podpisu Této Smlouvy do skončení </w:t>
      </w:r>
      <w:r w:rsidR="00D24EAE">
        <w:rPr>
          <w:color w:val="000000"/>
        </w:rPr>
        <w:t>C.</w:t>
      </w:r>
      <w:r w:rsidRPr="009C0871">
        <w:rPr>
          <w:color w:val="000000"/>
        </w:rPr>
        <w:t xml:space="preserve"> části, za které se považuje lhůta určená Poskytovatelem Dotace k podání závěrečné monitorovací zprávy</w:t>
      </w:r>
      <w:r w:rsidR="00641F51">
        <w:rPr>
          <w:color w:val="000000"/>
        </w:rPr>
        <w:t xml:space="preserve"> </w:t>
      </w:r>
      <w:r w:rsidR="00641F51" w:rsidRPr="00641F51">
        <w:rPr>
          <w:color w:val="000000"/>
        </w:rPr>
        <w:t>poskytovateli dotace</w:t>
      </w:r>
      <w:r w:rsidRPr="009C0871">
        <w:rPr>
          <w:color w:val="000000"/>
        </w:rPr>
        <w:t xml:space="preserve">. </w:t>
      </w:r>
    </w:p>
    <w:p w14:paraId="63BD1428" w14:textId="77777777" w:rsidR="009C0871" w:rsidRPr="009C0871" w:rsidRDefault="009C0871" w:rsidP="00641F51">
      <w:pPr>
        <w:numPr>
          <w:ilvl w:val="0"/>
          <w:numId w:val="7"/>
        </w:numPr>
        <w:jc w:val="both"/>
        <w:rPr>
          <w:color w:val="000000"/>
        </w:rPr>
      </w:pPr>
      <w:r w:rsidRPr="009C0871">
        <w:rPr>
          <w:color w:val="000000"/>
        </w:rPr>
        <w:t>Tato Smlouva dále zaniká:</w:t>
      </w:r>
    </w:p>
    <w:p w14:paraId="67BB370B" w14:textId="77777777" w:rsidR="009C0871" w:rsidRPr="009C0871" w:rsidRDefault="009C0871" w:rsidP="00641F51">
      <w:pPr>
        <w:pStyle w:val="Odstavecseseznamem"/>
        <w:numPr>
          <w:ilvl w:val="0"/>
          <w:numId w:val="10"/>
        </w:numPr>
        <w:jc w:val="both"/>
        <w:rPr>
          <w:color w:val="000000"/>
        </w:rPr>
      </w:pPr>
      <w:r w:rsidRPr="009C0871">
        <w:rPr>
          <w:color w:val="000000"/>
        </w:rPr>
        <w:t>v důsledku vypovězení této smlouvy nebo jejího odvolání;</w:t>
      </w:r>
    </w:p>
    <w:p w14:paraId="143B8C26" w14:textId="77777777" w:rsidR="009C0871" w:rsidRPr="009C0871" w:rsidRDefault="009C0871" w:rsidP="00641F51">
      <w:pPr>
        <w:pStyle w:val="Odstavecseseznamem"/>
        <w:numPr>
          <w:ilvl w:val="0"/>
          <w:numId w:val="10"/>
        </w:numPr>
        <w:jc w:val="both"/>
        <w:rPr>
          <w:color w:val="000000"/>
        </w:rPr>
      </w:pPr>
      <w:r w:rsidRPr="009C0871">
        <w:rPr>
          <w:color w:val="000000"/>
        </w:rPr>
        <w:t>odstoupením od této Smlouvy;</w:t>
      </w:r>
    </w:p>
    <w:p w14:paraId="4B7C378A" w14:textId="77777777" w:rsidR="009C0871" w:rsidRPr="009C0871" w:rsidRDefault="009C0871" w:rsidP="00641F51">
      <w:pPr>
        <w:pStyle w:val="Odstavecseseznamem"/>
        <w:numPr>
          <w:ilvl w:val="0"/>
          <w:numId w:val="10"/>
        </w:numPr>
        <w:jc w:val="both"/>
        <w:rPr>
          <w:color w:val="000000"/>
        </w:rPr>
      </w:pPr>
      <w:r w:rsidRPr="009C0871">
        <w:rPr>
          <w:color w:val="000000"/>
        </w:rPr>
        <w:t>dohodou Smluvních stran uzavřenou v písemné formě.</w:t>
      </w:r>
    </w:p>
    <w:p w14:paraId="738C309E" w14:textId="77777777" w:rsidR="009C0871" w:rsidRPr="009C0871" w:rsidRDefault="009C0871" w:rsidP="00641F51">
      <w:pPr>
        <w:numPr>
          <w:ilvl w:val="0"/>
          <w:numId w:val="7"/>
        </w:numPr>
        <w:jc w:val="both"/>
        <w:rPr>
          <w:color w:val="000000"/>
        </w:rPr>
      </w:pPr>
      <w:r w:rsidRPr="009C0871">
        <w:rPr>
          <w:color w:val="000000"/>
        </w:rPr>
        <w:t xml:space="preserve">Kterákoliv ze Smluvních stran je oprávněna tuto Smlouvu jednostranně vypovědět, a to i bez uvedení důvodu. Výpovědní lhůta v trvání 2 měsíců počíná běžet prvním dnem v měsíci následujícím po měsíci, ve kterém byla výpověď doručena druhé Smluvní straně. Smluvní strany se dohodly na vyloučení aplikace ustanovení §, 2440 odst. 1 a 2443 občanského zákoníku. </w:t>
      </w:r>
    </w:p>
    <w:p w14:paraId="6E5F1474" w14:textId="77777777" w:rsidR="009C0871" w:rsidRPr="009C0871" w:rsidRDefault="009C0871" w:rsidP="00641F51">
      <w:pPr>
        <w:numPr>
          <w:ilvl w:val="0"/>
          <w:numId w:val="7"/>
        </w:numPr>
        <w:jc w:val="both"/>
        <w:rPr>
          <w:color w:val="000000"/>
        </w:rPr>
      </w:pPr>
      <w:r w:rsidRPr="009C0871">
        <w:rPr>
          <w:color w:val="000000"/>
        </w:rPr>
        <w:t>Kterákoliv ze smluvních stran je oprávněna od této Smlouvy jednostranně odstoupit z důvodů uvedených obecně závaznými právními předpisy nebo z důvodů uvedených v této Smlouvě. Oznámení o odstoupení musí obsahovat důvody odstoupení a musí být v písemné formě.</w:t>
      </w:r>
    </w:p>
    <w:p w14:paraId="3B710E71" w14:textId="009487B3" w:rsidR="009C0871" w:rsidRPr="009C0871" w:rsidRDefault="00423E5B" w:rsidP="00641F51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Zhotovitel</w:t>
      </w:r>
      <w:r w:rsidR="009C0871" w:rsidRPr="009C0871">
        <w:rPr>
          <w:color w:val="000000"/>
        </w:rPr>
        <w:t xml:space="preserve"> je oprávněn odstoupit od této Smlouvy, pokud:</w:t>
      </w:r>
    </w:p>
    <w:p w14:paraId="74B3CF0B" w14:textId="78D60F0C" w:rsidR="009C0871" w:rsidRPr="009C0871" w:rsidRDefault="009C0871" w:rsidP="00641F51">
      <w:pPr>
        <w:pStyle w:val="Odstavecseseznamem"/>
        <w:numPr>
          <w:ilvl w:val="0"/>
          <w:numId w:val="11"/>
        </w:numPr>
        <w:jc w:val="both"/>
        <w:rPr>
          <w:color w:val="000000"/>
        </w:rPr>
      </w:pPr>
      <w:r w:rsidRPr="009C0871">
        <w:rPr>
          <w:color w:val="000000"/>
        </w:rPr>
        <w:t xml:space="preserve">je proti </w:t>
      </w:r>
      <w:r w:rsidR="00423E5B">
        <w:rPr>
          <w:color w:val="000000"/>
        </w:rPr>
        <w:t>objednateli</w:t>
      </w:r>
      <w:r w:rsidRPr="009C0871">
        <w:rPr>
          <w:color w:val="000000"/>
        </w:rPr>
        <w:t xml:space="preserve"> vedeno insolvenční řízení;</w:t>
      </w:r>
    </w:p>
    <w:p w14:paraId="311AC292" w14:textId="164DF0D0" w:rsidR="009C0871" w:rsidRPr="009C0871" w:rsidRDefault="00423E5B" w:rsidP="00641F51">
      <w:pPr>
        <w:pStyle w:val="Odstavecseseznamem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objednatel </w:t>
      </w:r>
      <w:r w:rsidR="009C0871" w:rsidRPr="009C0871">
        <w:rPr>
          <w:color w:val="000000"/>
        </w:rPr>
        <w:t>je v prodlení s úhradou jakéhokoliv peněžitého plnění, jež má povinnost plnit dle této Smlouvy, po dobu delší než 30 dní</w:t>
      </w:r>
      <w:r w:rsidR="00A35F16">
        <w:rPr>
          <w:color w:val="000000"/>
        </w:rPr>
        <w:t xml:space="preserve"> a k úhradě nedojde přes písemnou výzvu zhotovitele</w:t>
      </w:r>
      <w:r w:rsidR="009C0871" w:rsidRPr="009C0871">
        <w:rPr>
          <w:color w:val="000000"/>
        </w:rPr>
        <w:t xml:space="preserve">; </w:t>
      </w:r>
    </w:p>
    <w:p w14:paraId="6AA73254" w14:textId="2860869E" w:rsidR="009C0871" w:rsidRPr="009C0871" w:rsidRDefault="00423E5B" w:rsidP="00641F51">
      <w:pPr>
        <w:pStyle w:val="Odstavecseseznamem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objednatel</w:t>
      </w:r>
      <w:r w:rsidR="009C0871" w:rsidRPr="009C0871">
        <w:rPr>
          <w:color w:val="000000"/>
        </w:rPr>
        <w:t xml:space="preserve"> neposkytuje potřebnou součinnost nutnou k naplnění účelu této Smlouvy nebo se dopustil porušení Informační povinnosti a závadný stav nenapraví ani v dodatečné přiměřené lhůtě stanovené ve výzvě k nápravě Příkazníkem;</w:t>
      </w:r>
    </w:p>
    <w:p w14:paraId="38AC1E41" w14:textId="2EE46EB7" w:rsidR="009C0871" w:rsidRPr="009C0871" w:rsidRDefault="00423E5B" w:rsidP="00641F51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Objednatel</w:t>
      </w:r>
      <w:r w:rsidR="009C0871" w:rsidRPr="009C0871">
        <w:rPr>
          <w:color w:val="000000"/>
        </w:rPr>
        <w:t xml:space="preserve"> je oprávněn odstoupit od této Smlouvy, pokud:</w:t>
      </w:r>
    </w:p>
    <w:p w14:paraId="3C6066D8" w14:textId="66664485" w:rsidR="009C0871" w:rsidRPr="00D24EAE" w:rsidRDefault="009C0871" w:rsidP="00641F51">
      <w:pPr>
        <w:pStyle w:val="Odstavecseseznamem"/>
        <w:numPr>
          <w:ilvl w:val="0"/>
          <w:numId w:val="12"/>
        </w:numPr>
        <w:jc w:val="both"/>
        <w:rPr>
          <w:color w:val="000000"/>
        </w:rPr>
      </w:pPr>
      <w:r w:rsidRPr="00D24EAE">
        <w:rPr>
          <w:color w:val="000000"/>
        </w:rPr>
        <w:t xml:space="preserve">je proti </w:t>
      </w:r>
      <w:r w:rsidR="00423E5B">
        <w:rPr>
          <w:color w:val="000000"/>
        </w:rPr>
        <w:t>zhotoviteli</w:t>
      </w:r>
      <w:r w:rsidRPr="00D24EAE">
        <w:rPr>
          <w:color w:val="000000"/>
        </w:rPr>
        <w:t xml:space="preserve"> vedeno insolvenční řízení; </w:t>
      </w:r>
    </w:p>
    <w:p w14:paraId="5956427C" w14:textId="323A848F" w:rsidR="009C0871" w:rsidRPr="00D24EAE" w:rsidRDefault="00423E5B" w:rsidP="00641F51">
      <w:pPr>
        <w:pStyle w:val="Odstavecseseznamem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zhot</w:t>
      </w:r>
      <w:r w:rsidR="00A35F16">
        <w:rPr>
          <w:color w:val="000000"/>
        </w:rPr>
        <w:t>o</w:t>
      </w:r>
      <w:r>
        <w:rPr>
          <w:color w:val="000000"/>
        </w:rPr>
        <w:t>vitel</w:t>
      </w:r>
      <w:r w:rsidR="009C0871" w:rsidRPr="00D24EAE">
        <w:rPr>
          <w:color w:val="000000"/>
        </w:rPr>
        <w:t xml:space="preserve"> neposkytuje potřebnou součinnost nutnou k naplnění účelu této Smlouvy nebo se dopustil porušení Informační povinnosti a závadný stav nenapraví ani v dodatečné přiměřené lhůtě stanovené ve výzvě k nápravě Příkazcem;</w:t>
      </w:r>
    </w:p>
    <w:p w14:paraId="5D417CF7" w14:textId="6AEF5CAB" w:rsidR="009C0871" w:rsidRPr="00D24EAE" w:rsidRDefault="00423E5B" w:rsidP="00641F51">
      <w:pPr>
        <w:pStyle w:val="Odstavecseseznamem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zhotovitel</w:t>
      </w:r>
      <w:r w:rsidR="009C0871" w:rsidRPr="00D24EAE">
        <w:rPr>
          <w:color w:val="000000"/>
        </w:rPr>
        <w:t xml:space="preserve"> prokazatelně nepostupuje při plnění závazku z této Smlouvy v souladu s oprávněnými zájmy a pokyny </w:t>
      </w:r>
      <w:r>
        <w:rPr>
          <w:color w:val="000000"/>
        </w:rPr>
        <w:t xml:space="preserve">objednatele </w:t>
      </w:r>
      <w:r w:rsidR="009C0871" w:rsidRPr="00D24EAE">
        <w:rPr>
          <w:color w:val="000000"/>
        </w:rPr>
        <w:t xml:space="preserve">a závadný stav nenapraví ani v dodatečné přiměřené lhůtě stanovené ve výzvě k nápravě </w:t>
      </w:r>
      <w:r>
        <w:rPr>
          <w:color w:val="000000"/>
        </w:rPr>
        <w:t>objednatelem</w:t>
      </w:r>
      <w:r w:rsidR="009C0871" w:rsidRPr="00D24EAE">
        <w:rPr>
          <w:color w:val="000000"/>
        </w:rPr>
        <w:t>;</w:t>
      </w:r>
    </w:p>
    <w:p w14:paraId="3463FB7A" w14:textId="63198D4A" w:rsidR="009C0871" w:rsidRPr="00D24EAE" w:rsidRDefault="00423E5B" w:rsidP="00641F51">
      <w:pPr>
        <w:pStyle w:val="Odstavecseseznamem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zhotovitel</w:t>
      </w:r>
      <w:r w:rsidR="009C0871" w:rsidRPr="00D24EAE">
        <w:rPr>
          <w:color w:val="000000"/>
        </w:rPr>
        <w:t xml:space="preserve"> písemně neupozornil </w:t>
      </w:r>
      <w:r>
        <w:rPr>
          <w:color w:val="000000"/>
        </w:rPr>
        <w:t>objednatele</w:t>
      </w:r>
      <w:r w:rsidR="009C0871" w:rsidRPr="00D24EAE">
        <w:rPr>
          <w:color w:val="000000"/>
        </w:rPr>
        <w:t xml:space="preserve"> na nutnost včasného zaslání příslušné monitorovací zprávy orgánu kontroly oprávněnému dle Rozhodnutí o poskytnutí dotace, a to buď zcela, nebo v jiných </w:t>
      </w:r>
      <w:proofErr w:type="gramStart"/>
      <w:r w:rsidR="009C0871" w:rsidRPr="00D24EAE">
        <w:rPr>
          <w:color w:val="000000"/>
        </w:rPr>
        <w:t>termínech,</w:t>
      </w:r>
      <w:proofErr w:type="gramEnd"/>
      <w:r w:rsidR="009C0871" w:rsidRPr="00D24EAE">
        <w:rPr>
          <w:color w:val="000000"/>
        </w:rPr>
        <w:t xml:space="preserve"> než daných touto Smlouvou. </w:t>
      </w:r>
    </w:p>
    <w:p w14:paraId="4D629660" w14:textId="77777777" w:rsidR="009C0871" w:rsidRPr="009C0871" w:rsidRDefault="009C0871" w:rsidP="00641F51">
      <w:pPr>
        <w:numPr>
          <w:ilvl w:val="0"/>
          <w:numId w:val="7"/>
        </w:numPr>
        <w:jc w:val="both"/>
        <w:rPr>
          <w:color w:val="000000"/>
        </w:rPr>
      </w:pPr>
      <w:r w:rsidRPr="009C0871">
        <w:rPr>
          <w:color w:val="000000"/>
        </w:rPr>
        <w:t>V případě ukončení smlouvy podle odstavců 2 a 3:</w:t>
      </w:r>
    </w:p>
    <w:p w14:paraId="6CEFEE2C" w14:textId="613F2DED" w:rsidR="00D24EAE" w:rsidRDefault="009C0871" w:rsidP="00641F51">
      <w:pPr>
        <w:pStyle w:val="Odstavecseseznamem"/>
        <w:numPr>
          <w:ilvl w:val="0"/>
          <w:numId w:val="13"/>
        </w:numPr>
        <w:jc w:val="both"/>
        <w:rPr>
          <w:color w:val="000000"/>
        </w:rPr>
      </w:pPr>
      <w:r w:rsidRPr="00D24EAE">
        <w:rPr>
          <w:color w:val="000000"/>
        </w:rPr>
        <w:t xml:space="preserve">má </w:t>
      </w:r>
      <w:r w:rsidR="00423E5B">
        <w:rPr>
          <w:color w:val="000000"/>
        </w:rPr>
        <w:t>zhotovitel</w:t>
      </w:r>
      <w:r w:rsidRPr="00D24EAE">
        <w:rPr>
          <w:color w:val="000000"/>
        </w:rPr>
        <w:t xml:space="preserve"> nárok na poměrnou část odměny za činnosti vykonané </w:t>
      </w:r>
      <w:r w:rsidR="00423E5B">
        <w:rPr>
          <w:color w:val="000000"/>
        </w:rPr>
        <w:t>zhotovitelem</w:t>
      </w:r>
      <w:r w:rsidRPr="00D24EAE">
        <w:rPr>
          <w:color w:val="000000"/>
        </w:rPr>
        <w:t xml:space="preserve"> do okamžiku odstoupení od smlouvy. Poměrná část se určí podle prokazatelně provedených činností v rámci odměny stanovené pro jednotlivé </w:t>
      </w:r>
      <w:r w:rsidR="00423E5B">
        <w:rPr>
          <w:color w:val="000000"/>
        </w:rPr>
        <w:t>položky</w:t>
      </w:r>
      <w:r w:rsidRPr="00D24EAE">
        <w:rPr>
          <w:color w:val="000000"/>
        </w:rPr>
        <w:t>, dle čl. V</w:t>
      </w:r>
      <w:r w:rsidR="00423E5B">
        <w:rPr>
          <w:color w:val="000000"/>
        </w:rPr>
        <w:t>I</w:t>
      </w:r>
      <w:r w:rsidRPr="00D24EAE">
        <w:rPr>
          <w:color w:val="000000"/>
        </w:rPr>
        <w:t xml:space="preserve"> bod 1 této smlouvy. </w:t>
      </w:r>
    </w:p>
    <w:p w14:paraId="1094DC7F" w14:textId="55E7D9F6" w:rsidR="009C0871" w:rsidRDefault="009C0871" w:rsidP="00641F51">
      <w:pPr>
        <w:numPr>
          <w:ilvl w:val="0"/>
          <w:numId w:val="7"/>
        </w:numPr>
        <w:jc w:val="both"/>
        <w:rPr>
          <w:color w:val="000000"/>
        </w:rPr>
      </w:pPr>
      <w:r w:rsidRPr="00D24EAE">
        <w:rPr>
          <w:color w:val="000000"/>
        </w:rPr>
        <w:t xml:space="preserve">Pro případ porušení jakékoliv smluvní povinnosti </w:t>
      </w:r>
      <w:r w:rsidR="00423E5B">
        <w:rPr>
          <w:color w:val="000000"/>
        </w:rPr>
        <w:t>zhotovitele</w:t>
      </w:r>
      <w:r w:rsidRPr="00D24EAE">
        <w:rPr>
          <w:color w:val="000000"/>
        </w:rPr>
        <w:t xml:space="preserve">, vzniká tímto </w:t>
      </w:r>
      <w:r w:rsidR="00423E5B">
        <w:rPr>
          <w:color w:val="000000"/>
        </w:rPr>
        <w:t>objednateli</w:t>
      </w:r>
      <w:r w:rsidRPr="00D24EAE">
        <w:rPr>
          <w:color w:val="000000"/>
        </w:rPr>
        <w:t xml:space="preserve"> nárok na zaplacení dohodnuté smluvní pokuty ve výši </w:t>
      </w:r>
      <w:proofErr w:type="gramStart"/>
      <w:r w:rsidRPr="00D24EAE">
        <w:rPr>
          <w:color w:val="000000"/>
        </w:rPr>
        <w:t>1.500,-</w:t>
      </w:r>
      <w:proofErr w:type="gramEnd"/>
      <w:r w:rsidRPr="00D24EAE">
        <w:rPr>
          <w:color w:val="000000"/>
        </w:rPr>
        <w:t xml:space="preserve">Kč bez DPH za každý kalendářní den, kdy toto porušení trvá. Smluvní pokuta je splatná na základě písemné výzvy </w:t>
      </w:r>
      <w:r w:rsidR="00423E5B">
        <w:rPr>
          <w:color w:val="000000"/>
        </w:rPr>
        <w:t>objednatele</w:t>
      </w:r>
      <w:r w:rsidRPr="00D24EAE">
        <w:rPr>
          <w:color w:val="000000"/>
        </w:rPr>
        <w:t>.  Zaplacením dohodnuté smluvní pokuty není dotčen nárok na náhradu škody.</w:t>
      </w:r>
    </w:p>
    <w:p w14:paraId="7CAB2FB2" w14:textId="77777777" w:rsidR="00FC40F4" w:rsidRPr="00D24EAE" w:rsidRDefault="00FC40F4" w:rsidP="00FC40F4">
      <w:pPr>
        <w:ind w:left="360"/>
        <w:jc w:val="both"/>
        <w:rPr>
          <w:color w:val="000000"/>
        </w:rPr>
      </w:pPr>
    </w:p>
    <w:p w14:paraId="39DBB4E0" w14:textId="77777777" w:rsidR="009C0871" w:rsidRPr="009C0871" w:rsidRDefault="009C0871" w:rsidP="00D24EAE">
      <w:pPr>
        <w:ind w:left="360"/>
        <w:jc w:val="both"/>
        <w:rPr>
          <w:color w:val="000000"/>
        </w:rPr>
      </w:pPr>
    </w:p>
    <w:p w14:paraId="3CB6CCD1" w14:textId="77777777" w:rsidR="009C0871" w:rsidRPr="009C0871" w:rsidRDefault="009C0871" w:rsidP="00D24EAE">
      <w:pPr>
        <w:pStyle w:val="Nadpis3"/>
        <w:jc w:val="center"/>
        <w:rPr>
          <w:rFonts w:ascii="Times New Roman" w:hAnsi="Times New Roman" w:cs="Times New Roman"/>
        </w:rPr>
      </w:pPr>
      <w:r w:rsidRPr="009C0871">
        <w:rPr>
          <w:rFonts w:ascii="Times New Roman" w:hAnsi="Times New Roman" w:cs="Times New Roman"/>
        </w:rPr>
        <w:lastRenderedPageBreak/>
        <w:t>VII.</w:t>
      </w:r>
    </w:p>
    <w:p w14:paraId="4BDC46CA" w14:textId="77777777" w:rsidR="009C0871" w:rsidRPr="009C0871" w:rsidRDefault="009C0871" w:rsidP="00D24EAE">
      <w:pPr>
        <w:pStyle w:val="Nadpis3"/>
        <w:jc w:val="center"/>
        <w:rPr>
          <w:rFonts w:ascii="Times New Roman" w:hAnsi="Times New Roman" w:cs="Times New Roman"/>
        </w:rPr>
      </w:pPr>
      <w:r w:rsidRPr="009C0871">
        <w:rPr>
          <w:rFonts w:ascii="Times New Roman" w:hAnsi="Times New Roman" w:cs="Times New Roman"/>
        </w:rPr>
        <w:t>Závěrečná ustanovení</w:t>
      </w:r>
    </w:p>
    <w:p w14:paraId="5C949D8E" w14:textId="77777777" w:rsidR="009C0871" w:rsidRPr="009C0871" w:rsidRDefault="009C0871" w:rsidP="00D24EAE">
      <w:pPr>
        <w:ind w:left="360"/>
        <w:jc w:val="both"/>
        <w:rPr>
          <w:color w:val="000000"/>
        </w:rPr>
      </w:pPr>
    </w:p>
    <w:p w14:paraId="4C6D392F" w14:textId="2E96F681" w:rsidR="009C0871" w:rsidRPr="009C0871" w:rsidRDefault="009C0871" w:rsidP="00423E5B">
      <w:pPr>
        <w:numPr>
          <w:ilvl w:val="0"/>
          <w:numId w:val="14"/>
        </w:numPr>
        <w:jc w:val="both"/>
        <w:rPr>
          <w:color w:val="000000"/>
        </w:rPr>
      </w:pPr>
      <w:r w:rsidRPr="009C0871">
        <w:rPr>
          <w:color w:val="000000"/>
        </w:rPr>
        <w:t>Smluvní strany se vzájemně zavazují písemně si oznamovat veškeré změny svých identifikačních a jiných údajů obsažených v této Smlouvě nebo určených pro plnění nezbytných úkonů, které s ní přímo souvisejí, a to bezodkladně poté, co nastanou. Totéž platí i pro oznamování jiných skutečností významných pro tuto Smlouvu</w:t>
      </w:r>
      <w:r w:rsidR="00423E5B">
        <w:rPr>
          <w:color w:val="000000"/>
        </w:rPr>
        <w:t>.</w:t>
      </w:r>
      <w:r w:rsidRPr="009C0871">
        <w:rPr>
          <w:color w:val="000000"/>
        </w:rPr>
        <w:t xml:space="preserve"> </w:t>
      </w:r>
    </w:p>
    <w:p w14:paraId="145FD1EB" w14:textId="77777777" w:rsidR="009C0871" w:rsidRPr="009C0871" w:rsidRDefault="009C0871" w:rsidP="00423E5B">
      <w:pPr>
        <w:numPr>
          <w:ilvl w:val="0"/>
          <w:numId w:val="14"/>
        </w:numPr>
        <w:jc w:val="both"/>
        <w:rPr>
          <w:color w:val="000000"/>
        </w:rPr>
      </w:pPr>
      <w:r w:rsidRPr="009C0871">
        <w:rPr>
          <w:color w:val="000000"/>
        </w:rPr>
        <w:t xml:space="preserve">Všechna vzájemná oznámení mezi Smluvními stranami se budou zasílat písemně na adresy uvedené v záhlaví této Smlouvy nebo prostřednictvím datové schránky. </w:t>
      </w:r>
    </w:p>
    <w:p w14:paraId="6B60682E" w14:textId="77777777" w:rsidR="009C0871" w:rsidRPr="009C0871" w:rsidRDefault="009C0871" w:rsidP="00423E5B">
      <w:pPr>
        <w:numPr>
          <w:ilvl w:val="0"/>
          <w:numId w:val="14"/>
        </w:numPr>
        <w:jc w:val="both"/>
        <w:rPr>
          <w:color w:val="000000"/>
        </w:rPr>
      </w:pPr>
      <w:r w:rsidRPr="009C0871">
        <w:rPr>
          <w:color w:val="000000"/>
        </w:rPr>
        <w:t>Práva a povinnosti z této Smlouvy nelze platně a účinně postoupit na třetí osobu bez předchozího písemného souhlasu druhé Smluvní strany.</w:t>
      </w:r>
    </w:p>
    <w:p w14:paraId="3D4F01FB" w14:textId="76D14C72" w:rsidR="009C0871" w:rsidRPr="009C0871" w:rsidRDefault="00423E5B" w:rsidP="00423E5B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Zhot</w:t>
      </w:r>
      <w:r w:rsidR="00FC40F4">
        <w:rPr>
          <w:color w:val="000000"/>
        </w:rPr>
        <w:t>o</w:t>
      </w:r>
      <w:r>
        <w:rPr>
          <w:color w:val="000000"/>
        </w:rPr>
        <w:t>vitel</w:t>
      </w:r>
      <w:r w:rsidR="009C0871" w:rsidRPr="009C0871">
        <w:rPr>
          <w:color w:val="000000"/>
        </w:rPr>
        <w:t xml:space="preserve"> prohlašuje, že disponuje pojištěním odpovědnosti za škody z titulu své činnosti. </w:t>
      </w:r>
    </w:p>
    <w:p w14:paraId="30A39269" w14:textId="77777777" w:rsidR="009C0871" w:rsidRPr="009C0871" w:rsidRDefault="009C0871" w:rsidP="00423E5B">
      <w:pPr>
        <w:numPr>
          <w:ilvl w:val="0"/>
          <w:numId w:val="14"/>
        </w:numPr>
        <w:jc w:val="both"/>
        <w:rPr>
          <w:color w:val="000000"/>
        </w:rPr>
      </w:pPr>
      <w:r w:rsidRPr="009C0871">
        <w:rPr>
          <w:color w:val="000000"/>
        </w:rPr>
        <w:t xml:space="preserve">Smluvní strany se dohodly, že na jejich vztah upravený touto smlouvou se neužijí § 1921 a § 2050 občanského zákoníku. </w:t>
      </w:r>
    </w:p>
    <w:p w14:paraId="14C1EE86" w14:textId="14A58080" w:rsidR="009C0871" w:rsidRPr="009C0871" w:rsidRDefault="009C0871" w:rsidP="00423E5B">
      <w:pPr>
        <w:numPr>
          <w:ilvl w:val="0"/>
          <w:numId w:val="14"/>
        </w:numPr>
        <w:jc w:val="both"/>
        <w:rPr>
          <w:color w:val="000000"/>
        </w:rPr>
      </w:pPr>
      <w:r w:rsidRPr="009C0871">
        <w:rPr>
          <w:color w:val="000000"/>
        </w:rPr>
        <w:t xml:space="preserve">Smlouva nabývá platnosti dnem podpisu druhou smluvní stranou a účinnosti dnem uveřejněním v registru smluv Digitální a informační agentury (DIA). Smluvní strany se dohodly, že smlouvu uveřejní </w:t>
      </w:r>
      <w:r w:rsidR="00FC40F4">
        <w:rPr>
          <w:color w:val="000000"/>
        </w:rPr>
        <w:t>objednatel</w:t>
      </w:r>
      <w:r w:rsidRPr="009C0871">
        <w:rPr>
          <w:color w:val="000000"/>
        </w:rPr>
        <w:t>.</w:t>
      </w:r>
    </w:p>
    <w:p w14:paraId="4776E925" w14:textId="77777777" w:rsidR="00747501" w:rsidRDefault="00747501" w:rsidP="00423E5B">
      <w:pPr>
        <w:numPr>
          <w:ilvl w:val="0"/>
          <w:numId w:val="14"/>
        </w:numPr>
        <w:jc w:val="both"/>
      </w:pPr>
      <w:r>
        <w:rPr>
          <w:color w:val="000000"/>
        </w:rPr>
        <w:t>Vztahy neupravené touto smlouvou se řídí příslušnými ustanoveními ob</w:t>
      </w:r>
      <w:r w:rsidR="00B921FA">
        <w:rPr>
          <w:color w:val="000000"/>
        </w:rPr>
        <w:t>čanského</w:t>
      </w:r>
      <w:r>
        <w:rPr>
          <w:color w:val="000000"/>
        </w:rPr>
        <w:t xml:space="preserve"> zákoníku v platném znění. </w:t>
      </w:r>
    </w:p>
    <w:p w14:paraId="6A9BED03" w14:textId="77777777" w:rsidR="00747501" w:rsidRDefault="00747501" w:rsidP="00423E5B">
      <w:pPr>
        <w:numPr>
          <w:ilvl w:val="0"/>
          <w:numId w:val="14"/>
        </w:numPr>
        <w:jc w:val="both"/>
      </w:pPr>
      <w:r>
        <w:rPr>
          <w:color w:val="000000"/>
        </w:rPr>
        <w:t xml:space="preserve">Tato smlouva se vyhotovuje ve dvou stejnopisech, z nichž každá ze smluvních stran obdrží po jednom.  </w:t>
      </w:r>
    </w:p>
    <w:p w14:paraId="1395695E" w14:textId="77777777" w:rsidR="00747501" w:rsidRDefault="00747501" w:rsidP="00423E5B">
      <w:pPr>
        <w:pStyle w:val="Normodsaz"/>
        <w:numPr>
          <w:ilvl w:val="0"/>
          <w:numId w:val="14"/>
        </w:numPr>
        <w:rPr>
          <w:szCs w:val="24"/>
        </w:rPr>
      </w:pPr>
      <w:r>
        <w:rPr>
          <w:szCs w:val="24"/>
        </w:rPr>
        <w:t>Veškeré změny této smlouvy je možné provést pouze písemnou formou, se souhlasem obou smluvních stran.</w:t>
      </w:r>
    </w:p>
    <w:p w14:paraId="7795133D" w14:textId="77777777" w:rsidR="00747501" w:rsidRDefault="00747501" w:rsidP="00423E5B">
      <w:pPr>
        <w:pStyle w:val="Normodsaz"/>
        <w:numPr>
          <w:ilvl w:val="0"/>
          <w:numId w:val="14"/>
        </w:numPr>
        <w:rPr>
          <w:szCs w:val="24"/>
        </w:rPr>
      </w:pPr>
      <w:r>
        <w:rPr>
          <w:szCs w:val="24"/>
        </w:rPr>
        <w:t>Smluvní strany prohlašují, že ujednání v této smlouvě obsažené jsou jim jasná a srozumitelná, jsou jimi míněna vážně a byla učiněna na základě jejich pravé a svobodné vůle. Na důkaz tohoto tvrzení smluvní strany připojují níže své podpisy.</w:t>
      </w:r>
    </w:p>
    <w:p w14:paraId="57A2ADCB" w14:textId="77777777" w:rsidR="00747501" w:rsidRPr="00A713B8" w:rsidRDefault="00747501" w:rsidP="00423E5B">
      <w:pPr>
        <w:numPr>
          <w:ilvl w:val="0"/>
          <w:numId w:val="14"/>
        </w:numPr>
      </w:pPr>
      <w:r>
        <w:rPr>
          <w:color w:val="000000"/>
        </w:rPr>
        <w:t xml:space="preserve">Tato smlouva nabývá platnosti a účinnosti dnem podpisu oběma smluvními stranami. </w:t>
      </w:r>
    </w:p>
    <w:p w14:paraId="3BE5AB97" w14:textId="77777777" w:rsidR="00DC4C3C" w:rsidRDefault="00DC4C3C">
      <w:pPr>
        <w:jc w:val="both"/>
        <w:rPr>
          <w:rFonts w:eastAsia="Batang"/>
          <w:color w:val="000000"/>
        </w:rPr>
      </w:pPr>
    </w:p>
    <w:p w14:paraId="5167D17B" w14:textId="77777777" w:rsidR="00457A63" w:rsidRDefault="00457A63" w:rsidP="005F4C7E">
      <w:pPr>
        <w:jc w:val="both"/>
        <w:rPr>
          <w:rFonts w:eastAsia="Batang"/>
          <w:color w:val="000000"/>
        </w:rPr>
      </w:pPr>
    </w:p>
    <w:p w14:paraId="1A6B36EE" w14:textId="77777777" w:rsidR="00457A63" w:rsidRDefault="00457A63" w:rsidP="005F4C7E">
      <w:pPr>
        <w:jc w:val="both"/>
        <w:rPr>
          <w:rFonts w:eastAsia="Batang"/>
          <w:color w:val="000000"/>
        </w:rPr>
      </w:pPr>
    </w:p>
    <w:p w14:paraId="2485DDAE" w14:textId="3075EF37" w:rsidR="00747501" w:rsidRDefault="00747501" w:rsidP="005F4C7E">
      <w:pPr>
        <w:jc w:val="both"/>
        <w:rPr>
          <w:b/>
          <w:bCs/>
          <w:color w:val="000000"/>
        </w:rPr>
      </w:pPr>
      <w:r w:rsidRPr="001116DE">
        <w:rPr>
          <w:rFonts w:eastAsia="Batang"/>
          <w:color w:val="000000"/>
        </w:rPr>
        <w:t>V</w:t>
      </w:r>
      <w:r w:rsidR="00754DA1">
        <w:rPr>
          <w:rFonts w:eastAsia="Batang"/>
          <w:color w:val="000000"/>
        </w:rPr>
        <w:t> </w:t>
      </w:r>
      <w:r w:rsidR="00752C4A">
        <w:rPr>
          <w:rFonts w:eastAsia="Batang"/>
          <w:color w:val="000000"/>
        </w:rPr>
        <w:t>Tišnově</w:t>
      </w:r>
      <w:r w:rsidR="00754DA1">
        <w:rPr>
          <w:rFonts w:eastAsia="Batang"/>
          <w:color w:val="000000"/>
        </w:rPr>
        <w:t xml:space="preserve"> </w:t>
      </w:r>
      <w:r w:rsidR="00624772">
        <w:rPr>
          <w:rFonts w:eastAsia="Batang"/>
          <w:color w:val="000000"/>
        </w:rPr>
        <w:t>dne</w:t>
      </w:r>
      <w:r w:rsidR="004A43C1">
        <w:rPr>
          <w:rFonts w:eastAsia="Batang"/>
          <w:color w:val="000000"/>
        </w:rPr>
        <w:tab/>
      </w:r>
      <w:r w:rsidR="004A43C1">
        <w:rPr>
          <w:rFonts w:eastAsia="Batang"/>
          <w:color w:val="000000"/>
        </w:rPr>
        <w:tab/>
      </w:r>
      <w:r w:rsidR="004A43C1">
        <w:rPr>
          <w:rFonts w:eastAsia="Batang"/>
          <w:color w:val="000000"/>
        </w:rPr>
        <w:tab/>
      </w:r>
      <w:r w:rsidR="00E1552E">
        <w:rPr>
          <w:rFonts w:eastAsia="Batang"/>
          <w:color w:val="000000"/>
        </w:rPr>
        <w:tab/>
      </w:r>
      <w:r w:rsidR="00754DA1">
        <w:rPr>
          <w:rFonts w:eastAsia="Batang"/>
          <w:color w:val="000000"/>
        </w:rPr>
        <w:tab/>
      </w:r>
      <w:r w:rsidR="00457A63">
        <w:rPr>
          <w:rFonts w:eastAsia="Batang"/>
          <w:color w:val="000000"/>
        </w:rPr>
        <w:tab/>
      </w:r>
      <w:r w:rsidR="00462695">
        <w:rPr>
          <w:rFonts w:eastAsia="Batang"/>
          <w:color w:val="000000"/>
        </w:rPr>
        <w:tab/>
      </w:r>
      <w:r w:rsidR="00624772">
        <w:rPr>
          <w:rFonts w:eastAsia="Batang"/>
          <w:color w:val="000000"/>
        </w:rPr>
        <w:t xml:space="preserve">Ve Zlíně dne  </w:t>
      </w:r>
    </w:p>
    <w:p w14:paraId="3E962438" w14:textId="77777777" w:rsidR="007F20C3" w:rsidRDefault="007F20C3" w:rsidP="00B80B04">
      <w:pPr>
        <w:jc w:val="both"/>
        <w:rPr>
          <w:b/>
          <w:bCs/>
          <w:color w:val="000000"/>
        </w:rPr>
      </w:pPr>
    </w:p>
    <w:p w14:paraId="20F8412D" w14:textId="77777777" w:rsidR="00747501" w:rsidRDefault="00747501">
      <w:pPr>
        <w:ind w:left="5664" w:hanging="565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za objednatele </w:t>
      </w:r>
      <w:r>
        <w:rPr>
          <w:b/>
          <w:bCs/>
          <w:color w:val="000000"/>
        </w:rPr>
        <w:tab/>
        <w:t>za zhotovitele</w:t>
      </w:r>
      <w:r>
        <w:rPr>
          <w:color w:val="000000"/>
        </w:rPr>
        <w:tab/>
      </w:r>
    </w:p>
    <w:p w14:paraId="6EE9241A" w14:textId="77777777" w:rsidR="00747501" w:rsidRDefault="00747501">
      <w:pPr>
        <w:ind w:left="5664" w:hanging="5658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11AE19A" w14:textId="66A71C26" w:rsidR="00747501" w:rsidRDefault="0074750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D4004A8" w14:textId="1BFF952C" w:rsidR="004A43C1" w:rsidRDefault="004A43C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5D5FD8D" w14:textId="1E270934" w:rsidR="00DC4C3C" w:rsidRDefault="00DC4C3C" w:rsidP="00754DA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A98C0F8" w14:textId="312FC2F6" w:rsidR="00457A63" w:rsidRDefault="00457A63" w:rsidP="00754DA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0571B2E" w14:textId="1ECA961A" w:rsidR="00457A63" w:rsidRDefault="00380CD6" w:rsidP="00380CD6">
      <w:pPr>
        <w:ind w:firstLine="708"/>
        <w:jc w:val="both"/>
        <w:rPr>
          <w:rFonts w:ascii="Arial" w:hAnsi="Arial" w:cs="Arial"/>
          <w:b/>
          <w:bCs/>
          <w:color w:val="000000"/>
          <w:sz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</w:rPr>
        <w:t>xxxxxxxxxxxx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xxxxxxxxxxxxx</w:t>
      </w:r>
      <w:proofErr w:type="spellEnd"/>
    </w:p>
    <w:p w14:paraId="244BB4A2" w14:textId="77777777" w:rsidR="00457A63" w:rsidRDefault="00457A63" w:rsidP="00754DA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8E7170C" w14:textId="1B0695A2" w:rsidR="00747501" w:rsidRPr="00EF354F" w:rsidRDefault="004A43C1" w:rsidP="00EF354F">
      <w:pPr>
        <w:ind w:left="5664" w:hanging="5658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……………………………………………</w:t>
      </w:r>
      <w:r w:rsidR="00747501">
        <w:rPr>
          <w:rFonts w:ascii="Arial" w:hAnsi="Arial" w:cs="Arial"/>
          <w:b/>
          <w:bCs/>
          <w:color w:val="000000"/>
          <w:sz w:val="20"/>
        </w:rPr>
        <w:tab/>
        <w:t>……………………………………………</w:t>
      </w:r>
    </w:p>
    <w:sectPr w:rsidR="00747501" w:rsidRPr="00EF354F" w:rsidSect="009C087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8A3C" w14:textId="77777777" w:rsidR="005F3229" w:rsidRDefault="005F3229">
      <w:r>
        <w:separator/>
      </w:r>
    </w:p>
  </w:endnote>
  <w:endnote w:type="continuationSeparator" w:id="0">
    <w:p w14:paraId="7818537F" w14:textId="77777777" w:rsidR="005F3229" w:rsidRDefault="005F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144E" w14:textId="77777777" w:rsidR="009C5823" w:rsidRDefault="009C58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99C8C8" w14:textId="77777777" w:rsidR="009C5823" w:rsidRDefault="009C58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DF14" w14:textId="77777777" w:rsidR="009C5823" w:rsidRDefault="009C58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6A65">
      <w:rPr>
        <w:rStyle w:val="slostrnky"/>
        <w:noProof/>
      </w:rPr>
      <w:t>5</w:t>
    </w:r>
    <w:r>
      <w:rPr>
        <w:rStyle w:val="slostrnky"/>
      </w:rPr>
      <w:fldChar w:fldCharType="end"/>
    </w:r>
  </w:p>
  <w:p w14:paraId="11E1DBE2" w14:textId="77777777" w:rsidR="009C5823" w:rsidRDefault="009C58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F609" w14:textId="77777777" w:rsidR="005F3229" w:rsidRDefault="005F3229">
      <w:r>
        <w:separator/>
      </w:r>
    </w:p>
  </w:footnote>
  <w:footnote w:type="continuationSeparator" w:id="0">
    <w:p w14:paraId="1C77DF76" w14:textId="77777777" w:rsidR="005F3229" w:rsidRDefault="005F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4569" w14:textId="0B940740" w:rsidR="00625AF2" w:rsidRPr="00625AF2" w:rsidRDefault="00625AF2" w:rsidP="00380CD6">
    <w:pPr>
      <w:pStyle w:val="Zhlav"/>
      <w:spacing w:line="360" w:lineRule="auto"/>
      <w:rPr>
        <w:color w:val="FF0000"/>
        <w:sz w:val="20"/>
        <w:szCs w:val="20"/>
      </w:rPr>
    </w:pPr>
    <w:r w:rsidRPr="00625AF2">
      <w:rPr>
        <w:sz w:val="20"/>
        <w:szCs w:val="20"/>
      </w:rPr>
      <w:t xml:space="preserve">Číslo smlouvy </w:t>
    </w:r>
    <w:proofErr w:type="gramStart"/>
    <w:r>
      <w:rPr>
        <w:sz w:val="20"/>
        <w:szCs w:val="20"/>
      </w:rPr>
      <w:t>objednatele</w:t>
    </w:r>
    <w:r w:rsidRPr="00625AF2">
      <w:rPr>
        <w:sz w:val="20"/>
        <w:szCs w:val="20"/>
      </w:rPr>
      <w:t xml:space="preserve">: </w:t>
    </w:r>
    <w:r w:rsidR="00380CD6" w:rsidRPr="00380CD6">
      <w:rPr>
        <w:color w:val="FF0000"/>
        <w:sz w:val="20"/>
        <w:szCs w:val="20"/>
      </w:rPr>
      <w:t xml:space="preserve"> </w:t>
    </w:r>
    <w:r w:rsidR="00380CD6" w:rsidRPr="00380CD6">
      <w:rPr>
        <w:sz w:val="20"/>
        <w:szCs w:val="20"/>
      </w:rPr>
      <w:t>OIPP</w:t>
    </w:r>
    <w:proofErr w:type="gramEnd"/>
    <w:r w:rsidR="00380CD6" w:rsidRPr="00380CD6">
      <w:rPr>
        <w:sz w:val="20"/>
        <w:szCs w:val="20"/>
      </w:rPr>
      <w:t>/0032/25/SML</w:t>
    </w:r>
    <w:r w:rsidRPr="00625AF2">
      <w:rPr>
        <w:sz w:val="20"/>
        <w:szCs w:val="20"/>
      </w:rPr>
      <w:tab/>
    </w:r>
  </w:p>
  <w:p w14:paraId="3E4C8E8F" w14:textId="77777777" w:rsidR="00625AF2" w:rsidRPr="00625AF2" w:rsidRDefault="00625AF2" w:rsidP="00625AF2">
    <w:pPr>
      <w:pStyle w:val="Zhlav"/>
      <w:rPr>
        <w:sz w:val="20"/>
        <w:szCs w:val="20"/>
      </w:rPr>
    </w:pPr>
    <w:r w:rsidRPr="00625AF2">
      <w:rPr>
        <w:sz w:val="20"/>
        <w:szCs w:val="20"/>
      </w:rPr>
      <w:t xml:space="preserve">Číslo smlouvy </w:t>
    </w:r>
    <w:r>
      <w:rPr>
        <w:sz w:val="20"/>
        <w:szCs w:val="20"/>
      </w:rPr>
      <w:t>zhotovitele</w:t>
    </w:r>
    <w:r w:rsidRPr="00625AF2">
      <w:rPr>
        <w:sz w:val="20"/>
        <w:szCs w:val="20"/>
      </w:rPr>
      <w:t>:</w:t>
    </w:r>
  </w:p>
  <w:p w14:paraId="3E0429FE" w14:textId="77777777" w:rsidR="00625AF2" w:rsidRDefault="00625A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2B3"/>
    <w:multiLevelType w:val="hybridMultilevel"/>
    <w:tmpl w:val="92682A78"/>
    <w:lvl w:ilvl="0" w:tplc="2FFAE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12A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87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67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AB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AC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60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29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CC7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33B99"/>
    <w:multiLevelType w:val="hybridMultilevel"/>
    <w:tmpl w:val="254C1E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93D8E"/>
    <w:multiLevelType w:val="hybridMultilevel"/>
    <w:tmpl w:val="80D02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F29D5"/>
    <w:multiLevelType w:val="hybridMultilevel"/>
    <w:tmpl w:val="3564C29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C2DD8"/>
    <w:multiLevelType w:val="hybridMultilevel"/>
    <w:tmpl w:val="92682A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A537B2"/>
    <w:multiLevelType w:val="hybridMultilevel"/>
    <w:tmpl w:val="F11447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E53"/>
    <w:multiLevelType w:val="hybridMultilevel"/>
    <w:tmpl w:val="D0F011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5A6E29"/>
    <w:multiLevelType w:val="hybridMultilevel"/>
    <w:tmpl w:val="B084372C"/>
    <w:lvl w:ilvl="0" w:tplc="890A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0312D2"/>
    <w:multiLevelType w:val="hybridMultilevel"/>
    <w:tmpl w:val="10585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F47B61"/>
    <w:multiLevelType w:val="hybridMultilevel"/>
    <w:tmpl w:val="3564C29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C56C5"/>
    <w:multiLevelType w:val="hybridMultilevel"/>
    <w:tmpl w:val="3564C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E77B04"/>
    <w:multiLevelType w:val="hybridMultilevel"/>
    <w:tmpl w:val="C9125C32"/>
    <w:lvl w:ilvl="0" w:tplc="882C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7062C3"/>
    <w:multiLevelType w:val="hybridMultilevel"/>
    <w:tmpl w:val="DFAED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0409BF"/>
    <w:multiLevelType w:val="hybridMultilevel"/>
    <w:tmpl w:val="DAD6E4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9764">
    <w:abstractNumId w:val="13"/>
  </w:num>
  <w:num w:numId="2" w16cid:durableId="1047951577">
    <w:abstractNumId w:val="8"/>
  </w:num>
  <w:num w:numId="3" w16cid:durableId="1556814653">
    <w:abstractNumId w:val="6"/>
  </w:num>
  <w:num w:numId="4" w16cid:durableId="1307591248">
    <w:abstractNumId w:val="12"/>
  </w:num>
  <w:num w:numId="5" w16cid:durableId="1652904774">
    <w:abstractNumId w:val="11"/>
  </w:num>
  <w:num w:numId="6" w16cid:durableId="1241520092">
    <w:abstractNumId w:val="7"/>
  </w:num>
  <w:num w:numId="7" w16cid:durableId="2025545170">
    <w:abstractNumId w:val="0"/>
  </w:num>
  <w:num w:numId="8" w16cid:durableId="2136410966">
    <w:abstractNumId w:val="2"/>
  </w:num>
  <w:num w:numId="9" w16cid:durableId="781848596">
    <w:abstractNumId w:val="1"/>
  </w:num>
  <w:num w:numId="10" w16cid:durableId="2044136173">
    <w:abstractNumId w:val="10"/>
  </w:num>
  <w:num w:numId="11" w16cid:durableId="2125225558">
    <w:abstractNumId w:val="3"/>
  </w:num>
  <w:num w:numId="12" w16cid:durableId="227346638">
    <w:abstractNumId w:val="9"/>
  </w:num>
  <w:num w:numId="13" w16cid:durableId="338197297">
    <w:abstractNumId w:val="5"/>
  </w:num>
  <w:num w:numId="14" w16cid:durableId="21134334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DE"/>
    <w:rsid w:val="00000578"/>
    <w:rsid w:val="00000B9C"/>
    <w:rsid w:val="00017B95"/>
    <w:rsid w:val="00033678"/>
    <w:rsid w:val="00050303"/>
    <w:rsid w:val="00056667"/>
    <w:rsid w:val="00070347"/>
    <w:rsid w:val="00074FE7"/>
    <w:rsid w:val="000819C1"/>
    <w:rsid w:val="000851A4"/>
    <w:rsid w:val="000971E3"/>
    <w:rsid w:val="000B2C16"/>
    <w:rsid w:val="000B7EC0"/>
    <w:rsid w:val="000C3DC3"/>
    <w:rsid w:val="000C5178"/>
    <w:rsid w:val="000E25E0"/>
    <w:rsid w:val="000E5D3B"/>
    <w:rsid w:val="000F0A79"/>
    <w:rsid w:val="00106637"/>
    <w:rsid w:val="001116DE"/>
    <w:rsid w:val="00112575"/>
    <w:rsid w:val="00122446"/>
    <w:rsid w:val="001312D2"/>
    <w:rsid w:val="00142094"/>
    <w:rsid w:val="00157F32"/>
    <w:rsid w:val="00175098"/>
    <w:rsid w:val="00193CB8"/>
    <w:rsid w:val="001C5155"/>
    <w:rsid w:val="001D06BD"/>
    <w:rsid w:val="001E5AEB"/>
    <w:rsid w:val="001F44A3"/>
    <w:rsid w:val="002264EC"/>
    <w:rsid w:val="00233C1C"/>
    <w:rsid w:val="00235B55"/>
    <w:rsid w:val="002809EB"/>
    <w:rsid w:val="00282E19"/>
    <w:rsid w:val="00291FC7"/>
    <w:rsid w:val="002A2EC5"/>
    <w:rsid w:val="002A49F3"/>
    <w:rsid w:val="002B13AF"/>
    <w:rsid w:val="002C009A"/>
    <w:rsid w:val="002E16A5"/>
    <w:rsid w:val="002E2633"/>
    <w:rsid w:val="002E645A"/>
    <w:rsid w:val="002F0773"/>
    <w:rsid w:val="00334207"/>
    <w:rsid w:val="003524D4"/>
    <w:rsid w:val="00365939"/>
    <w:rsid w:val="00365BCD"/>
    <w:rsid w:val="00371253"/>
    <w:rsid w:val="00371C1C"/>
    <w:rsid w:val="00373D9F"/>
    <w:rsid w:val="00380CD6"/>
    <w:rsid w:val="00391796"/>
    <w:rsid w:val="003965DC"/>
    <w:rsid w:val="003B2BAF"/>
    <w:rsid w:val="003E613E"/>
    <w:rsid w:val="003F6149"/>
    <w:rsid w:val="00401683"/>
    <w:rsid w:val="004112D4"/>
    <w:rsid w:val="004225FB"/>
    <w:rsid w:val="00423E5B"/>
    <w:rsid w:val="00440E01"/>
    <w:rsid w:val="00441941"/>
    <w:rsid w:val="00457A63"/>
    <w:rsid w:val="00457DD7"/>
    <w:rsid w:val="00461BAB"/>
    <w:rsid w:val="00462695"/>
    <w:rsid w:val="0047486F"/>
    <w:rsid w:val="00484F49"/>
    <w:rsid w:val="004867CC"/>
    <w:rsid w:val="00493BB8"/>
    <w:rsid w:val="00496904"/>
    <w:rsid w:val="004A43C1"/>
    <w:rsid w:val="004A66FD"/>
    <w:rsid w:val="004C2BF4"/>
    <w:rsid w:val="004C4937"/>
    <w:rsid w:val="004F38CC"/>
    <w:rsid w:val="004F4792"/>
    <w:rsid w:val="005011E8"/>
    <w:rsid w:val="00502621"/>
    <w:rsid w:val="005102DF"/>
    <w:rsid w:val="00522D93"/>
    <w:rsid w:val="00523588"/>
    <w:rsid w:val="00532082"/>
    <w:rsid w:val="00533B0F"/>
    <w:rsid w:val="00545A29"/>
    <w:rsid w:val="00546791"/>
    <w:rsid w:val="00571AAA"/>
    <w:rsid w:val="00571DE1"/>
    <w:rsid w:val="00573D16"/>
    <w:rsid w:val="00577737"/>
    <w:rsid w:val="00583808"/>
    <w:rsid w:val="00591F84"/>
    <w:rsid w:val="005A300D"/>
    <w:rsid w:val="005C73D8"/>
    <w:rsid w:val="005D320D"/>
    <w:rsid w:val="005D71DA"/>
    <w:rsid w:val="005F0DAB"/>
    <w:rsid w:val="005F3229"/>
    <w:rsid w:val="005F4C7E"/>
    <w:rsid w:val="006065AC"/>
    <w:rsid w:val="00624772"/>
    <w:rsid w:val="0062532D"/>
    <w:rsid w:val="00625AF2"/>
    <w:rsid w:val="00641F51"/>
    <w:rsid w:val="00645E31"/>
    <w:rsid w:val="00672245"/>
    <w:rsid w:val="00675FE2"/>
    <w:rsid w:val="0068007F"/>
    <w:rsid w:val="006824BB"/>
    <w:rsid w:val="00682794"/>
    <w:rsid w:val="006A363B"/>
    <w:rsid w:val="006A5F2A"/>
    <w:rsid w:val="006E3CD1"/>
    <w:rsid w:val="006E6318"/>
    <w:rsid w:val="006F3612"/>
    <w:rsid w:val="006F5A75"/>
    <w:rsid w:val="006F6E23"/>
    <w:rsid w:val="0070009F"/>
    <w:rsid w:val="00706F7B"/>
    <w:rsid w:val="007213F8"/>
    <w:rsid w:val="00725119"/>
    <w:rsid w:val="00735852"/>
    <w:rsid w:val="007441EA"/>
    <w:rsid w:val="0074439E"/>
    <w:rsid w:val="00747501"/>
    <w:rsid w:val="00752C4A"/>
    <w:rsid w:val="00754DA1"/>
    <w:rsid w:val="0077671A"/>
    <w:rsid w:val="00780FA1"/>
    <w:rsid w:val="007A05D7"/>
    <w:rsid w:val="007B4A7C"/>
    <w:rsid w:val="007C5657"/>
    <w:rsid w:val="007D3DEF"/>
    <w:rsid w:val="007E14A5"/>
    <w:rsid w:val="007E1BA6"/>
    <w:rsid w:val="007E3C69"/>
    <w:rsid w:val="007F20C3"/>
    <w:rsid w:val="007F4BE6"/>
    <w:rsid w:val="007F6A65"/>
    <w:rsid w:val="00812A83"/>
    <w:rsid w:val="0083457D"/>
    <w:rsid w:val="008460CF"/>
    <w:rsid w:val="00852A31"/>
    <w:rsid w:val="00857A81"/>
    <w:rsid w:val="008961A4"/>
    <w:rsid w:val="008B09BB"/>
    <w:rsid w:val="008D484B"/>
    <w:rsid w:val="008F0AEB"/>
    <w:rsid w:val="008F3D11"/>
    <w:rsid w:val="00937594"/>
    <w:rsid w:val="00961668"/>
    <w:rsid w:val="0096591C"/>
    <w:rsid w:val="009701E6"/>
    <w:rsid w:val="009A48DE"/>
    <w:rsid w:val="009A688F"/>
    <w:rsid w:val="009C0871"/>
    <w:rsid w:val="009C5823"/>
    <w:rsid w:val="009C6225"/>
    <w:rsid w:val="00A0263C"/>
    <w:rsid w:val="00A06150"/>
    <w:rsid w:val="00A2366A"/>
    <w:rsid w:val="00A35F16"/>
    <w:rsid w:val="00A53480"/>
    <w:rsid w:val="00A5583A"/>
    <w:rsid w:val="00A713B8"/>
    <w:rsid w:val="00A94056"/>
    <w:rsid w:val="00A94EC0"/>
    <w:rsid w:val="00A9760F"/>
    <w:rsid w:val="00AA2E84"/>
    <w:rsid w:val="00AC1B31"/>
    <w:rsid w:val="00AC2CB9"/>
    <w:rsid w:val="00AD220C"/>
    <w:rsid w:val="00B001D7"/>
    <w:rsid w:val="00B211EB"/>
    <w:rsid w:val="00B21D18"/>
    <w:rsid w:val="00B34301"/>
    <w:rsid w:val="00B67CAA"/>
    <w:rsid w:val="00B80B04"/>
    <w:rsid w:val="00B83CBD"/>
    <w:rsid w:val="00B921FA"/>
    <w:rsid w:val="00BC1927"/>
    <w:rsid w:val="00BC7053"/>
    <w:rsid w:val="00BD5CDB"/>
    <w:rsid w:val="00BD6C92"/>
    <w:rsid w:val="00C03238"/>
    <w:rsid w:val="00C2068E"/>
    <w:rsid w:val="00C21421"/>
    <w:rsid w:val="00C41F50"/>
    <w:rsid w:val="00C57CBA"/>
    <w:rsid w:val="00C676AB"/>
    <w:rsid w:val="00C84904"/>
    <w:rsid w:val="00CA04CB"/>
    <w:rsid w:val="00CA57F3"/>
    <w:rsid w:val="00CB2F44"/>
    <w:rsid w:val="00CB69F3"/>
    <w:rsid w:val="00CC43A4"/>
    <w:rsid w:val="00CD3F33"/>
    <w:rsid w:val="00CD4E56"/>
    <w:rsid w:val="00CD5C6D"/>
    <w:rsid w:val="00CE3943"/>
    <w:rsid w:val="00CE5A29"/>
    <w:rsid w:val="00CF4798"/>
    <w:rsid w:val="00CF60BE"/>
    <w:rsid w:val="00CF70C5"/>
    <w:rsid w:val="00D13DD2"/>
    <w:rsid w:val="00D1734B"/>
    <w:rsid w:val="00D20AC9"/>
    <w:rsid w:val="00D24EAE"/>
    <w:rsid w:val="00D255D8"/>
    <w:rsid w:val="00D27DB8"/>
    <w:rsid w:val="00D33AB7"/>
    <w:rsid w:val="00D71422"/>
    <w:rsid w:val="00D76A4F"/>
    <w:rsid w:val="00D80BD7"/>
    <w:rsid w:val="00DA3FA8"/>
    <w:rsid w:val="00DB303A"/>
    <w:rsid w:val="00DC2AA6"/>
    <w:rsid w:val="00DC4C3C"/>
    <w:rsid w:val="00DD762E"/>
    <w:rsid w:val="00DE01A2"/>
    <w:rsid w:val="00DE09C0"/>
    <w:rsid w:val="00DE1357"/>
    <w:rsid w:val="00DE478B"/>
    <w:rsid w:val="00DF3D77"/>
    <w:rsid w:val="00DF5544"/>
    <w:rsid w:val="00E016A1"/>
    <w:rsid w:val="00E1552E"/>
    <w:rsid w:val="00E406C3"/>
    <w:rsid w:val="00E458A4"/>
    <w:rsid w:val="00E72FD3"/>
    <w:rsid w:val="00E81174"/>
    <w:rsid w:val="00E9499F"/>
    <w:rsid w:val="00EA308D"/>
    <w:rsid w:val="00EA3774"/>
    <w:rsid w:val="00EA7E41"/>
    <w:rsid w:val="00EB004C"/>
    <w:rsid w:val="00EC4DBB"/>
    <w:rsid w:val="00EE1F8E"/>
    <w:rsid w:val="00EE6DA4"/>
    <w:rsid w:val="00EF354F"/>
    <w:rsid w:val="00F16A7B"/>
    <w:rsid w:val="00F27D24"/>
    <w:rsid w:val="00F338C5"/>
    <w:rsid w:val="00F51C71"/>
    <w:rsid w:val="00F63F9A"/>
    <w:rsid w:val="00F75BEC"/>
    <w:rsid w:val="00FC40F4"/>
    <w:rsid w:val="00FC4B95"/>
    <w:rsid w:val="00FC59AA"/>
    <w:rsid w:val="00FF3E26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4557A3"/>
  <w15:chartTrackingRefBased/>
  <w15:docId w15:val="{54EF17EE-BF19-45D5-B44A-0064D86C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eastAsia="Batang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color w:val="00000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color w:val="000000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color w:val="000000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eastAsia="Arial Unicode MS" w:hAnsi="Arial" w:cs="Arial"/>
      <w:b/>
      <w:bCs/>
      <w:color w:val="000000"/>
      <w:sz w:val="20"/>
    </w:rPr>
  </w:style>
  <w:style w:type="paragraph" w:styleId="Nadpis7">
    <w:name w:val="heading 7"/>
    <w:basedOn w:val="Normln"/>
    <w:next w:val="Normln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draznn">
    <w:name w:val="Emphasis"/>
    <w:qFormat/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20C3"/>
    <w:pPr>
      <w:ind w:left="708"/>
    </w:pPr>
  </w:style>
  <w:style w:type="paragraph" w:customStyle="1" w:styleId="Default">
    <w:name w:val="Default"/>
    <w:rsid w:val="00C676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EA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A377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57A63"/>
    <w:pPr>
      <w:suppressAutoHyphens/>
      <w:autoSpaceDN w:val="0"/>
      <w:spacing w:after="200"/>
      <w:textAlignment w:val="baseline"/>
    </w:pPr>
    <w:rPr>
      <w:rFonts w:ascii="Cambria" w:hAnsi="Cambria" w:cs="Cambria"/>
      <w:kern w:val="3"/>
      <w:sz w:val="22"/>
      <w:szCs w:val="22"/>
      <w:lang w:val="en-US" w:eastAsia="zh-CN" w:bidi="en-US"/>
    </w:rPr>
  </w:style>
  <w:style w:type="paragraph" w:styleId="Revize">
    <w:name w:val="Revision"/>
    <w:hidden/>
    <w:uiPriority w:val="99"/>
    <w:semiHidden/>
    <w:rsid w:val="00625AF2"/>
    <w:rPr>
      <w:sz w:val="24"/>
      <w:szCs w:val="24"/>
    </w:rPr>
  </w:style>
  <w:style w:type="paragraph" w:styleId="Zhlav">
    <w:name w:val="header"/>
    <w:basedOn w:val="Normln"/>
    <w:link w:val="ZhlavChar"/>
    <w:rsid w:val="0062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F2"/>
    <w:rPr>
      <w:sz w:val="24"/>
      <w:szCs w:val="24"/>
    </w:rPr>
  </w:style>
  <w:style w:type="character" w:styleId="Odkaznakoment">
    <w:name w:val="annotation reference"/>
    <w:basedOn w:val="Standardnpsmoodstavce"/>
    <w:rsid w:val="009C08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08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0871"/>
  </w:style>
  <w:style w:type="paragraph" w:styleId="Pedmtkomente">
    <w:name w:val="annotation subject"/>
    <w:basedOn w:val="Textkomente"/>
    <w:next w:val="Textkomente"/>
    <w:link w:val="PedmtkomenteChar"/>
    <w:rsid w:val="009C08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C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1933</Words>
  <Characters>11283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/>
  <dc:creator>14422</dc:creator>
  <cp:keywords/>
  <cp:lastModifiedBy>Pokorný Zdeněk</cp:lastModifiedBy>
  <cp:revision>2</cp:revision>
  <cp:lastPrinted>2019-05-22T10:06:00Z</cp:lastPrinted>
  <dcterms:created xsi:type="dcterms:W3CDTF">2025-02-26T10:00:00Z</dcterms:created>
  <dcterms:modified xsi:type="dcterms:W3CDTF">2025-02-26T10:00:00Z</dcterms:modified>
</cp:coreProperties>
</file>