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E4B" w:rsidRDefault="008B0E4B" w:rsidP="00CB0926">
      <w:pPr>
        <w:pStyle w:val="Nzev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CB0926" w:rsidRPr="00D71EDB" w:rsidRDefault="00CB0926" w:rsidP="00CB0926">
      <w:pPr>
        <w:pStyle w:val="Nzev"/>
        <w:rPr>
          <w:rFonts w:ascii="Tahoma" w:hAnsi="Tahoma" w:cs="Tahoma"/>
          <w:color w:val="FF0000"/>
          <w:sz w:val="22"/>
          <w:szCs w:val="22"/>
        </w:rPr>
      </w:pPr>
      <w:r w:rsidRPr="00D71EDB">
        <w:rPr>
          <w:rFonts w:ascii="Tahoma" w:hAnsi="Tahoma" w:cs="Tahoma"/>
          <w:sz w:val="22"/>
          <w:szCs w:val="22"/>
        </w:rPr>
        <w:t xml:space="preserve">S M L O U V A </w:t>
      </w:r>
    </w:p>
    <w:p w:rsidR="00CB0926" w:rsidRPr="00D71EDB" w:rsidRDefault="00CB0926" w:rsidP="00CB0926">
      <w:pPr>
        <w:jc w:val="center"/>
        <w:outlineLvl w:val="0"/>
        <w:rPr>
          <w:rFonts w:ascii="Tahoma" w:hAnsi="Tahoma" w:cs="Tahoma"/>
          <w:b/>
          <w:sz w:val="22"/>
          <w:szCs w:val="22"/>
        </w:rPr>
      </w:pPr>
      <w:r w:rsidRPr="00D71EDB">
        <w:rPr>
          <w:rFonts w:ascii="Tahoma" w:hAnsi="Tahoma" w:cs="Tahoma"/>
          <w:b/>
          <w:sz w:val="22"/>
          <w:szCs w:val="22"/>
        </w:rPr>
        <w:t xml:space="preserve">o přiznání nadstandardních podmínek </w:t>
      </w:r>
    </w:p>
    <w:p w:rsidR="00CB0926" w:rsidRPr="00D71EDB" w:rsidRDefault="00CB0926" w:rsidP="00CB0926">
      <w:pPr>
        <w:jc w:val="center"/>
        <w:outlineLvl w:val="0"/>
        <w:rPr>
          <w:rFonts w:ascii="Tahoma" w:hAnsi="Tahoma" w:cs="Tahoma"/>
          <w:b/>
          <w:sz w:val="22"/>
          <w:szCs w:val="22"/>
        </w:rPr>
      </w:pPr>
      <w:r w:rsidRPr="00D71EDB">
        <w:rPr>
          <w:rFonts w:ascii="Tahoma" w:hAnsi="Tahoma" w:cs="Tahoma"/>
          <w:b/>
          <w:sz w:val="22"/>
          <w:szCs w:val="22"/>
        </w:rPr>
        <w:t xml:space="preserve">při užívání karet CCS </w:t>
      </w:r>
      <w:r w:rsidR="00F6493B">
        <w:rPr>
          <w:rFonts w:ascii="Tahoma" w:hAnsi="Tahoma" w:cs="Tahoma"/>
          <w:b/>
          <w:sz w:val="22"/>
          <w:szCs w:val="22"/>
        </w:rPr>
        <w:t>a využívání služby CCS Carnet</w:t>
      </w:r>
    </w:p>
    <w:p w:rsidR="00CB0926" w:rsidRPr="00D71EDB" w:rsidRDefault="00CB0926" w:rsidP="00736581">
      <w:pPr>
        <w:jc w:val="center"/>
        <w:outlineLvl w:val="0"/>
        <w:rPr>
          <w:rFonts w:ascii="Tahoma" w:hAnsi="Tahoma" w:cs="Tahoma"/>
          <w:b/>
          <w:sz w:val="22"/>
          <w:szCs w:val="22"/>
        </w:rPr>
      </w:pPr>
      <w:r w:rsidRPr="00D71EDB">
        <w:rPr>
          <w:rFonts w:ascii="Tahoma" w:hAnsi="Tahoma" w:cs="Tahoma"/>
          <w:b/>
          <w:sz w:val="22"/>
          <w:szCs w:val="22"/>
        </w:rPr>
        <w:t xml:space="preserve"> __________________________________________________________</w:t>
      </w:r>
    </w:p>
    <w:p w:rsidR="00CB0926" w:rsidRPr="00D71EDB" w:rsidRDefault="00CB0926" w:rsidP="00736581">
      <w:pPr>
        <w:jc w:val="center"/>
        <w:rPr>
          <w:rFonts w:ascii="Tahoma" w:hAnsi="Tahoma" w:cs="Tahoma"/>
          <w:sz w:val="22"/>
          <w:szCs w:val="22"/>
        </w:rPr>
      </w:pPr>
      <w:r w:rsidRPr="00D71EDB">
        <w:rPr>
          <w:rFonts w:ascii="Tahoma" w:hAnsi="Tahoma" w:cs="Tahoma"/>
          <w:sz w:val="22"/>
          <w:szCs w:val="22"/>
        </w:rPr>
        <w:t xml:space="preserve">uzavřená níže uvedeného dne, měsíce a roku mezi smluvními </w:t>
      </w:r>
      <w:r w:rsidR="00CE0C01" w:rsidRPr="00D71EDB">
        <w:rPr>
          <w:rFonts w:ascii="Tahoma" w:hAnsi="Tahoma" w:cs="Tahoma"/>
          <w:sz w:val="22"/>
          <w:szCs w:val="22"/>
        </w:rPr>
        <w:t>stranami:</w:t>
      </w:r>
    </w:p>
    <w:p w:rsidR="008B0E4B" w:rsidRDefault="008B0E4B" w:rsidP="00CB0926">
      <w:pPr>
        <w:rPr>
          <w:rFonts w:ascii="Tahoma" w:hAnsi="Tahoma" w:cs="Tahoma"/>
          <w:sz w:val="22"/>
          <w:szCs w:val="22"/>
        </w:rPr>
      </w:pPr>
    </w:p>
    <w:p w:rsidR="004F1579" w:rsidRPr="00D71EDB" w:rsidRDefault="004F1579" w:rsidP="004F1579">
      <w:pPr>
        <w:rPr>
          <w:rFonts w:ascii="Tahoma" w:hAnsi="Tahoma" w:cs="Tahoma"/>
          <w:b/>
          <w:sz w:val="22"/>
          <w:szCs w:val="22"/>
        </w:rPr>
      </w:pPr>
      <w:r w:rsidRPr="00D71EDB">
        <w:rPr>
          <w:rFonts w:ascii="Tahoma" w:hAnsi="Tahoma" w:cs="Tahoma"/>
          <w:b/>
          <w:sz w:val="22"/>
          <w:szCs w:val="22"/>
        </w:rPr>
        <w:t>CCS Česká sp</w:t>
      </w:r>
      <w:r>
        <w:rPr>
          <w:rFonts w:ascii="Tahoma" w:hAnsi="Tahoma" w:cs="Tahoma"/>
          <w:b/>
          <w:sz w:val="22"/>
          <w:szCs w:val="22"/>
        </w:rPr>
        <w:t>olečnost pro platební karty s.r.o.</w:t>
      </w:r>
    </w:p>
    <w:p w:rsidR="004F1579" w:rsidRPr="00D71EDB" w:rsidRDefault="004F1579" w:rsidP="004F1579">
      <w:pPr>
        <w:rPr>
          <w:rFonts w:ascii="Tahoma" w:hAnsi="Tahoma" w:cs="Tahoma"/>
          <w:sz w:val="22"/>
          <w:szCs w:val="22"/>
        </w:rPr>
      </w:pPr>
      <w:r w:rsidRPr="00D71EDB">
        <w:rPr>
          <w:rFonts w:ascii="Tahoma" w:hAnsi="Tahoma" w:cs="Tahoma"/>
          <w:sz w:val="22"/>
          <w:szCs w:val="22"/>
        </w:rPr>
        <w:t xml:space="preserve">se sídlem </w:t>
      </w:r>
      <w:r w:rsidR="0008447D" w:rsidRPr="009A2414">
        <w:rPr>
          <w:rFonts w:ascii="Tahoma" w:hAnsi="Tahoma" w:cs="Tahoma"/>
          <w:sz w:val="22"/>
          <w:szCs w:val="22"/>
        </w:rPr>
        <w:t>Voctářova 2500/</w:t>
      </w:r>
      <w:proofErr w:type="gramStart"/>
      <w:r w:rsidR="0008447D" w:rsidRPr="009A2414">
        <w:rPr>
          <w:rFonts w:ascii="Tahoma" w:hAnsi="Tahoma" w:cs="Tahoma"/>
          <w:sz w:val="22"/>
          <w:szCs w:val="22"/>
        </w:rPr>
        <w:t>20a</w:t>
      </w:r>
      <w:proofErr w:type="gramEnd"/>
      <w:r w:rsidR="0008447D" w:rsidRPr="009A2414">
        <w:rPr>
          <w:rFonts w:ascii="Tahoma" w:hAnsi="Tahoma" w:cs="Tahoma"/>
          <w:sz w:val="22"/>
          <w:szCs w:val="22"/>
        </w:rPr>
        <w:t xml:space="preserve">, Praha 8 - Libeň, 180 00 </w:t>
      </w:r>
      <w:r w:rsidRPr="00D71EDB">
        <w:rPr>
          <w:rFonts w:ascii="Tahoma" w:hAnsi="Tahoma" w:cs="Tahoma"/>
          <w:sz w:val="22"/>
          <w:szCs w:val="22"/>
        </w:rPr>
        <w:t xml:space="preserve"> </w:t>
      </w:r>
    </w:p>
    <w:p w:rsidR="004F1579" w:rsidRPr="00397AB7" w:rsidRDefault="004F1579" w:rsidP="004F1579">
      <w:pPr>
        <w:rPr>
          <w:rFonts w:ascii="Tahoma" w:hAnsi="Tahoma" w:cs="Tahoma"/>
          <w:sz w:val="22"/>
          <w:szCs w:val="22"/>
        </w:rPr>
      </w:pPr>
      <w:r w:rsidRPr="00397AB7">
        <w:rPr>
          <w:rFonts w:ascii="Tahoma" w:hAnsi="Tahoma" w:cs="Tahoma"/>
          <w:sz w:val="22"/>
          <w:szCs w:val="22"/>
        </w:rPr>
        <w:t xml:space="preserve">IČ </w:t>
      </w:r>
      <w:r>
        <w:rPr>
          <w:rFonts w:ascii="Tahoma" w:hAnsi="Tahoma" w:cs="Tahoma"/>
          <w:bCs/>
          <w:sz w:val="22"/>
          <w:szCs w:val="22"/>
        </w:rPr>
        <w:t>279</w:t>
      </w:r>
      <w:r w:rsidR="00610D8E">
        <w:rPr>
          <w:rFonts w:ascii="Tahoma" w:hAnsi="Tahoma" w:cs="Tahoma"/>
          <w:bCs/>
          <w:sz w:val="22"/>
          <w:szCs w:val="22"/>
        </w:rPr>
        <w:t xml:space="preserve"> </w:t>
      </w:r>
      <w:r>
        <w:rPr>
          <w:rFonts w:ascii="Tahoma" w:hAnsi="Tahoma" w:cs="Tahoma"/>
          <w:bCs/>
          <w:sz w:val="22"/>
          <w:szCs w:val="22"/>
        </w:rPr>
        <w:t>16 693</w:t>
      </w:r>
    </w:p>
    <w:p w:rsidR="004F1579" w:rsidRDefault="004F1579" w:rsidP="004F1579">
      <w:pPr>
        <w:rPr>
          <w:rFonts w:ascii="Tahoma" w:hAnsi="Tahoma" w:cs="Tahoma"/>
          <w:bCs/>
          <w:sz w:val="22"/>
          <w:szCs w:val="22"/>
        </w:rPr>
      </w:pPr>
      <w:r w:rsidRPr="00397AB7">
        <w:rPr>
          <w:rFonts w:ascii="Tahoma" w:hAnsi="Tahoma" w:cs="Tahoma"/>
          <w:sz w:val="22"/>
          <w:szCs w:val="22"/>
        </w:rPr>
        <w:t>DIČ CZ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bCs/>
          <w:sz w:val="22"/>
          <w:szCs w:val="22"/>
        </w:rPr>
        <w:t>279 16</w:t>
      </w:r>
      <w:r w:rsidR="00A368BD">
        <w:rPr>
          <w:rFonts w:ascii="Tahoma" w:hAnsi="Tahoma" w:cs="Tahoma"/>
          <w:bCs/>
          <w:sz w:val="22"/>
          <w:szCs w:val="22"/>
        </w:rPr>
        <w:t> </w:t>
      </w:r>
      <w:r>
        <w:rPr>
          <w:rFonts w:ascii="Tahoma" w:hAnsi="Tahoma" w:cs="Tahoma"/>
          <w:bCs/>
          <w:sz w:val="22"/>
          <w:szCs w:val="22"/>
        </w:rPr>
        <w:t>693</w:t>
      </w:r>
    </w:p>
    <w:p w:rsidR="00957FA0" w:rsidRDefault="00A368BD" w:rsidP="001B3B78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Spisová značka: C 126337 vedená u Městského soudu v</w:t>
      </w:r>
      <w:r w:rsidR="00957FA0">
        <w:rPr>
          <w:rFonts w:ascii="Tahoma" w:hAnsi="Tahoma" w:cs="Tahoma"/>
          <w:sz w:val="22"/>
          <w:szCs w:val="22"/>
        </w:rPr>
        <w:t> </w:t>
      </w:r>
      <w:r>
        <w:rPr>
          <w:rFonts w:ascii="Tahoma" w:hAnsi="Tahoma" w:cs="Tahoma"/>
          <w:sz w:val="22"/>
          <w:szCs w:val="22"/>
        </w:rPr>
        <w:t>Praze</w:t>
      </w:r>
    </w:p>
    <w:p w:rsidR="001B3B78" w:rsidRPr="009342DB" w:rsidRDefault="001B3B78" w:rsidP="001B3B78">
      <w:pPr>
        <w:rPr>
          <w:rFonts w:ascii="Tahoma" w:hAnsi="Tahoma" w:cs="Tahoma"/>
          <w:sz w:val="22"/>
          <w:szCs w:val="22"/>
        </w:rPr>
      </w:pPr>
      <w:r w:rsidRPr="009342DB">
        <w:rPr>
          <w:rFonts w:ascii="Tahoma" w:hAnsi="Tahoma" w:cs="Tahoma"/>
          <w:sz w:val="22"/>
          <w:szCs w:val="22"/>
        </w:rPr>
        <w:t xml:space="preserve">Zastoupená: </w:t>
      </w:r>
      <w:r w:rsidR="00957FA0">
        <w:rPr>
          <w:rFonts w:ascii="Tahoma" w:hAnsi="Tahoma" w:cs="Tahoma"/>
          <w:sz w:val="22"/>
          <w:szCs w:val="22"/>
        </w:rPr>
        <w:t xml:space="preserve">Tomášem </w:t>
      </w:r>
      <w:proofErr w:type="spellStart"/>
      <w:r w:rsidR="00957FA0">
        <w:rPr>
          <w:rFonts w:ascii="Tahoma" w:hAnsi="Tahoma" w:cs="Tahoma"/>
          <w:sz w:val="22"/>
          <w:szCs w:val="22"/>
        </w:rPr>
        <w:t>Zahajským</w:t>
      </w:r>
      <w:proofErr w:type="spellEnd"/>
      <w:r w:rsidR="00957FA0">
        <w:rPr>
          <w:rFonts w:ascii="Tahoma" w:hAnsi="Tahoma" w:cs="Tahoma"/>
          <w:sz w:val="22"/>
          <w:szCs w:val="22"/>
        </w:rPr>
        <w:t>, na základě plné moci</w:t>
      </w:r>
    </w:p>
    <w:p w:rsidR="00CB0926" w:rsidRPr="00D71EDB" w:rsidRDefault="004F1579" w:rsidP="004F1579">
      <w:pPr>
        <w:rPr>
          <w:rFonts w:ascii="Tahoma" w:hAnsi="Tahoma" w:cs="Tahoma"/>
          <w:sz w:val="22"/>
          <w:szCs w:val="22"/>
        </w:rPr>
      </w:pPr>
      <w:r w:rsidRPr="00D71EDB">
        <w:rPr>
          <w:rFonts w:ascii="Tahoma" w:hAnsi="Tahoma" w:cs="Tahoma"/>
          <w:sz w:val="22"/>
          <w:szCs w:val="22"/>
        </w:rPr>
        <w:t>(dále jen „CCS</w:t>
      </w:r>
      <w:r w:rsidR="006A0E1B">
        <w:rPr>
          <w:rFonts w:ascii="Tahoma" w:hAnsi="Tahoma" w:cs="Tahoma"/>
          <w:sz w:val="22"/>
          <w:szCs w:val="22"/>
        </w:rPr>
        <w:t>“</w:t>
      </w:r>
      <w:r>
        <w:rPr>
          <w:rFonts w:ascii="Tahoma" w:hAnsi="Tahoma" w:cs="Tahoma"/>
          <w:sz w:val="22"/>
          <w:szCs w:val="22"/>
        </w:rPr>
        <w:t>)</w:t>
      </w:r>
    </w:p>
    <w:p w:rsidR="002D15E8" w:rsidRDefault="002D15E8" w:rsidP="00CB0926">
      <w:pPr>
        <w:rPr>
          <w:rFonts w:ascii="Tahoma" w:hAnsi="Tahoma" w:cs="Tahoma"/>
          <w:sz w:val="22"/>
          <w:szCs w:val="22"/>
        </w:rPr>
      </w:pPr>
    </w:p>
    <w:p w:rsidR="00CB0926" w:rsidRPr="00D71EDB" w:rsidRDefault="00CB0926" w:rsidP="00CB0926">
      <w:pPr>
        <w:rPr>
          <w:rFonts w:ascii="Tahoma" w:hAnsi="Tahoma" w:cs="Tahoma"/>
          <w:sz w:val="22"/>
          <w:szCs w:val="22"/>
        </w:rPr>
      </w:pPr>
      <w:r w:rsidRPr="00D71EDB">
        <w:rPr>
          <w:rFonts w:ascii="Tahoma" w:hAnsi="Tahoma" w:cs="Tahoma"/>
          <w:sz w:val="22"/>
          <w:szCs w:val="22"/>
        </w:rPr>
        <w:t>a</w:t>
      </w:r>
    </w:p>
    <w:p w:rsidR="002D15E8" w:rsidRPr="00D71EDB" w:rsidRDefault="002D15E8" w:rsidP="00CB0926">
      <w:pPr>
        <w:rPr>
          <w:rFonts w:ascii="Tahoma" w:hAnsi="Tahoma" w:cs="Tahoma"/>
          <w:sz w:val="22"/>
          <w:szCs w:val="22"/>
        </w:rPr>
      </w:pPr>
    </w:p>
    <w:p w:rsidR="00C367B6" w:rsidRDefault="00C367B6" w:rsidP="00E874B6">
      <w:pPr>
        <w:rPr>
          <w:rFonts w:ascii="Tahoma" w:hAnsi="Tahoma" w:cs="Tahoma"/>
          <w:b/>
          <w:bCs/>
          <w:sz w:val="22"/>
          <w:szCs w:val="22"/>
        </w:rPr>
      </w:pPr>
      <w:r w:rsidRPr="00C367B6">
        <w:rPr>
          <w:rFonts w:ascii="Tahoma" w:hAnsi="Tahoma" w:cs="Tahoma"/>
          <w:b/>
          <w:bCs/>
          <w:sz w:val="22"/>
          <w:szCs w:val="22"/>
        </w:rPr>
        <w:t>Slezská nemocnice v Opavě, příspěvková organizace</w:t>
      </w:r>
    </w:p>
    <w:p w:rsidR="00E874B6" w:rsidRPr="00E874B6" w:rsidRDefault="00E874B6" w:rsidP="00E874B6">
      <w:pPr>
        <w:rPr>
          <w:rFonts w:ascii="Tahoma" w:hAnsi="Tahoma" w:cs="Tahoma"/>
          <w:sz w:val="22"/>
          <w:szCs w:val="22"/>
        </w:rPr>
      </w:pPr>
      <w:r w:rsidRPr="00E874B6">
        <w:rPr>
          <w:rFonts w:ascii="Tahoma" w:hAnsi="Tahoma" w:cs="Tahoma"/>
          <w:sz w:val="22"/>
          <w:szCs w:val="22"/>
        </w:rPr>
        <w:t xml:space="preserve">se sídlem </w:t>
      </w:r>
      <w:r w:rsidR="00C367B6" w:rsidRPr="00C367B6">
        <w:rPr>
          <w:rFonts w:ascii="Tahoma" w:hAnsi="Tahoma" w:cs="Tahoma"/>
          <w:sz w:val="22"/>
          <w:szCs w:val="22"/>
        </w:rPr>
        <w:t>Olomoucká 470/86, Předměstí, 746 01 Opava</w:t>
      </w:r>
    </w:p>
    <w:p w:rsidR="00E874B6" w:rsidRPr="00E874B6" w:rsidRDefault="00E874B6" w:rsidP="00C367B6">
      <w:pPr>
        <w:rPr>
          <w:rFonts w:ascii="Tahoma" w:hAnsi="Tahoma" w:cs="Tahoma"/>
          <w:sz w:val="22"/>
          <w:szCs w:val="22"/>
        </w:rPr>
      </w:pPr>
      <w:r w:rsidRPr="00E874B6">
        <w:rPr>
          <w:rFonts w:ascii="Tahoma" w:hAnsi="Tahoma" w:cs="Tahoma"/>
          <w:sz w:val="22"/>
          <w:szCs w:val="22"/>
        </w:rPr>
        <w:t xml:space="preserve">IČ </w:t>
      </w:r>
      <w:r w:rsidR="00C367B6" w:rsidRPr="00C367B6">
        <w:rPr>
          <w:rFonts w:ascii="Tahoma" w:hAnsi="Tahoma" w:cs="Tahoma"/>
          <w:sz w:val="22"/>
          <w:szCs w:val="22"/>
        </w:rPr>
        <w:t>47813750</w:t>
      </w:r>
    </w:p>
    <w:p w:rsidR="00CB782A" w:rsidRPr="00CB782A" w:rsidRDefault="00CB782A" w:rsidP="00CB782A">
      <w:pPr>
        <w:rPr>
          <w:rFonts w:ascii="Tahoma" w:hAnsi="Tahoma" w:cs="Tahoma"/>
          <w:sz w:val="22"/>
          <w:szCs w:val="22"/>
        </w:rPr>
      </w:pPr>
      <w:r w:rsidRPr="00CB782A">
        <w:rPr>
          <w:rFonts w:ascii="Tahoma" w:hAnsi="Tahoma" w:cs="Tahoma"/>
          <w:sz w:val="22"/>
          <w:szCs w:val="22"/>
        </w:rPr>
        <w:t xml:space="preserve">zapsaná: Obchodní rejstřík vedený Krajským soudem v Ostravě, oddíl </w:t>
      </w:r>
      <w:proofErr w:type="spellStart"/>
      <w:r w:rsidRPr="00CB782A">
        <w:rPr>
          <w:rFonts w:ascii="Tahoma" w:hAnsi="Tahoma" w:cs="Tahoma"/>
          <w:sz w:val="22"/>
          <w:szCs w:val="22"/>
        </w:rPr>
        <w:t>Pr</w:t>
      </w:r>
      <w:proofErr w:type="spellEnd"/>
      <w:r w:rsidRPr="00CB782A">
        <w:rPr>
          <w:rFonts w:ascii="Tahoma" w:hAnsi="Tahoma" w:cs="Tahoma"/>
          <w:sz w:val="22"/>
          <w:szCs w:val="22"/>
        </w:rPr>
        <w:t>, vložka 924</w:t>
      </w:r>
    </w:p>
    <w:p w:rsidR="00CB0926" w:rsidRDefault="00CB782A" w:rsidP="00CB782A">
      <w:pPr>
        <w:rPr>
          <w:rFonts w:ascii="Tahoma" w:hAnsi="Tahoma" w:cs="Tahoma"/>
          <w:sz w:val="22"/>
          <w:szCs w:val="22"/>
        </w:rPr>
      </w:pPr>
      <w:r w:rsidRPr="00CB782A">
        <w:rPr>
          <w:rFonts w:ascii="Tahoma" w:hAnsi="Tahoma" w:cs="Tahoma"/>
          <w:sz w:val="22"/>
          <w:szCs w:val="22"/>
        </w:rPr>
        <w:t>(dále jen „Odběratel“)</w:t>
      </w:r>
    </w:p>
    <w:p w:rsidR="00CB782A" w:rsidRDefault="00A72230" w:rsidP="00CB782A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Zastoupená: </w:t>
      </w:r>
      <w:r w:rsidRPr="00A72230">
        <w:rPr>
          <w:rFonts w:ascii="Tahoma" w:hAnsi="Tahoma" w:cs="Tahoma"/>
          <w:sz w:val="22"/>
          <w:szCs w:val="22"/>
        </w:rPr>
        <w:t>Ing. KAREL SIEBERT</w:t>
      </w:r>
      <w:r>
        <w:rPr>
          <w:rFonts w:ascii="Tahoma" w:hAnsi="Tahoma" w:cs="Tahoma"/>
          <w:sz w:val="22"/>
          <w:szCs w:val="22"/>
        </w:rPr>
        <w:t>EM</w:t>
      </w:r>
      <w:r w:rsidRPr="00A72230">
        <w:rPr>
          <w:rFonts w:ascii="Tahoma" w:hAnsi="Tahoma" w:cs="Tahoma"/>
          <w:sz w:val="22"/>
          <w:szCs w:val="22"/>
        </w:rPr>
        <w:t>, MBA, ředitel</w:t>
      </w:r>
      <w:r>
        <w:rPr>
          <w:rFonts w:ascii="Tahoma" w:hAnsi="Tahoma" w:cs="Tahoma"/>
          <w:sz w:val="22"/>
          <w:szCs w:val="22"/>
        </w:rPr>
        <w:t>em</w:t>
      </w:r>
    </w:p>
    <w:p w:rsidR="002D15E8" w:rsidRPr="00D71EDB" w:rsidRDefault="002D15E8" w:rsidP="00CB0926">
      <w:pPr>
        <w:rPr>
          <w:rFonts w:ascii="Tahoma" w:hAnsi="Tahoma" w:cs="Tahoma"/>
          <w:sz w:val="22"/>
          <w:szCs w:val="22"/>
        </w:rPr>
      </w:pPr>
    </w:p>
    <w:p w:rsidR="00CB0926" w:rsidRPr="00D71EDB" w:rsidRDefault="00CB0926" w:rsidP="00CB0926">
      <w:pPr>
        <w:pStyle w:val="Nadpis2"/>
        <w:rPr>
          <w:rFonts w:cs="Tahoma"/>
          <w:szCs w:val="22"/>
        </w:rPr>
      </w:pPr>
      <w:r w:rsidRPr="00D71EDB">
        <w:rPr>
          <w:rFonts w:cs="Tahoma"/>
          <w:szCs w:val="22"/>
        </w:rPr>
        <w:t xml:space="preserve">                                                            I. Předmět </w:t>
      </w:r>
    </w:p>
    <w:p w:rsidR="0008447D" w:rsidRPr="009A2414" w:rsidRDefault="0008447D" w:rsidP="0008447D">
      <w:pPr>
        <w:jc w:val="both"/>
        <w:rPr>
          <w:rFonts w:ascii="Tahoma" w:hAnsi="Tahoma" w:cs="Tahoma"/>
          <w:sz w:val="22"/>
          <w:szCs w:val="22"/>
        </w:rPr>
      </w:pPr>
      <w:r w:rsidRPr="009A2414">
        <w:rPr>
          <w:rFonts w:ascii="Tahoma" w:hAnsi="Tahoma" w:cs="Tahoma"/>
          <w:sz w:val="22"/>
          <w:szCs w:val="22"/>
        </w:rPr>
        <w:t>Tato smlouva se vztahuje na všechny karty CCS vedené pod zákaznickými čísly, která jsou</w:t>
      </w:r>
      <w:r w:rsidR="00695B60">
        <w:rPr>
          <w:rFonts w:ascii="Tahoma" w:hAnsi="Tahoma" w:cs="Tahoma"/>
          <w:sz w:val="22"/>
          <w:szCs w:val="22"/>
        </w:rPr>
        <w:t xml:space="preserve"> ke dni uzavření této smlouvy přidělena</w:t>
      </w:r>
      <w:r w:rsidRPr="009A2414">
        <w:rPr>
          <w:rFonts w:ascii="Tahoma" w:hAnsi="Tahoma" w:cs="Tahoma"/>
          <w:sz w:val="22"/>
          <w:szCs w:val="22"/>
        </w:rPr>
        <w:t>, nebo budou Zákazníkovi přidělena na základě jeho objednávek karet CCS</w:t>
      </w:r>
      <w:r w:rsidR="00695B60">
        <w:rPr>
          <w:rFonts w:ascii="Tahoma" w:hAnsi="Tahoma" w:cs="Tahoma"/>
          <w:sz w:val="22"/>
          <w:szCs w:val="22"/>
        </w:rPr>
        <w:t xml:space="preserve"> po uzavření této smlouvy</w:t>
      </w:r>
      <w:r w:rsidR="00F6493B">
        <w:rPr>
          <w:rFonts w:ascii="Tahoma" w:hAnsi="Tahoma" w:cs="Tahoma"/>
          <w:sz w:val="22"/>
          <w:szCs w:val="22"/>
        </w:rPr>
        <w:t xml:space="preserve"> </w:t>
      </w:r>
      <w:r w:rsidR="005E6DDC">
        <w:rPr>
          <w:rFonts w:ascii="Tahoma" w:hAnsi="Tahoma" w:cs="Tahoma"/>
          <w:sz w:val="22"/>
          <w:szCs w:val="22"/>
        </w:rPr>
        <w:t xml:space="preserve">(dále jen „karta CCS“) </w:t>
      </w:r>
      <w:r w:rsidR="00F6493B">
        <w:rPr>
          <w:rFonts w:ascii="Tahoma" w:hAnsi="Tahoma" w:cs="Tahoma"/>
          <w:sz w:val="22"/>
          <w:szCs w:val="22"/>
        </w:rPr>
        <w:t>a dále na využívání služby CCS Carnet</w:t>
      </w:r>
      <w:r w:rsidRPr="009A2414">
        <w:rPr>
          <w:rFonts w:ascii="Tahoma" w:hAnsi="Tahoma" w:cs="Tahoma"/>
          <w:sz w:val="22"/>
          <w:szCs w:val="22"/>
        </w:rPr>
        <w:t>.</w:t>
      </w:r>
    </w:p>
    <w:p w:rsidR="0008447D" w:rsidRPr="009A2414" w:rsidRDefault="0008447D" w:rsidP="0008447D">
      <w:pPr>
        <w:jc w:val="both"/>
        <w:rPr>
          <w:rFonts w:ascii="Tahoma" w:hAnsi="Tahoma" w:cs="Tahoma"/>
          <w:sz w:val="22"/>
          <w:szCs w:val="22"/>
        </w:rPr>
      </w:pPr>
      <w:r w:rsidRPr="009A2414">
        <w:rPr>
          <w:rFonts w:ascii="Tahoma" w:hAnsi="Tahoma" w:cs="Tahoma"/>
          <w:sz w:val="22"/>
          <w:szCs w:val="22"/>
        </w:rPr>
        <w:t>Předmětem této smlouvy je stanovení nadstandardních podmínek při užívání karet CCS</w:t>
      </w:r>
      <w:r w:rsidR="00F6493B">
        <w:rPr>
          <w:rFonts w:ascii="Tahoma" w:hAnsi="Tahoma" w:cs="Tahoma"/>
          <w:sz w:val="22"/>
          <w:szCs w:val="22"/>
        </w:rPr>
        <w:t xml:space="preserve"> a využívání služby CCS Carnet</w:t>
      </w:r>
      <w:r w:rsidRPr="009A2414">
        <w:rPr>
          <w:rFonts w:ascii="Tahoma" w:hAnsi="Tahoma" w:cs="Tahoma"/>
          <w:sz w:val="22"/>
          <w:szCs w:val="22"/>
        </w:rPr>
        <w:t>. V ostatním platí Obchodní podmínky pro čipové karty</w:t>
      </w:r>
      <w:r w:rsidR="00957FA0">
        <w:rPr>
          <w:rFonts w:ascii="Tahoma" w:hAnsi="Tahoma" w:cs="Tahoma"/>
          <w:sz w:val="22"/>
          <w:szCs w:val="22"/>
        </w:rPr>
        <w:t xml:space="preserve"> CCS Limit,</w:t>
      </w:r>
      <w:r w:rsidR="005E6DDC" w:rsidRPr="005E6DDC">
        <w:rPr>
          <w:rFonts w:ascii="Tahoma" w:hAnsi="Tahoma" w:cs="Tahoma"/>
          <w:sz w:val="22"/>
          <w:szCs w:val="22"/>
        </w:rPr>
        <w:t xml:space="preserve"> CCS Limit+ a CCS Limit </w:t>
      </w:r>
      <w:proofErr w:type="spellStart"/>
      <w:r w:rsidR="005E6DDC" w:rsidRPr="005E6DDC">
        <w:rPr>
          <w:rFonts w:ascii="Tahoma" w:hAnsi="Tahoma" w:cs="Tahoma"/>
          <w:sz w:val="22"/>
          <w:szCs w:val="22"/>
        </w:rPr>
        <w:t>Exclusive</w:t>
      </w:r>
      <w:proofErr w:type="spellEnd"/>
      <w:r w:rsidR="005E6DDC" w:rsidRPr="005E6DDC">
        <w:rPr>
          <w:rFonts w:ascii="Tahoma" w:hAnsi="Tahoma" w:cs="Tahoma"/>
          <w:sz w:val="22"/>
          <w:szCs w:val="22"/>
        </w:rPr>
        <w:t xml:space="preserve"> v platném znění</w:t>
      </w:r>
      <w:r w:rsidR="00957FA0">
        <w:rPr>
          <w:rFonts w:ascii="Tahoma" w:hAnsi="Tahoma" w:cs="Tahoma"/>
          <w:sz w:val="22"/>
          <w:szCs w:val="22"/>
        </w:rPr>
        <w:t xml:space="preserve"> </w:t>
      </w:r>
      <w:r w:rsidRPr="009A2414">
        <w:rPr>
          <w:rFonts w:ascii="Tahoma" w:hAnsi="Tahoma" w:cs="Tahoma"/>
          <w:sz w:val="22"/>
          <w:szCs w:val="22"/>
        </w:rPr>
        <w:t>v platném znění (dále jen „OP“)</w:t>
      </w:r>
      <w:r w:rsidR="00241F47">
        <w:rPr>
          <w:rFonts w:ascii="Tahoma" w:hAnsi="Tahoma" w:cs="Tahoma"/>
          <w:sz w:val="22"/>
          <w:szCs w:val="22"/>
        </w:rPr>
        <w:t xml:space="preserve">, </w:t>
      </w:r>
      <w:r w:rsidR="00241F47" w:rsidRPr="00241F47">
        <w:rPr>
          <w:rFonts w:ascii="Tahoma" w:hAnsi="Tahoma" w:cs="Tahoma"/>
          <w:sz w:val="22"/>
          <w:szCs w:val="22"/>
        </w:rPr>
        <w:t>Obchodní podmínky pro využívání služby CCS Carnet v platném znění</w:t>
      </w:r>
      <w:r w:rsidR="00241F47">
        <w:rPr>
          <w:rFonts w:ascii="Tahoma" w:hAnsi="Tahoma" w:cs="Tahoma"/>
          <w:sz w:val="22"/>
          <w:szCs w:val="22"/>
        </w:rPr>
        <w:t xml:space="preserve"> (dále jen „OP Carnet“),</w:t>
      </w:r>
      <w:r w:rsidRPr="009A2414">
        <w:rPr>
          <w:rFonts w:ascii="Tahoma" w:hAnsi="Tahoma" w:cs="Tahoma"/>
          <w:sz w:val="22"/>
          <w:szCs w:val="22"/>
        </w:rPr>
        <w:t xml:space="preserve"> platný Ceník služeb</w:t>
      </w:r>
      <w:r w:rsidR="00241F47">
        <w:rPr>
          <w:rFonts w:ascii="Tahoma" w:hAnsi="Tahoma" w:cs="Tahoma"/>
          <w:sz w:val="22"/>
          <w:szCs w:val="22"/>
        </w:rPr>
        <w:t xml:space="preserve"> a platný Ceník CCS Carnet</w:t>
      </w:r>
      <w:r w:rsidRPr="009A2414">
        <w:rPr>
          <w:rFonts w:ascii="Tahoma" w:hAnsi="Tahoma" w:cs="Tahoma"/>
          <w:sz w:val="22"/>
          <w:szCs w:val="22"/>
        </w:rPr>
        <w:t xml:space="preserve">. </w:t>
      </w:r>
    </w:p>
    <w:p w:rsidR="002D15E8" w:rsidRDefault="00CB0926" w:rsidP="00CB0926">
      <w:pPr>
        <w:pStyle w:val="Zkladntext2"/>
        <w:ind w:right="-426"/>
        <w:jc w:val="left"/>
        <w:rPr>
          <w:rFonts w:ascii="Tahoma" w:hAnsi="Tahoma" w:cs="Tahoma"/>
          <w:b/>
          <w:sz w:val="22"/>
          <w:szCs w:val="22"/>
        </w:rPr>
      </w:pPr>
      <w:r w:rsidRPr="00D71EDB">
        <w:rPr>
          <w:rFonts w:ascii="Tahoma" w:hAnsi="Tahoma" w:cs="Tahoma"/>
          <w:b/>
          <w:sz w:val="22"/>
          <w:szCs w:val="22"/>
        </w:rPr>
        <w:t xml:space="preserve">                     </w:t>
      </w:r>
    </w:p>
    <w:p w:rsidR="008B0E4B" w:rsidRDefault="008B0E4B" w:rsidP="00CB0926">
      <w:pPr>
        <w:pStyle w:val="Zkladntext2"/>
        <w:ind w:right="-426"/>
        <w:jc w:val="left"/>
        <w:rPr>
          <w:rFonts w:ascii="Tahoma" w:hAnsi="Tahoma" w:cs="Tahoma"/>
          <w:b/>
          <w:sz w:val="22"/>
          <w:szCs w:val="22"/>
        </w:rPr>
      </w:pPr>
    </w:p>
    <w:p w:rsidR="00E874B6" w:rsidRDefault="00CB0926" w:rsidP="00A72230">
      <w:pPr>
        <w:pStyle w:val="Zkladntext2"/>
        <w:ind w:right="-426"/>
        <w:jc w:val="center"/>
        <w:rPr>
          <w:rFonts w:ascii="Tahoma" w:hAnsi="Tahoma" w:cs="Tahoma"/>
          <w:b/>
          <w:sz w:val="22"/>
          <w:szCs w:val="22"/>
        </w:rPr>
      </w:pPr>
      <w:r w:rsidRPr="00D71EDB">
        <w:rPr>
          <w:rFonts w:ascii="Tahoma" w:hAnsi="Tahoma" w:cs="Tahoma"/>
          <w:b/>
          <w:sz w:val="22"/>
          <w:szCs w:val="22"/>
        </w:rPr>
        <w:t>II. Nová ujednání</w:t>
      </w:r>
    </w:p>
    <w:p w:rsidR="00F84BCD" w:rsidRDefault="00F84BCD" w:rsidP="00F84BCD">
      <w:pPr>
        <w:pStyle w:val="Zkladntext2"/>
        <w:ind w:right="-426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Karty CCS</w:t>
      </w:r>
    </w:p>
    <w:p w:rsidR="00F84BCD" w:rsidRPr="00A72230" w:rsidRDefault="00F84BCD" w:rsidP="00F84BCD">
      <w:pPr>
        <w:pStyle w:val="Zkladntext2"/>
        <w:ind w:right="-426"/>
        <w:rPr>
          <w:rFonts w:ascii="Tahoma" w:hAnsi="Tahoma" w:cs="Tahoma"/>
          <w:b/>
          <w:sz w:val="22"/>
          <w:szCs w:val="22"/>
        </w:rPr>
      </w:pPr>
    </w:p>
    <w:p w:rsidR="005F1EE9" w:rsidRPr="005F1EE9" w:rsidRDefault="005F1EE9" w:rsidP="005F1EE9">
      <w:pPr>
        <w:numPr>
          <w:ilvl w:val="0"/>
          <w:numId w:val="3"/>
        </w:numPr>
        <w:tabs>
          <w:tab w:val="num" w:pos="540"/>
        </w:tabs>
        <w:jc w:val="both"/>
        <w:rPr>
          <w:rFonts w:ascii="Tahoma" w:hAnsi="Tahoma" w:cs="Tahoma"/>
          <w:sz w:val="22"/>
          <w:szCs w:val="22"/>
        </w:rPr>
      </w:pPr>
      <w:r w:rsidRPr="005F1EE9">
        <w:rPr>
          <w:rFonts w:ascii="Tahoma" w:hAnsi="Tahoma" w:cs="Tahoma"/>
          <w:sz w:val="22"/>
          <w:szCs w:val="22"/>
        </w:rPr>
        <w:t>Pořizovací cena nově vystavené či obnovené karty CCS Limit se upravuje na 0,- Kč s </w:t>
      </w:r>
      <w:r w:rsidR="00942C34">
        <w:rPr>
          <w:rFonts w:ascii="Tahoma" w:hAnsi="Tahoma" w:cs="Tahoma"/>
          <w:sz w:val="22"/>
          <w:szCs w:val="22"/>
        </w:rPr>
        <w:t xml:space="preserve">prodlouženou platností na </w:t>
      </w:r>
      <w:r w:rsidR="00957FA0">
        <w:rPr>
          <w:rFonts w:ascii="Tahoma" w:hAnsi="Tahoma" w:cs="Tahoma"/>
          <w:sz w:val="22"/>
          <w:szCs w:val="22"/>
        </w:rPr>
        <w:t>5 let.</w:t>
      </w:r>
    </w:p>
    <w:p w:rsidR="005F1EE9" w:rsidRPr="005F1EE9" w:rsidRDefault="005F1EE9" w:rsidP="005F1EE9">
      <w:pPr>
        <w:jc w:val="both"/>
        <w:rPr>
          <w:rFonts w:ascii="Tahoma" w:hAnsi="Tahoma" w:cs="Tahoma"/>
          <w:sz w:val="22"/>
          <w:szCs w:val="22"/>
        </w:rPr>
      </w:pPr>
    </w:p>
    <w:p w:rsidR="005F1EE9" w:rsidRPr="005F1EE9" w:rsidRDefault="005F1EE9" w:rsidP="005F1EE9">
      <w:pPr>
        <w:numPr>
          <w:ilvl w:val="0"/>
          <w:numId w:val="3"/>
        </w:numPr>
        <w:tabs>
          <w:tab w:val="num" w:pos="540"/>
        </w:tabs>
        <w:jc w:val="both"/>
        <w:rPr>
          <w:rFonts w:ascii="Tahoma" w:hAnsi="Tahoma" w:cs="Tahoma"/>
          <w:sz w:val="22"/>
          <w:szCs w:val="22"/>
        </w:rPr>
      </w:pPr>
      <w:r w:rsidRPr="005F1EE9">
        <w:rPr>
          <w:rFonts w:ascii="Tahoma" w:hAnsi="Tahoma" w:cs="Tahoma"/>
          <w:sz w:val="22"/>
          <w:szCs w:val="22"/>
        </w:rPr>
        <w:t>Poplatek za změnu parametrů na kartě CCS Limit se stanovuje na 0,- Kč.</w:t>
      </w:r>
    </w:p>
    <w:p w:rsidR="005F1EE9" w:rsidRPr="005F1EE9" w:rsidRDefault="005F1EE9" w:rsidP="005F1EE9">
      <w:pPr>
        <w:jc w:val="both"/>
        <w:rPr>
          <w:rFonts w:ascii="Tahoma" w:hAnsi="Tahoma" w:cs="Tahoma"/>
          <w:sz w:val="22"/>
          <w:szCs w:val="22"/>
        </w:rPr>
      </w:pPr>
    </w:p>
    <w:p w:rsidR="00E874B6" w:rsidRPr="005F1EE9" w:rsidRDefault="00E874B6" w:rsidP="00E874B6">
      <w:pPr>
        <w:numPr>
          <w:ilvl w:val="0"/>
          <w:numId w:val="3"/>
        </w:numPr>
        <w:tabs>
          <w:tab w:val="num" w:pos="540"/>
        </w:tabs>
        <w:jc w:val="both"/>
        <w:rPr>
          <w:rFonts w:ascii="Tahoma" w:hAnsi="Tahoma" w:cs="Tahoma"/>
          <w:sz w:val="22"/>
          <w:szCs w:val="22"/>
        </w:rPr>
      </w:pPr>
      <w:r w:rsidRPr="005F1EE9">
        <w:rPr>
          <w:rFonts w:ascii="Tahoma" w:hAnsi="Tahoma" w:cs="Tahoma"/>
          <w:sz w:val="22"/>
          <w:szCs w:val="22"/>
        </w:rPr>
        <w:t>Provozní poplatek se stanovuje na 0,- Kč.</w:t>
      </w:r>
    </w:p>
    <w:p w:rsidR="00E874B6" w:rsidRPr="005F1EE9" w:rsidRDefault="00E874B6" w:rsidP="00E874B6">
      <w:pPr>
        <w:jc w:val="both"/>
        <w:rPr>
          <w:rFonts w:ascii="Tahoma" w:hAnsi="Tahoma" w:cs="Tahoma"/>
          <w:sz w:val="22"/>
          <w:szCs w:val="22"/>
        </w:rPr>
      </w:pPr>
    </w:p>
    <w:p w:rsidR="00E874B6" w:rsidRPr="005F1EE9" w:rsidRDefault="00E874B6" w:rsidP="00E874B6">
      <w:pPr>
        <w:numPr>
          <w:ilvl w:val="0"/>
          <w:numId w:val="3"/>
        </w:numPr>
        <w:tabs>
          <w:tab w:val="num" w:pos="540"/>
        </w:tabs>
        <w:jc w:val="both"/>
        <w:rPr>
          <w:rFonts w:ascii="Tahoma" w:hAnsi="Tahoma" w:cs="Tahoma"/>
          <w:sz w:val="22"/>
          <w:szCs w:val="22"/>
        </w:rPr>
      </w:pPr>
      <w:r w:rsidRPr="005F1EE9">
        <w:rPr>
          <w:rFonts w:ascii="Tahoma" w:hAnsi="Tahoma" w:cs="Tahoma"/>
          <w:sz w:val="22"/>
          <w:szCs w:val="22"/>
        </w:rPr>
        <w:t xml:space="preserve">Poplatek za blokaci karty </w:t>
      </w:r>
      <w:r w:rsidR="005E6DDC">
        <w:rPr>
          <w:rFonts w:ascii="Tahoma" w:hAnsi="Tahoma" w:cs="Tahoma"/>
          <w:sz w:val="22"/>
          <w:szCs w:val="22"/>
        </w:rPr>
        <w:t xml:space="preserve">CCS </w:t>
      </w:r>
      <w:r w:rsidRPr="005F1EE9">
        <w:rPr>
          <w:rFonts w:ascii="Tahoma" w:hAnsi="Tahoma" w:cs="Tahoma"/>
          <w:sz w:val="22"/>
          <w:szCs w:val="22"/>
        </w:rPr>
        <w:t>se stanovuje na 0,- Kč</w:t>
      </w:r>
      <w:r>
        <w:rPr>
          <w:rFonts w:ascii="Tahoma" w:hAnsi="Tahoma" w:cs="Tahoma"/>
          <w:sz w:val="22"/>
          <w:szCs w:val="22"/>
        </w:rPr>
        <w:t>.</w:t>
      </w:r>
    </w:p>
    <w:p w:rsidR="00E874B6" w:rsidRPr="005F1EE9" w:rsidRDefault="00E874B6" w:rsidP="00E874B6">
      <w:pPr>
        <w:jc w:val="both"/>
        <w:rPr>
          <w:rFonts w:ascii="Tahoma" w:hAnsi="Tahoma" w:cs="Tahoma"/>
          <w:sz w:val="22"/>
          <w:szCs w:val="22"/>
        </w:rPr>
      </w:pPr>
    </w:p>
    <w:p w:rsidR="00E874B6" w:rsidRPr="008B0E4B" w:rsidRDefault="00E874B6" w:rsidP="00E874B6">
      <w:pPr>
        <w:numPr>
          <w:ilvl w:val="0"/>
          <w:numId w:val="3"/>
        </w:numPr>
        <w:tabs>
          <w:tab w:val="num" w:pos="540"/>
        </w:tabs>
        <w:jc w:val="both"/>
        <w:rPr>
          <w:rFonts w:ascii="Tahoma" w:hAnsi="Tahoma" w:cs="Tahoma"/>
          <w:sz w:val="22"/>
          <w:szCs w:val="22"/>
        </w:rPr>
      </w:pPr>
      <w:r w:rsidRPr="008B0E4B">
        <w:rPr>
          <w:rFonts w:ascii="Tahoma" w:hAnsi="Tahoma" w:cs="Tahoma"/>
          <w:sz w:val="22"/>
          <w:szCs w:val="22"/>
        </w:rPr>
        <w:t>Obnova blokovaného PIN kódu karty CCS Limit se stanovuje na 0,- Kč.</w:t>
      </w:r>
    </w:p>
    <w:p w:rsidR="00E874B6" w:rsidRPr="005F1EE9" w:rsidRDefault="00E874B6" w:rsidP="00E874B6">
      <w:pPr>
        <w:jc w:val="both"/>
        <w:rPr>
          <w:rFonts w:ascii="Tahoma" w:hAnsi="Tahoma" w:cs="Tahoma"/>
          <w:sz w:val="22"/>
          <w:szCs w:val="22"/>
        </w:rPr>
      </w:pPr>
    </w:p>
    <w:p w:rsidR="00241F47" w:rsidRDefault="00241F47" w:rsidP="00E874B6">
      <w:pPr>
        <w:numPr>
          <w:ilvl w:val="0"/>
          <w:numId w:val="3"/>
        </w:numPr>
        <w:tabs>
          <w:tab w:val="num" w:pos="540"/>
        </w:tabs>
        <w:jc w:val="both"/>
        <w:rPr>
          <w:rFonts w:ascii="Tahoma" w:hAnsi="Tahoma" w:cs="Tahoma"/>
          <w:sz w:val="22"/>
          <w:szCs w:val="22"/>
        </w:rPr>
      </w:pPr>
      <w:r w:rsidRPr="00241F47">
        <w:rPr>
          <w:rFonts w:ascii="Tahoma" w:hAnsi="Tahoma" w:cs="Tahoma"/>
          <w:sz w:val="22"/>
          <w:szCs w:val="22"/>
        </w:rPr>
        <w:t xml:space="preserve">Poplatek za </w:t>
      </w:r>
      <w:r w:rsidR="00957FA0">
        <w:rPr>
          <w:rFonts w:ascii="Tahoma" w:hAnsi="Tahoma" w:cs="Tahoma"/>
          <w:sz w:val="22"/>
          <w:szCs w:val="22"/>
        </w:rPr>
        <w:t>o</w:t>
      </w:r>
      <w:r w:rsidRPr="00241F47">
        <w:rPr>
          <w:rFonts w:ascii="Tahoma" w:hAnsi="Tahoma" w:cs="Tahoma"/>
          <w:sz w:val="22"/>
          <w:szCs w:val="22"/>
        </w:rPr>
        <w:t>n</w:t>
      </w:r>
      <w:r w:rsidR="00957FA0">
        <w:rPr>
          <w:rFonts w:ascii="Tahoma" w:hAnsi="Tahoma" w:cs="Tahoma"/>
          <w:sz w:val="22"/>
          <w:szCs w:val="22"/>
        </w:rPr>
        <w:t>-</w:t>
      </w:r>
      <w:r w:rsidRPr="00241F47">
        <w:rPr>
          <w:rFonts w:ascii="Tahoma" w:hAnsi="Tahoma" w:cs="Tahoma"/>
          <w:sz w:val="22"/>
          <w:szCs w:val="22"/>
        </w:rPr>
        <w:t>line zákaznický servis</w:t>
      </w:r>
      <w:r w:rsidR="00957FA0">
        <w:rPr>
          <w:rFonts w:ascii="Tahoma" w:hAnsi="Tahoma" w:cs="Tahoma"/>
          <w:sz w:val="22"/>
          <w:szCs w:val="22"/>
        </w:rPr>
        <w:t xml:space="preserve"> CCS</w:t>
      </w:r>
      <w:r w:rsidRPr="00241F47">
        <w:rPr>
          <w:rFonts w:ascii="Tahoma" w:hAnsi="Tahoma" w:cs="Tahoma"/>
          <w:sz w:val="22"/>
          <w:szCs w:val="22"/>
        </w:rPr>
        <w:t>, stahování</w:t>
      </w:r>
      <w:r w:rsidR="00957FA0">
        <w:rPr>
          <w:rFonts w:ascii="Tahoma" w:hAnsi="Tahoma" w:cs="Tahoma"/>
          <w:sz w:val="22"/>
          <w:szCs w:val="22"/>
        </w:rPr>
        <w:t>,</w:t>
      </w:r>
      <w:r w:rsidRPr="00241F47">
        <w:rPr>
          <w:rFonts w:ascii="Tahoma" w:hAnsi="Tahoma" w:cs="Tahoma"/>
          <w:sz w:val="22"/>
          <w:szCs w:val="22"/>
        </w:rPr>
        <w:t xml:space="preserve"> zasílání dat ve formátu PDF,</w:t>
      </w:r>
      <w:r>
        <w:rPr>
          <w:rFonts w:ascii="Tahoma" w:hAnsi="Tahoma" w:cs="Tahoma"/>
          <w:sz w:val="22"/>
          <w:szCs w:val="22"/>
        </w:rPr>
        <w:t xml:space="preserve"> </w:t>
      </w:r>
      <w:r w:rsidRPr="00241F47">
        <w:rPr>
          <w:rFonts w:ascii="Tahoma" w:hAnsi="Tahoma" w:cs="Tahoma"/>
          <w:sz w:val="22"/>
          <w:szCs w:val="22"/>
        </w:rPr>
        <w:t>TXT,</w:t>
      </w:r>
      <w:r>
        <w:rPr>
          <w:rFonts w:ascii="Tahoma" w:hAnsi="Tahoma" w:cs="Tahoma"/>
          <w:sz w:val="22"/>
          <w:szCs w:val="22"/>
        </w:rPr>
        <w:t xml:space="preserve"> </w:t>
      </w:r>
      <w:r w:rsidRPr="00241F47">
        <w:rPr>
          <w:rFonts w:ascii="Tahoma" w:hAnsi="Tahoma" w:cs="Tahoma"/>
          <w:sz w:val="22"/>
          <w:szCs w:val="22"/>
        </w:rPr>
        <w:t>CSV</w:t>
      </w:r>
      <w:r>
        <w:rPr>
          <w:rFonts w:ascii="Tahoma" w:hAnsi="Tahoma" w:cs="Tahoma"/>
          <w:sz w:val="22"/>
          <w:szCs w:val="22"/>
        </w:rPr>
        <w:t xml:space="preserve"> nebude účtován.</w:t>
      </w:r>
    </w:p>
    <w:p w:rsidR="00E874B6" w:rsidRDefault="00E874B6" w:rsidP="00E874B6">
      <w:pPr>
        <w:pStyle w:val="Odstavecseseznamem"/>
        <w:rPr>
          <w:rFonts w:ascii="Tahoma" w:hAnsi="Tahoma" w:cs="Tahoma"/>
        </w:rPr>
      </w:pPr>
    </w:p>
    <w:p w:rsidR="00EB7D3A" w:rsidRDefault="00EB7D3A" w:rsidP="00EB7D3A">
      <w:pPr>
        <w:numPr>
          <w:ilvl w:val="0"/>
          <w:numId w:val="3"/>
        </w:numPr>
        <w:tabs>
          <w:tab w:val="num" w:pos="540"/>
        </w:tabs>
        <w:jc w:val="both"/>
        <w:rPr>
          <w:rFonts w:ascii="Tahoma" w:hAnsi="Tahoma" w:cs="Tahoma"/>
          <w:sz w:val="22"/>
          <w:szCs w:val="22"/>
        </w:rPr>
      </w:pPr>
      <w:r w:rsidRPr="009A2414">
        <w:rPr>
          <w:rFonts w:ascii="Tahoma" w:hAnsi="Tahoma" w:cs="Tahoma"/>
          <w:sz w:val="22"/>
          <w:szCs w:val="22"/>
        </w:rPr>
        <w:t xml:space="preserve">Servisní měsíční poplatek za kartu CCS ve smyslu platného Ceníku služeb </w:t>
      </w:r>
      <w:r w:rsidR="00A72230">
        <w:rPr>
          <w:rFonts w:ascii="Tahoma" w:hAnsi="Tahoma" w:cs="Tahoma"/>
          <w:sz w:val="22"/>
          <w:szCs w:val="22"/>
        </w:rPr>
        <w:t xml:space="preserve">se upravuje na 0,15 Kč/ litr PHM + </w:t>
      </w:r>
      <w:proofErr w:type="gramStart"/>
      <w:r w:rsidR="00A72230">
        <w:rPr>
          <w:rFonts w:ascii="Tahoma" w:hAnsi="Tahoma" w:cs="Tahoma"/>
          <w:sz w:val="22"/>
          <w:szCs w:val="22"/>
        </w:rPr>
        <w:t>1,5%</w:t>
      </w:r>
      <w:proofErr w:type="gramEnd"/>
      <w:r w:rsidR="00A72230">
        <w:rPr>
          <w:rFonts w:ascii="Tahoma" w:hAnsi="Tahoma" w:cs="Tahoma"/>
          <w:sz w:val="22"/>
          <w:szCs w:val="22"/>
        </w:rPr>
        <w:t xml:space="preserve"> ostatní zboží</w:t>
      </w:r>
      <w:r w:rsidRPr="009A2414">
        <w:rPr>
          <w:rFonts w:ascii="Tahoma" w:hAnsi="Tahoma" w:cs="Tahoma"/>
          <w:sz w:val="22"/>
          <w:szCs w:val="22"/>
        </w:rPr>
        <w:t>.</w:t>
      </w:r>
    </w:p>
    <w:p w:rsidR="005E6DDC" w:rsidRDefault="005E6DDC" w:rsidP="005E6DDC">
      <w:pPr>
        <w:pStyle w:val="Odstavecseseznamem"/>
        <w:rPr>
          <w:rFonts w:ascii="Tahoma" w:hAnsi="Tahoma" w:cs="Tahoma"/>
        </w:rPr>
      </w:pPr>
    </w:p>
    <w:p w:rsidR="005E6DDC" w:rsidRPr="005E6DDC" w:rsidRDefault="005E6DDC" w:rsidP="005E6DDC">
      <w:pPr>
        <w:tabs>
          <w:tab w:val="num" w:pos="540"/>
        </w:tabs>
        <w:ind w:left="360"/>
        <w:jc w:val="both"/>
        <w:rPr>
          <w:rFonts w:ascii="Tahoma" w:hAnsi="Tahoma" w:cs="Tahoma"/>
          <w:b/>
          <w:bCs/>
          <w:sz w:val="22"/>
          <w:szCs w:val="22"/>
        </w:rPr>
      </w:pPr>
      <w:r w:rsidRPr="005E6DDC">
        <w:rPr>
          <w:rFonts w:ascii="Tahoma" w:hAnsi="Tahoma" w:cs="Tahoma"/>
          <w:b/>
          <w:bCs/>
          <w:sz w:val="22"/>
          <w:szCs w:val="22"/>
        </w:rPr>
        <w:t>Služba CCS Carnet</w:t>
      </w:r>
    </w:p>
    <w:p w:rsidR="00161AB5" w:rsidRDefault="00161AB5" w:rsidP="00A72230">
      <w:pPr>
        <w:pStyle w:val="Odstavecseseznamem"/>
        <w:ind w:left="0"/>
        <w:rPr>
          <w:rFonts w:ascii="Tahoma" w:hAnsi="Tahoma" w:cs="Tahoma"/>
        </w:rPr>
      </w:pPr>
    </w:p>
    <w:p w:rsidR="00161AB5" w:rsidRDefault="00161AB5" w:rsidP="00161AB5">
      <w:pPr>
        <w:numPr>
          <w:ilvl w:val="0"/>
          <w:numId w:val="3"/>
        </w:numPr>
        <w:tabs>
          <w:tab w:val="num" w:pos="540"/>
        </w:tabs>
        <w:jc w:val="both"/>
        <w:rPr>
          <w:rFonts w:ascii="Tahoma" w:hAnsi="Tahoma" w:cs="Tahoma"/>
          <w:sz w:val="22"/>
          <w:szCs w:val="22"/>
        </w:rPr>
      </w:pPr>
      <w:r w:rsidRPr="00161AB5">
        <w:rPr>
          <w:rFonts w:ascii="Tahoma" w:hAnsi="Tahoma" w:cs="Tahoma"/>
          <w:sz w:val="22"/>
          <w:szCs w:val="22"/>
        </w:rPr>
        <w:t xml:space="preserve">Smluvní strany shodně konstatují, že Zákazník na základě objednávek využívá i produkt CCS Carnet poskytovaný společností CCS. Společnost CCS se zavazuje </w:t>
      </w:r>
      <w:r>
        <w:rPr>
          <w:rFonts w:ascii="Tahoma" w:hAnsi="Tahoma" w:cs="Tahoma"/>
          <w:sz w:val="22"/>
          <w:szCs w:val="22"/>
        </w:rPr>
        <w:t xml:space="preserve">po dobu trvání této smlouvy </w:t>
      </w:r>
      <w:r w:rsidRPr="00161AB5">
        <w:rPr>
          <w:rFonts w:ascii="Tahoma" w:hAnsi="Tahoma" w:cs="Tahoma"/>
          <w:sz w:val="22"/>
          <w:szCs w:val="22"/>
        </w:rPr>
        <w:t xml:space="preserve">poskytovat Zákazníkovi službu CCS Carnet za paušální </w:t>
      </w:r>
      <w:r w:rsidR="00A72230">
        <w:rPr>
          <w:rFonts w:ascii="Tahoma" w:hAnsi="Tahoma" w:cs="Tahoma"/>
          <w:sz w:val="22"/>
          <w:szCs w:val="22"/>
        </w:rPr>
        <w:t>cenu 17</w:t>
      </w:r>
      <w:r w:rsidRPr="00161AB5">
        <w:rPr>
          <w:rFonts w:ascii="Tahoma" w:hAnsi="Tahoma" w:cs="Tahoma"/>
          <w:sz w:val="22"/>
          <w:szCs w:val="22"/>
        </w:rPr>
        <w:t>9,- Kč</w:t>
      </w:r>
      <w:r>
        <w:rPr>
          <w:rFonts w:ascii="Tahoma" w:hAnsi="Tahoma" w:cs="Tahoma"/>
          <w:sz w:val="22"/>
          <w:szCs w:val="22"/>
        </w:rPr>
        <w:t xml:space="preserve"> bez DPH</w:t>
      </w:r>
      <w:r w:rsidRPr="00161AB5">
        <w:rPr>
          <w:rFonts w:ascii="Tahoma" w:hAnsi="Tahoma" w:cs="Tahoma"/>
          <w:sz w:val="22"/>
          <w:szCs w:val="22"/>
        </w:rPr>
        <w:t>/vozidlo/měsíc</w:t>
      </w:r>
      <w:r w:rsidR="005E6DDC">
        <w:rPr>
          <w:rFonts w:ascii="Tahoma" w:hAnsi="Tahoma" w:cs="Tahoma"/>
          <w:sz w:val="22"/>
          <w:szCs w:val="22"/>
        </w:rPr>
        <w:t xml:space="preserve"> a dodávat HW jednotky za 1,- Kč, včetně montáže, pokud bude prováděna montáž alespoň </w:t>
      </w:r>
      <w:r w:rsidR="00A15B2B">
        <w:rPr>
          <w:rFonts w:ascii="Tahoma" w:hAnsi="Tahoma" w:cs="Tahoma"/>
          <w:sz w:val="22"/>
          <w:szCs w:val="22"/>
        </w:rPr>
        <w:t>2</w:t>
      </w:r>
      <w:r w:rsidR="005E6DDC">
        <w:rPr>
          <w:rFonts w:ascii="Tahoma" w:hAnsi="Tahoma" w:cs="Tahoma"/>
          <w:sz w:val="22"/>
          <w:szCs w:val="22"/>
        </w:rPr>
        <w:t xml:space="preserve"> HW jednotek na jednom místě v jeden den</w:t>
      </w:r>
      <w:r w:rsidR="00A15B2B">
        <w:rPr>
          <w:rFonts w:ascii="Tahoma" w:hAnsi="Tahoma" w:cs="Tahoma"/>
          <w:sz w:val="22"/>
          <w:szCs w:val="22"/>
        </w:rPr>
        <w:t>,</w:t>
      </w:r>
      <w:r w:rsidR="005E6DDC">
        <w:rPr>
          <w:rFonts w:ascii="Tahoma" w:hAnsi="Tahoma" w:cs="Tahoma"/>
          <w:sz w:val="22"/>
          <w:szCs w:val="22"/>
        </w:rPr>
        <w:t xml:space="preserve"> </w:t>
      </w:r>
      <w:r w:rsidR="00A15B2B">
        <w:rPr>
          <w:rFonts w:ascii="Tahoma" w:hAnsi="Tahoma" w:cs="Tahoma"/>
          <w:sz w:val="22"/>
          <w:szCs w:val="22"/>
        </w:rPr>
        <w:t>j</w:t>
      </w:r>
      <w:r w:rsidR="005E6DDC">
        <w:rPr>
          <w:rFonts w:ascii="Tahoma" w:hAnsi="Tahoma" w:cs="Tahoma"/>
          <w:sz w:val="22"/>
          <w:szCs w:val="22"/>
        </w:rPr>
        <w:t xml:space="preserve">inak je CCS oprávněna účtovat </w:t>
      </w:r>
      <w:r w:rsidR="00A15B2B">
        <w:rPr>
          <w:rFonts w:ascii="Tahoma" w:hAnsi="Tahoma" w:cs="Tahoma"/>
          <w:sz w:val="22"/>
          <w:szCs w:val="22"/>
        </w:rPr>
        <w:t>za montáž náklady dopravy technika ve výši 12,90 Kč/km.</w:t>
      </w:r>
      <w:r w:rsidR="005E6DDC">
        <w:rPr>
          <w:rFonts w:ascii="Tahoma" w:hAnsi="Tahoma" w:cs="Tahoma"/>
          <w:sz w:val="22"/>
          <w:szCs w:val="22"/>
        </w:rPr>
        <w:t xml:space="preserve"> </w:t>
      </w:r>
    </w:p>
    <w:p w:rsidR="00350F14" w:rsidRDefault="00350F14" w:rsidP="00350F14">
      <w:pPr>
        <w:pStyle w:val="Odstavecseseznamem"/>
        <w:rPr>
          <w:rFonts w:ascii="Tahoma" w:hAnsi="Tahoma" w:cs="Tahoma"/>
        </w:rPr>
      </w:pPr>
    </w:p>
    <w:p w:rsidR="00350F14" w:rsidRDefault="005E6DDC" w:rsidP="00161AB5">
      <w:pPr>
        <w:numPr>
          <w:ilvl w:val="0"/>
          <w:numId w:val="3"/>
        </w:numPr>
        <w:tabs>
          <w:tab w:val="num" w:pos="540"/>
        </w:tabs>
        <w:jc w:val="both"/>
        <w:rPr>
          <w:rFonts w:ascii="Tahoma" w:hAnsi="Tahoma" w:cs="Tahoma"/>
          <w:sz w:val="22"/>
          <w:szCs w:val="22"/>
        </w:rPr>
      </w:pPr>
      <w:r w:rsidRPr="005E6DDC">
        <w:rPr>
          <w:rFonts w:ascii="Tahoma" w:hAnsi="Tahoma" w:cs="Tahoma"/>
          <w:sz w:val="22"/>
          <w:szCs w:val="22"/>
        </w:rPr>
        <w:t xml:space="preserve">Odběratel se zavazuje ke všem HW jednotkám dodávaným za 1,- Kč dle této Smlouvy objednávat a využívat Službu po dobu alespoň </w:t>
      </w:r>
      <w:r w:rsidR="00A15B2B">
        <w:rPr>
          <w:rFonts w:ascii="Tahoma" w:hAnsi="Tahoma" w:cs="Tahoma"/>
          <w:sz w:val="22"/>
          <w:szCs w:val="22"/>
        </w:rPr>
        <w:t>48</w:t>
      </w:r>
      <w:r w:rsidRPr="005E6DDC">
        <w:rPr>
          <w:rFonts w:ascii="Tahoma" w:hAnsi="Tahoma" w:cs="Tahoma"/>
          <w:sz w:val="22"/>
          <w:szCs w:val="22"/>
        </w:rPr>
        <w:t xml:space="preserve"> měsíců. Pokud Odběratel nedodrží závazek využívat Službu po dobu alespoň </w:t>
      </w:r>
      <w:r w:rsidR="00A15B2B">
        <w:rPr>
          <w:rFonts w:ascii="Tahoma" w:hAnsi="Tahoma" w:cs="Tahoma"/>
          <w:sz w:val="22"/>
          <w:szCs w:val="22"/>
        </w:rPr>
        <w:t>48</w:t>
      </w:r>
      <w:r w:rsidRPr="005E6DDC">
        <w:rPr>
          <w:rFonts w:ascii="Tahoma" w:hAnsi="Tahoma" w:cs="Tahoma"/>
          <w:sz w:val="22"/>
          <w:szCs w:val="22"/>
        </w:rPr>
        <w:t xml:space="preserve"> měsíců pro každou HW jednotku dodanou za 1,- Kč, bere na vědomí, že Dodavatel je oprávněn účtovat smluvní pokutu ve výši měsíční ceny Služby pro jednu jednotku vynásobenou počtem měsíců zbývajících do uplynutí </w:t>
      </w:r>
      <w:r w:rsidR="00A15B2B">
        <w:rPr>
          <w:rFonts w:ascii="Tahoma" w:hAnsi="Tahoma" w:cs="Tahoma"/>
          <w:sz w:val="22"/>
          <w:szCs w:val="22"/>
        </w:rPr>
        <w:t>48</w:t>
      </w:r>
      <w:r w:rsidRPr="005E6DDC">
        <w:rPr>
          <w:rFonts w:ascii="Tahoma" w:hAnsi="Tahoma" w:cs="Tahoma"/>
          <w:sz w:val="22"/>
          <w:szCs w:val="22"/>
        </w:rPr>
        <w:t xml:space="preserve"> měsíců využívání Služby pro danou jednotku.</w:t>
      </w:r>
      <w:r w:rsidR="00A15B2B">
        <w:rPr>
          <w:rFonts w:ascii="Tahoma" w:hAnsi="Tahoma" w:cs="Tahoma"/>
          <w:sz w:val="22"/>
          <w:szCs w:val="22"/>
        </w:rPr>
        <w:t xml:space="preserve"> Toto ustanovení nadále platí i v případě ukončení platnosti této smlouvy.</w:t>
      </w:r>
    </w:p>
    <w:p w:rsidR="00F84BCD" w:rsidRDefault="00F84BCD" w:rsidP="00F84BCD">
      <w:pPr>
        <w:pStyle w:val="Odstavecseseznamem"/>
        <w:rPr>
          <w:rFonts w:ascii="Tahoma" w:hAnsi="Tahoma" w:cs="Tahoma"/>
        </w:rPr>
      </w:pPr>
    </w:p>
    <w:p w:rsidR="00F84BCD" w:rsidRDefault="00F84BCD" w:rsidP="00161AB5">
      <w:pPr>
        <w:numPr>
          <w:ilvl w:val="0"/>
          <w:numId w:val="3"/>
        </w:numPr>
        <w:tabs>
          <w:tab w:val="num" w:pos="54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Všechny ceny v této smlouvě jsou uváděny bez DPH, která k nim bude aplikována dle platných právních předpisů.</w:t>
      </w:r>
    </w:p>
    <w:p w:rsidR="00EB7D3A" w:rsidRDefault="00EB7D3A" w:rsidP="00EB7D3A">
      <w:pPr>
        <w:pStyle w:val="Odstavecseseznamem"/>
        <w:rPr>
          <w:rFonts w:ascii="Tahoma" w:hAnsi="Tahoma" w:cs="Tahoma"/>
        </w:rPr>
      </w:pPr>
    </w:p>
    <w:p w:rsidR="00947B4B" w:rsidRDefault="00947B4B" w:rsidP="00947B4B">
      <w:pPr>
        <w:pStyle w:val="Odstavecseseznamem"/>
        <w:rPr>
          <w:rFonts w:ascii="Tahoma" w:hAnsi="Tahoma" w:cs="Tahoma"/>
        </w:rPr>
      </w:pPr>
    </w:p>
    <w:p w:rsidR="00CB0926" w:rsidRPr="00D71EDB" w:rsidRDefault="00CB0926" w:rsidP="00CB0926">
      <w:pPr>
        <w:pStyle w:val="Nadpis3"/>
        <w:rPr>
          <w:rFonts w:cs="Tahoma"/>
          <w:szCs w:val="22"/>
        </w:rPr>
      </w:pPr>
      <w:r w:rsidRPr="00D71EDB">
        <w:rPr>
          <w:rFonts w:cs="Tahoma"/>
          <w:szCs w:val="22"/>
        </w:rPr>
        <w:t xml:space="preserve">                                                    III. Ostatní ustanovení</w:t>
      </w:r>
    </w:p>
    <w:p w:rsidR="00CB0926" w:rsidRPr="00403AAB" w:rsidRDefault="00CB0926" w:rsidP="00CB0926">
      <w:pPr>
        <w:pStyle w:val="Nadpis3"/>
        <w:rPr>
          <w:b w:val="0"/>
        </w:rPr>
      </w:pPr>
      <w:r w:rsidRPr="00045F47">
        <w:rPr>
          <w:rFonts w:cs="Tahoma"/>
          <w:b w:val="0"/>
          <w:szCs w:val="22"/>
        </w:rPr>
        <w:t>Tato smlouva je považována za přísně důvěrnou, přičemž sdělení jejího obsahu třetí osobě je možné jen po předchozím písemném odsouhlasení druhé smluvní strany.</w:t>
      </w:r>
      <w:r w:rsidRPr="00403AAB">
        <w:rPr>
          <w:rFonts w:cs="Tahoma"/>
          <w:b w:val="0"/>
          <w:szCs w:val="22"/>
        </w:rPr>
        <w:t xml:space="preserve"> V případě porušení </w:t>
      </w:r>
      <w:r w:rsidRPr="00403AAB">
        <w:rPr>
          <w:b w:val="0"/>
        </w:rPr>
        <w:t>mlčenlivosti je poškozená strana oprávněna požadovat na druhé smluvní straně smluvní pokutu ve výši 5</w:t>
      </w:r>
      <w:r w:rsidR="00FB6278">
        <w:rPr>
          <w:b w:val="0"/>
        </w:rPr>
        <w:t>0</w:t>
      </w:r>
      <w:r w:rsidRPr="00403AAB">
        <w:rPr>
          <w:b w:val="0"/>
        </w:rPr>
        <w:t>.000,- Kč za každé jednotlivé porušení.</w:t>
      </w:r>
      <w:r w:rsidR="008816B3" w:rsidRPr="00403AAB">
        <w:rPr>
          <w:b w:val="0"/>
        </w:rPr>
        <w:t xml:space="preserve"> </w:t>
      </w:r>
    </w:p>
    <w:p w:rsidR="002D15E8" w:rsidRDefault="002D15E8" w:rsidP="00CB0926">
      <w:pPr>
        <w:pStyle w:val="Nadpis3"/>
        <w:rPr>
          <w:rFonts w:cs="Tahoma"/>
          <w:szCs w:val="22"/>
        </w:rPr>
      </w:pPr>
    </w:p>
    <w:p w:rsidR="002D15E8" w:rsidRDefault="002D15E8" w:rsidP="002D15E8"/>
    <w:p w:rsidR="00CB0926" w:rsidRPr="00D71EDB" w:rsidRDefault="00CB0926" w:rsidP="00CB0926">
      <w:pPr>
        <w:pStyle w:val="Nadpis3"/>
        <w:rPr>
          <w:rFonts w:cs="Tahoma"/>
          <w:szCs w:val="22"/>
        </w:rPr>
      </w:pPr>
      <w:r w:rsidRPr="00D71EDB">
        <w:rPr>
          <w:rFonts w:cs="Tahoma"/>
          <w:szCs w:val="22"/>
        </w:rPr>
        <w:t xml:space="preserve">                                              </w:t>
      </w:r>
      <w:r w:rsidR="008816B3">
        <w:rPr>
          <w:rFonts w:cs="Tahoma"/>
          <w:szCs w:val="22"/>
        </w:rPr>
        <w:t>I</w:t>
      </w:r>
      <w:r w:rsidRPr="00D71EDB">
        <w:rPr>
          <w:rFonts w:cs="Tahoma"/>
          <w:szCs w:val="22"/>
        </w:rPr>
        <w:t xml:space="preserve">V. Platnost </w:t>
      </w:r>
      <w:r w:rsidR="003762AB">
        <w:rPr>
          <w:rFonts w:cs="Tahoma"/>
          <w:szCs w:val="22"/>
        </w:rPr>
        <w:t xml:space="preserve">a účinnost </w:t>
      </w:r>
      <w:r w:rsidRPr="00D71EDB">
        <w:rPr>
          <w:rFonts w:cs="Tahoma"/>
          <w:szCs w:val="22"/>
        </w:rPr>
        <w:t>smlouvy</w:t>
      </w:r>
    </w:p>
    <w:p w:rsidR="00992562" w:rsidRPr="00D50C8F" w:rsidRDefault="00992562" w:rsidP="00992562">
      <w:pPr>
        <w:ind w:left="426" w:hanging="426"/>
        <w:jc w:val="both"/>
        <w:rPr>
          <w:rFonts w:ascii="Tahoma" w:hAnsi="Tahoma" w:cs="Tahoma"/>
          <w:color w:val="FF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</w:t>
      </w:r>
      <w:r w:rsidRPr="00D50C8F">
        <w:rPr>
          <w:rFonts w:ascii="Tahoma" w:hAnsi="Tahoma" w:cs="Tahoma"/>
          <w:sz w:val="22"/>
          <w:szCs w:val="22"/>
        </w:rPr>
        <w:t xml:space="preserve">.  Tato smlouva nabývá platnosti dnem podpisu oběma smluvními stranami a účinnosti od </w:t>
      </w:r>
      <w:r w:rsidR="00A72230">
        <w:rPr>
          <w:rFonts w:ascii="Tahoma" w:hAnsi="Tahoma" w:cs="Tahoma"/>
          <w:sz w:val="22"/>
          <w:szCs w:val="22"/>
        </w:rPr>
        <w:t>1.</w:t>
      </w:r>
      <w:r w:rsidR="00F84BCD">
        <w:rPr>
          <w:rFonts w:ascii="Tahoma" w:hAnsi="Tahoma" w:cs="Tahoma"/>
          <w:sz w:val="22"/>
          <w:szCs w:val="22"/>
        </w:rPr>
        <w:t xml:space="preserve"> </w:t>
      </w:r>
      <w:r w:rsidR="00A72230">
        <w:rPr>
          <w:rFonts w:ascii="Tahoma" w:hAnsi="Tahoma" w:cs="Tahoma"/>
          <w:sz w:val="22"/>
          <w:szCs w:val="22"/>
        </w:rPr>
        <w:t>1.</w:t>
      </w:r>
      <w:r w:rsidR="00F84BCD">
        <w:rPr>
          <w:rFonts w:ascii="Tahoma" w:hAnsi="Tahoma" w:cs="Tahoma"/>
          <w:sz w:val="22"/>
          <w:szCs w:val="22"/>
        </w:rPr>
        <w:t xml:space="preserve"> </w:t>
      </w:r>
      <w:r w:rsidR="00A72230">
        <w:rPr>
          <w:rFonts w:ascii="Tahoma" w:hAnsi="Tahoma" w:cs="Tahoma"/>
          <w:sz w:val="22"/>
          <w:szCs w:val="22"/>
        </w:rPr>
        <w:t>2025</w:t>
      </w:r>
      <w:r w:rsidRPr="00D50C8F">
        <w:rPr>
          <w:rFonts w:ascii="Tahoma" w:hAnsi="Tahoma" w:cs="Tahoma"/>
          <w:sz w:val="22"/>
          <w:szCs w:val="22"/>
        </w:rPr>
        <w:t>.</w:t>
      </w:r>
    </w:p>
    <w:p w:rsidR="00992562" w:rsidRPr="00D71EDB" w:rsidRDefault="00992562" w:rsidP="00992562">
      <w:pPr>
        <w:jc w:val="both"/>
        <w:rPr>
          <w:rFonts w:ascii="Tahoma" w:hAnsi="Tahoma" w:cs="Tahoma"/>
          <w:sz w:val="22"/>
          <w:szCs w:val="22"/>
        </w:rPr>
      </w:pPr>
    </w:p>
    <w:p w:rsidR="00FB6278" w:rsidRPr="00562DEA" w:rsidRDefault="00992562" w:rsidP="00FB6278">
      <w:p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562DEA">
        <w:rPr>
          <w:rFonts w:ascii="Tahoma" w:hAnsi="Tahoma" w:cs="Tahoma"/>
          <w:sz w:val="22"/>
          <w:szCs w:val="22"/>
        </w:rPr>
        <w:t xml:space="preserve">2.  </w:t>
      </w:r>
      <w:r w:rsidR="00FB6278" w:rsidRPr="00562DEA">
        <w:rPr>
          <w:rFonts w:ascii="Tahoma" w:hAnsi="Tahoma" w:cs="Tahoma"/>
          <w:sz w:val="22"/>
          <w:szCs w:val="22"/>
        </w:rPr>
        <w:t>Tato smlouva je uzavřena na dobu určitou</w:t>
      </w:r>
      <w:r w:rsidR="00676445" w:rsidRPr="00562DEA">
        <w:rPr>
          <w:rFonts w:ascii="Tahoma" w:hAnsi="Tahoma" w:cs="Tahoma"/>
          <w:sz w:val="22"/>
          <w:szCs w:val="22"/>
        </w:rPr>
        <w:t>,</w:t>
      </w:r>
      <w:r w:rsidR="00F43635" w:rsidRPr="00562DEA">
        <w:rPr>
          <w:rFonts w:ascii="Tahoma" w:hAnsi="Tahoma" w:cs="Tahoma"/>
          <w:sz w:val="22"/>
          <w:szCs w:val="22"/>
        </w:rPr>
        <w:t xml:space="preserve"> s platností od 1.1.2025 do 31.12.2027</w:t>
      </w:r>
      <w:r w:rsidR="00FB6278" w:rsidRPr="00562DEA">
        <w:rPr>
          <w:rFonts w:ascii="Tahoma" w:hAnsi="Tahoma" w:cs="Tahoma"/>
          <w:sz w:val="22"/>
          <w:szCs w:val="22"/>
        </w:rPr>
        <w:t xml:space="preserve">. </w:t>
      </w:r>
    </w:p>
    <w:p w:rsidR="00676445" w:rsidRPr="00562DEA" w:rsidRDefault="00676445" w:rsidP="00FB6278">
      <w:p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562DEA">
        <w:rPr>
          <w:rFonts w:ascii="Tahoma" w:hAnsi="Tahoma" w:cs="Tahoma"/>
          <w:sz w:val="22"/>
          <w:szCs w:val="22"/>
        </w:rPr>
        <w:t xml:space="preserve">3.  Tato smlouva </w:t>
      </w:r>
      <w:proofErr w:type="gramStart"/>
      <w:r w:rsidRPr="00562DEA">
        <w:rPr>
          <w:rFonts w:ascii="Tahoma" w:hAnsi="Tahoma" w:cs="Tahoma"/>
          <w:sz w:val="22"/>
          <w:szCs w:val="22"/>
        </w:rPr>
        <w:t>zaniká :</w:t>
      </w:r>
      <w:proofErr w:type="gramEnd"/>
    </w:p>
    <w:p w:rsidR="00676445" w:rsidRPr="00562DEA" w:rsidRDefault="00676445" w:rsidP="00FB6278">
      <w:p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562DEA">
        <w:rPr>
          <w:rFonts w:ascii="Tahoma" w:hAnsi="Tahoma" w:cs="Tahoma"/>
          <w:sz w:val="22"/>
          <w:szCs w:val="22"/>
        </w:rPr>
        <w:t xml:space="preserve">     a) písemnou dohodou smluvních stran</w:t>
      </w:r>
    </w:p>
    <w:p w:rsidR="00676445" w:rsidRPr="00D71EDB" w:rsidRDefault="00676445" w:rsidP="00FB6278">
      <w:p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562DEA">
        <w:rPr>
          <w:rFonts w:ascii="Tahoma" w:hAnsi="Tahoma" w:cs="Tahoma"/>
          <w:sz w:val="22"/>
          <w:szCs w:val="22"/>
        </w:rPr>
        <w:t xml:space="preserve">     b) písemnou výpovědí, kteroukoliv ze smluvních stran, a to bez udání důvodu, výpovědní lhůta činí 2 měsíce a začíná plynout od prvního dne měsíce následujícího po doručení výpovědi druhé smluvní straně.</w:t>
      </w:r>
    </w:p>
    <w:p w:rsidR="00692355" w:rsidRDefault="00692355" w:rsidP="00CB0926">
      <w:pPr>
        <w:jc w:val="both"/>
        <w:rPr>
          <w:rFonts w:ascii="Tahoma" w:hAnsi="Tahoma" w:cs="Tahoma"/>
          <w:sz w:val="22"/>
          <w:szCs w:val="22"/>
        </w:rPr>
      </w:pPr>
    </w:p>
    <w:p w:rsidR="008B0E4B" w:rsidRDefault="008B0E4B" w:rsidP="00CB0926">
      <w:pPr>
        <w:jc w:val="both"/>
        <w:rPr>
          <w:rFonts w:ascii="Tahoma" w:hAnsi="Tahoma" w:cs="Tahoma"/>
          <w:sz w:val="22"/>
          <w:szCs w:val="22"/>
        </w:rPr>
      </w:pPr>
    </w:p>
    <w:p w:rsidR="00CB0926" w:rsidRPr="00D71EDB" w:rsidRDefault="00CB0926" w:rsidP="00CB0926">
      <w:pPr>
        <w:pStyle w:val="Nadpis3"/>
        <w:rPr>
          <w:rFonts w:cs="Tahoma"/>
          <w:szCs w:val="22"/>
        </w:rPr>
      </w:pPr>
      <w:r w:rsidRPr="00D71EDB">
        <w:rPr>
          <w:rFonts w:cs="Tahoma"/>
          <w:szCs w:val="22"/>
        </w:rPr>
        <w:t xml:space="preserve">                                                   V. Závěrečná ustanovení</w:t>
      </w:r>
    </w:p>
    <w:p w:rsidR="00CA4182" w:rsidRDefault="00CB0926" w:rsidP="00F84BCD">
      <w:p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D71EDB">
        <w:rPr>
          <w:rFonts w:ascii="Tahoma" w:hAnsi="Tahoma" w:cs="Tahoma"/>
          <w:sz w:val="22"/>
          <w:szCs w:val="22"/>
        </w:rPr>
        <w:t>1.</w:t>
      </w:r>
      <w:r w:rsidR="00CA4182" w:rsidRPr="00CA4182">
        <w:rPr>
          <w:rFonts w:ascii="Tahoma" w:hAnsi="Tahoma" w:cs="Tahoma"/>
          <w:sz w:val="22"/>
          <w:szCs w:val="22"/>
        </w:rPr>
        <w:t xml:space="preserve"> </w:t>
      </w:r>
      <w:r w:rsidR="00CA4182">
        <w:rPr>
          <w:rFonts w:ascii="Tahoma" w:hAnsi="Tahoma" w:cs="Tahoma"/>
          <w:sz w:val="22"/>
          <w:szCs w:val="22"/>
        </w:rPr>
        <w:t xml:space="preserve">Tato smlouva ruší a plně nahrazuje jakékoli předchozí ujednání o nadstandardních podmínkách při užívání karet CCS </w:t>
      </w:r>
      <w:r w:rsidR="006B7EB0">
        <w:rPr>
          <w:rFonts w:ascii="Tahoma" w:hAnsi="Tahoma" w:cs="Tahoma"/>
          <w:sz w:val="22"/>
          <w:szCs w:val="22"/>
        </w:rPr>
        <w:t xml:space="preserve">a využívání služby CCS Carnet </w:t>
      </w:r>
      <w:r w:rsidR="00CA4182">
        <w:rPr>
          <w:rFonts w:ascii="Tahoma" w:hAnsi="Tahoma" w:cs="Tahoma"/>
          <w:sz w:val="22"/>
          <w:szCs w:val="22"/>
        </w:rPr>
        <w:t>mezi smluvními stranami</w:t>
      </w:r>
      <w:r w:rsidR="00597B3E">
        <w:rPr>
          <w:rFonts w:ascii="Tahoma" w:hAnsi="Tahoma" w:cs="Tahoma"/>
          <w:sz w:val="22"/>
          <w:szCs w:val="22"/>
        </w:rPr>
        <w:t>, zejména i Smlouvu o dodání zboží a poskytování služby</w:t>
      </w:r>
      <w:r w:rsidR="00CA4182">
        <w:rPr>
          <w:rFonts w:ascii="Tahoma" w:hAnsi="Tahoma" w:cs="Tahoma"/>
          <w:sz w:val="22"/>
          <w:szCs w:val="22"/>
        </w:rPr>
        <w:t xml:space="preserve"> a nadále se stává jediným a komplexním ustanovením o nadstandardních podmínkách při užívání karet CCS</w:t>
      </w:r>
      <w:r w:rsidR="006B7EB0">
        <w:rPr>
          <w:rFonts w:ascii="Tahoma" w:hAnsi="Tahoma" w:cs="Tahoma"/>
          <w:sz w:val="22"/>
          <w:szCs w:val="22"/>
        </w:rPr>
        <w:t xml:space="preserve"> a využívání služby CCS Carnet</w:t>
      </w:r>
      <w:r w:rsidR="00CA4182">
        <w:rPr>
          <w:rFonts w:ascii="Tahoma" w:hAnsi="Tahoma" w:cs="Tahoma"/>
          <w:sz w:val="22"/>
          <w:szCs w:val="22"/>
        </w:rPr>
        <w:t>.</w:t>
      </w:r>
    </w:p>
    <w:p w:rsidR="00CA4182" w:rsidRDefault="00CB0926" w:rsidP="00CB0926">
      <w:pPr>
        <w:jc w:val="both"/>
        <w:rPr>
          <w:rFonts w:ascii="Tahoma" w:hAnsi="Tahoma" w:cs="Tahoma"/>
          <w:sz w:val="22"/>
          <w:szCs w:val="22"/>
        </w:rPr>
      </w:pPr>
      <w:r w:rsidRPr="00D71EDB">
        <w:rPr>
          <w:rFonts w:ascii="Tahoma" w:hAnsi="Tahoma" w:cs="Tahoma"/>
          <w:sz w:val="22"/>
          <w:szCs w:val="22"/>
        </w:rPr>
        <w:t xml:space="preserve"> </w:t>
      </w:r>
    </w:p>
    <w:p w:rsidR="00CB0926" w:rsidRPr="00D71EDB" w:rsidRDefault="00CA4182" w:rsidP="00F84BCD">
      <w:pPr>
        <w:ind w:left="284" w:hanging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2. </w:t>
      </w:r>
      <w:r w:rsidR="00CB0926" w:rsidRPr="00D71EDB">
        <w:rPr>
          <w:rFonts w:ascii="Tahoma" w:hAnsi="Tahoma" w:cs="Tahoma"/>
          <w:sz w:val="22"/>
          <w:szCs w:val="22"/>
        </w:rPr>
        <w:t>Tato smlouva je vyhotovena ve dvou stejnopisech, každý s hodnotou originálu, z nichž každá ze smluvních stran obdrží jeden.</w:t>
      </w:r>
    </w:p>
    <w:p w:rsidR="00CB0926" w:rsidRPr="00D71EDB" w:rsidRDefault="00CB0926" w:rsidP="00F84BCD">
      <w:pPr>
        <w:ind w:left="426" w:hanging="426"/>
        <w:jc w:val="both"/>
        <w:rPr>
          <w:rFonts w:ascii="Tahoma" w:hAnsi="Tahoma" w:cs="Tahoma"/>
          <w:sz w:val="22"/>
          <w:szCs w:val="22"/>
        </w:rPr>
      </w:pPr>
    </w:p>
    <w:p w:rsidR="00CB0926" w:rsidRPr="00D71EDB" w:rsidRDefault="00CA4182" w:rsidP="00F84BCD">
      <w:pPr>
        <w:ind w:left="284" w:hanging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</w:t>
      </w:r>
      <w:r w:rsidR="00CB0926" w:rsidRPr="00D71EDB">
        <w:rPr>
          <w:rFonts w:ascii="Tahoma" w:hAnsi="Tahoma" w:cs="Tahoma"/>
          <w:sz w:val="22"/>
          <w:szCs w:val="22"/>
        </w:rPr>
        <w:t>. Smlouvu lze měnit pouze po vzájemné dohodě obou smluvních stran, a to formou písemných a pořadově očíslovaných dodatků.</w:t>
      </w:r>
      <w:r w:rsidR="003752A5">
        <w:rPr>
          <w:rFonts w:ascii="Tahoma" w:hAnsi="Tahoma" w:cs="Tahoma"/>
          <w:sz w:val="22"/>
          <w:szCs w:val="22"/>
        </w:rPr>
        <w:t xml:space="preserve"> </w:t>
      </w:r>
      <w:r w:rsidR="003752A5" w:rsidRPr="00495EC4">
        <w:rPr>
          <w:rFonts w:ascii="Tahoma" w:hAnsi="Tahoma" w:cs="Tahoma"/>
          <w:sz w:val="22"/>
          <w:szCs w:val="22"/>
        </w:rPr>
        <w:t xml:space="preserve">Smluvní strany vylučují pro účely této </w:t>
      </w:r>
      <w:r w:rsidR="00495EC4">
        <w:rPr>
          <w:rFonts w:ascii="Tahoma" w:hAnsi="Tahoma" w:cs="Tahoma"/>
          <w:sz w:val="22"/>
          <w:szCs w:val="22"/>
        </w:rPr>
        <w:t>s</w:t>
      </w:r>
      <w:r w:rsidR="003752A5" w:rsidRPr="00495EC4">
        <w:rPr>
          <w:rFonts w:ascii="Tahoma" w:hAnsi="Tahoma" w:cs="Tahoma"/>
          <w:sz w:val="22"/>
          <w:szCs w:val="22"/>
        </w:rPr>
        <w:t xml:space="preserve">mlouvy uzavření smlouvy a dodatků k ní v důsledku přijetí nabídky jedné </w:t>
      </w:r>
      <w:r w:rsidR="00495EC4">
        <w:rPr>
          <w:rFonts w:ascii="Tahoma" w:hAnsi="Tahoma" w:cs="Tahoma"/>
          <w:sz w:val="22"/>
          <w:szCs w:val="22"/>
        </w:rPr>
        <w:t>s</w:t>
      </w:r>
      <w:r w:rsidR="003752A5" w:rsidRPr="00495EC4">
        <w:rPr>
          <w:rFonts w:ascii="Tahoma" w:hAnsi="Tahoma" w:cs="Tahoma"/>
          <w:sz w:val="22"/>
          <w:szCs w:val="22"/>
        </w:rPr>
        <w:t xml:space="preserve">mluvní strany druhou </w:t>
      </w:r>
      <w:r w:rsidR="00495EC4">
        <w:rPr>
          <w:rFonts w:ascii="Tahoma" w:hAnsi="Tahoma" w:cs="Tahoma"/>
          <w:sz w:val="22"/>
          <w:szCs w:val="22"/>
        </w:rPr>
        <w:t>s</w:t>
      </w:r>
      <w:r w:rsidR="003752A5" w:rsidRPr="00495EC4">
        <w:rPr>
          <w:rFonts w:ascii="Tahoma" w:hAnsi="Tahoma" w:cs="Tahoma"/>
          <w:sz w:val="22"/>
          <w:szCs w:val="22"/>
        </w:rPr>
        <w:t>mluvní stranou s jakýmikoliv (i nepodstatnými) odchylkami či dodatky.</w:t>
      </w:r>
    </w:p>
    <w:p w:rsidR="00CB0926" w:rsidRPr="00D71EDB" w:rsidRDefault="00CB0926" w:rsidP="00CB0926">
      <w:pPr>
        <w:jc w:val="both"/>
        <w:rPr>
          <w:rFonts w:ascii="Tahoma" w:hAnsi="Tahoma" w:cs="Tahoma"/>
          <w:sz w:val="22"/>
          <w:szCs w:val="22"/>
        </w:rPr>
      </w:pPr>
    </w:p>
    <w:p w:rsidR="00C97431" w:rsidRDefault="00CA4182" w:rsidP="00F84BCD">
      <w:pPr>
        <w:ind w:left="284" w:hanging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4</w:t>
      </w:r>
      <w:r w:rsidR="00C97431">
        <w:rPr>
          <w:rFonts w:ascii="Tahoma" w:hAnsi="Tahoma" w:cs="Tahoma"/>
          <w:sz w:val="22"/>
          <w:szCs w:val="22"/>
        </w:rPr>
        <w:t xml:space="preserve">. </w:t>
      </w:r>
      <w:r w:rsidR="00495EC4">
        <w:rPr>
          <w:rFonts w:ascii="Tahoma" w:hAnsi="Tahoma" w:cs="Tahoma"/>
          <w:sz w:val="22"/>
          <w:szCs w:val="22"/>
        </w:rPr>
        <w:t>Tato smlouva se řídí ustanoveními zákona č. 89/2012 Sb., občanský zákoník (dále jen „Občanský zákoník“).</w:t>
      </w:r>
    </w:p>
    <w:p w:rsidR="00C97431" w:rsidRDefault="00C97431" w:rsidP="00F84BCD">
      <w:pPr>
        <w:ind w:left="284" w:hanging="284"/>
        <w:jc w:val="both"/>
        <w:rPr>
          <w:rFonts w:ascii="Tahoma" w:hAnsi="Tahoma" w:cs="Tahoma"/>
          <w:sz w:val="22"/>
          <w:szCs w:val="22"/>
        </w:rPr>
      </w:pPr>
    </w:p>
    <w:p w:rsidR="00C97431" w:rsidRDefault="00CA4182" w:rsidP="00F84BCD">
      <w:pPr>
        <w:ind w:left="284" w:hanging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5</w:t>
      </w:r>
      <w:r w:rsidR="00C97431">
        <w:rPr>
          <w:rFonts w:ascii="Tahoma" w:hAnsi="Tahoma" w:cs="Tahoma"/>
          <w:sz w:val="22"/>
          <w:szCs w:val="22"/>
        </w:rPr>
        <w:t xml:space="preserve">. </w:t>
      </w:r>
      <w:r w:rsidR="00C97431" w:rsidRPr="00495EC4">
        <w:rPr>
          <w:rFonts w:ascii="Tahoma" w:hAnsi="Tahoma" w:cs="Tahoma"/>
          <w:sz w:val="22"/>
          <w:szCs w:val="22"/>
        </w:rPr>
        <w:t xml:space="preserve">Smluvní strany výslovně ujednaly, že ustanovení této smlouvy jsou sjednána jako oddělitelné části ve smyslu § 576 </w:t>
      </w:r>
      <w:r w:rsidR="00495EC4">
        <w:rPr>
          <w:rFonts w:ascii="Tahoma" w:hAnsi="Tahoma" w:cs="Tahoma"/>
          <w:sz w:val="22"/>
          <w:szCs w:val="22"/>
        </w:rPr>
        <w:t>O</w:t>
      </w:r>
      <w:r w:rsidR="00C97431" w:rsidRPr="00495EC4">
        <w:rPr>
          <w:rFonts w:ascii="Tahoma" w:hAnsi="Tahoma" w:cs="Tahoma"/>
          <w:sz w:val="22"/>
          <w:szCs w:val="22"/>
        </w:rPr>
        <w:t>bčanského zákoníku. Bude-li některé ustanovení této smlouvy shledáno příslušným soudem nebo jiným orgánem zdánlivým, neplatným, neúčinným nebo nevymahatelným, bude takové ustanovení považováno za vypuštěné ze smlouvy a ostatní ustanovení smlouvy budou nadále trvat, pokud lze předpokládat, že by smluvní strany smlouvu uzavřely i bez takového ustanovení, pokud by zdánlivost, neplatnost nebo nevymahatelnost rozpoznaly včas. Smluvní strany v takovém případě bez zbytečného odkladu uzavřou takové dodatky ke smlouvě, které umožní dosažení výsledku stejného, a pokud to není možné, pak co nejbližšího tomu, jakého mělo být dosaženo zdánlivým, neplatným, nebo nevymahatelným ustanovením.</w:t>
      </w:r>
    </w:p>
    <w:p w:rsidR="005578CF" w:rsidRDefault="005578CF" w:rsidP="00F84BCD">
      <w:pPr>
        <w:ind w:left="284" w:hanging="284"/>
        <w:jc w:val="both"/>
        <w:rPr>
          <w:rFonts w:ascii="Tahoma" w:hAnsi="Tahoma" w:cs="Tahoma"/>
          <w:sz w:val="22"/>
          <w:szCs w:val="22"/>
        </w:rPr>
      </w:pPr>
    </w:p>
    <w:p w:rsidR="005578CF" w:rsidRPr="00495EC4" w:rsidRDefault="00CA4182" w:rsidP="00F84BCD">
      <w:pPr>
        <w:ind w:left="284" w:hanging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6</w:t>
      </w:r>
      <w:r w:rsidR="00757871">
        <w:rPr>
          <w:rFonts w:ascii="Tahoma" w:hAnsi="Tahoma" w:cs="Tahoma"/>
          <w:sz w:val="22"/>
          <w:szCs w:val="22"/>
        </w:rPr>
        <w:t xml:space="preserve">. </w:t>
      </w:r>
      <w:r w:rsidR="005578CF" w:rsidRPr="005578CF">
        <w:rPr>
          <w:rFonts w:ascii="Tahoma" w:hAnsi="Tahoma" w:cs="Tahoma"/>
          <w:sz w:val="22"/>
          <w:szCs w:val="22"/>
        </w:rPr>
        <w:t xml:space="preserve">Smluvní strany potvrzují, že všechny doložky obsažené v této smlouvě jsou jim srozumitelné, nejsou pro ně nevýhodné a smlouva se neodchyluje od obvyklých podmínek ujednávaných v obdobných případech. Smluvní strany se dohodly, že pro smluvní vztahy založené smlouvou se nepoužijí ustanovení § </w:t>
      </w:r>
      <w:smartTag w:uri="urn:schemas-microsoft-com:office:smarttags" w:element="metricconverter">
        <w:smartTagPr>
          <w:attr w:name="ProductID" w:val="1799 a"/>
        </w:smartTagPr>
        <w:r w:rsidR="005578CF" w:rsidRPr="005578CF">
          <w:rPr>
            <w:rFonts w:ascii="Tahoma" w:hAnsi="Tahoma" w:cs="Tahoma"/>
            <w:sz w:val="22"/>
            <w:szCs w:val="22"/>
          </w:rPr>
          <w:t>1799 a</w:t>
        </w:r>
      </w:smartTag>
      <w:r w:rsidR="005578CF" w:rsidRPr="005578CF">
        <w:rPr>
          <w:rFonts w:ascii="Tahoma" w:hAnsi="Tahoma" w:cs="Tahoma"/>
          <w:sz w:val="22"/>
          <w:szCs w:val="22"/>
        </w:rPr>
        <w:t xml:space="preserve"> § 1800 </w:t>
      </w:r>
      <w:r w:rsidR="005578CF">
        <w:rPr>
          <w:rFonts w:ascii="Tahoma" w:hAnsi="Tahoma" w:cs="Tahoma"/>
          <w:sz w:val="22"/>
          <w:szCs w:val="22"/>
        </w:rPr>
        <w:t>O</w:t>
      </w:r>
      <w:r w:rsidR="005578CF" w:rsidRPr="005578CF">
        <w:rPr>
          <w:rFonts w:ascii="Tahoma" w:hAnsi="Tahoma" w:cs="Tahoma"/>
          <w:sz w:val="22"/>
          <w:szCs w:val="22"/>
        </w:rPr>
        <w:t xml:space="preserve">bčanského zákoníku, která upravují odkazy na obchodní podmínky ve formulářových smlouvách, definují nesrozumitelné nebo zvláště nevýhodné doložky a podmínky jejich platnosti.  </w:t>
      </w:r>
    </w:p>
    <w:p w:rsidR="00C97431" w:rsidRPr="00D71EDB" w:rsidRDefault="00C97431" w:rsidP="00F84BCD">
      <w:pPr>
        <w:ind w:left="284" w:hanging="284"/>
        <w:jc w:val="both"/>
        <w:rPr>
          <w:rFonts w:ascii="Tahoma" w:hAnsi="Tahoma" w:cs="Tahoma"/>
          <w:sz w:val="22"/>
          <w:szCs w:val="22"/>
        </w:rPr>
      </w:pPr>
    </w:p>
    <w:p w:rsidR="00CB0926" w:rsidRDefault="00CA4182" w:rsidP="00F84BCD">
      <w:pPr>
        <w:ind w:left="284" w:hanging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7</w:t>
      </w:r>
      <w:r w:rsidR="00810377">
        <w:rPr>
          <w:rFonts w:ascii="Tahoma" w:hAnsi="Tahoma" w:cs="Tahoma"/>
          <w:sz w:val="22"/>
          <w:szCs w:val="22"/>
        </w:rPr>
        <w:t xml:space="preserve">. </w:t>
      </w:r>
      <w:r w:rsidR="00810377" w:rsidRPr="006F1B1A">
        <w:rPr>
          <w:rFonts w:ascii="Tahoma" w:hAnsi="Tahoma" w:cs="Tahoma"/>
          <w:sz w:val="22"/>
          <w:szCs w:val="22"/>
        </w:rPr>
        <w:t xml:space="preserve">Strany se dohodly a svým podpisem potvrzují, že změna okolností není důvodem k ukončení této Smlouvy. </w:t>
      </w:r>
      <w:r w:rsidR="00810377">
        <w:rPr>
          <w:rFonts w:ascii="Tahoma" w:hAnsi="Tahoma" w:cs="Tahoma"/>
          <w:sz w:val="22"/>
          <w:szCs w:val="22"/>
        </w:rPr>
        <w:t xml:space="preserve">Zákazník </w:t>
      </w:r>
      <w:r w:rsidR="00810377" w:rsidRPr="006F1B1A">
        <w:rPr>
          <w:rFonts w:ascii="Tahoma" w:hAnsi="Tahoma" w:cs="Tahoma"/>
          <w:sz w:val="22"/>
          <w:szCs w:val="22"/>
        </w:rPr>
        <w:t xml:space="preserve">na sebe přebírá nebezpečí změny okolností ve smyslu § 1765 </w:t>
      </w:r>
      <w:r w:rsidR="00495EC4">
        <w:rPr>
          <w:rFonts w:ascii="Tahoma" w:hAnsi="Tahoma" w:cs="Tahoma"/>
          <w:sz w:val="22"/>
          <w:szCs w:val="22"/>
        </w:rPr>
        <w:t>O</w:t>
      </w:r>
      <w:r w:rsidR="00810377" w:rsidRPr="006F1B1A">
        <w:rPr>
          <w:rFonts w:ascii="Tahoma" w:hAnsi="Tahoma" w:cs="Tahoma"/>
          <w:sz w:val="22"/>
          <w:szCs w:val="22"/>
        </w:rPr>
        <w:t>bčanského zákoníku.</w:t>
      </w:r>
    </w:p>
    <w:p w:rsidR="004259C3" w:rsidRDefault="004259C3" w:rsidP="00F84BCD">
      <w:pPr>
        <w:ind w:left="284" w:hanging="284"/>
        <w:jc w:val="both"/>
        <w:rPr>
          <w:rFonts w:ascii="Tahoma" w:hAnsi="Tahoma" w:cs="Tahoma"/>
          <w:sz w:val="22"/>
          <w:szCs w:val="22"/>
        </w:rPr>
      </w:pPr>
    </w:p>
    <w:p w:rsidR="004259C3" w:rsidRPr="00D71EDB" w:rsidRDefault="00CA4182" w:rsidP="00F84BCD">
      <w:pPr>
        <w:ind w:left="284" w:hanging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8</w:t>
      </w:r>
      <w:r w:rsidR="004259C3">
        <w:rPr>
          <w:rFonts w:ascii="Tahoma" w:hAnsi="Tahoma" w:cs="Tahoma"/>
          <w:sz w:val="22"/>
          <w:szCs w:val="22"/>
        </w:rPr>
        <w:t xml:space="preserve">. </w:t>
      </w:r>
      <w:r w:rsidR="007E1B89" w:rsidRPr="006C2243">
        <w:rPr>
          <w:rFonts w:ascii="Tahoma" w:hAnsi="Tahoma" w:cs="Tahoma"/>
          <w:sz w:val="22"/>
          <w:szCs w:val="22"/>
        </w:rPr>
        <w:t>Smluvní strany se dohodly, že obchodní zvyklosti nemají přednost před žádným ustanovením zákona, a to ani před ustanovením zákona, jež nemá donucující účinky.</w:t>
      </w:r>
    </w:p>
    <w:p w:rsidR="0027580A" w:rsidRDefault="0027580A" w:rsidP="00F84BCD">
      <w:pPr>
        <w:pStyle w:val="Zkladntext"/>
        <w:ind w:left="284" w:hanging="284"/>
        <w:rPr>
          <w:rFonts w:ascii="Tahoma" w:hAnsi="Tahoma" w:cs="Tahoma"/>
          <w:sz w:val="22"/>
          <w:szCs w:val="22"/>
        </w:rPr>
      </w:pPr>
    </w:p>
    <w:p w:rsidR="003C0DD1" w:rsidRDefault="00CA4182" w:rsidP="00F84BCD">
      <w:pPr>
        <w:pStyle w:val="Zkladntext"/>
        <w:ind w:left="284" w:hanging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9</w:t>
      </w:r>
      <w:r w:rsidR="00CB0926" w:rsidRPr="00D71EDB">
        <w:rPr>
          <w:rFonts w:ascii="Tahoma" w:hAnsi="Tahoma" w:cs="Tahoma"/>
          <w:sz w:val="22"/>
          <w:szCs w:val="22"/>
        </w:rPr>
        <w:t>. Smluvní strany prohlašují, že si tuto smlouvu řádně přečetly, že byla uzavřena po vzájemném projednání, určitě, vážně a srozumitelně, dle jejich pravé a svobodné vůle, nikoliv v tísni nebo za nápadně nevýhodných podmínek, což potvrzují připojením svých vlastnoručních podpisů.</w:t>
      </w:r>
    </w:p>
    <w:p w:rsidR="003C0DD1" w:rsidRDefault="003C0DD1" w:rsidP="003C0DD1">
      <w:pPr>
        <w:pStyle w:val="Zkladntext"/>
        <w:rPr>
          <w:rFonts w:ascii="Tahoma" w:hAnsi="Tahoma" w:cs="Tahoma"/>
          <w:sz w:val="22"/>
          <w:szCs w:val="22"/>
        </w:rPr>
      </w:pPr>
    </w:p>
    <w:p w:rsidR="00CB0926" w:rsidRDefault="00CB0926" w:rsidP="00CB0926">
      <w:pPr>
        <w:jc w:val="both"/>
        <w:rPr>
          <w:rFonts w:ascii="Tahoma" w:hAnsi="Tahoma" w:cs="Tahoma"/>
          <w:sz w:val="22"/>
          <w:szCs w:val="22"/>
        </w:rPr>
      </w:pPr>
    </w:p>
    <w:p w:rsidR="00006DFD" w:rsidRDefault="00006DFD" w:rsidP="00CB0926">
      <w:pPr>
        <w:jc w:val="both"/>
        <w:rPr>
          <w:rFonts w:ascii="Tahoma" w:hAnsi="Tahoma" w:cs="Tahoma"/>
          <w:sz w:val="22"/>
          <w:szCs w:val="22"/>
        </w:rPr>
      </w:pPr>
    </w:p>
    <w:p w:rsidR="00006DFD" w:rsidRDefault="006740AB" w:rsidP="00E12B56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</w:t>
      </w:r>
      <w:r w:rsidR="00E12B56" w:rsidRPr="00915223">
        <w:rPr>
          <w:rFonts w:ascii="Tahoma" w:hAnsi="Tahoma" w:cs="Tahoma"/>
          <w:sz w:val="22"/>
          <w:szCs w:val="22"/>
        </w:rPr>
        <w:t xml:space="preserve"> Praze dne</w:t>
      </w:r>
      <w:r w:rsidR="00F84BCD">
        <w:rPr>
          <w:rFonts w:ascii="Tahoma" w:hAnsi="Tahoma" w:cs="Tahoma"/>
          <w:sz w:val="22"/>
          <w:szCs w:val="22"/>
        </w:rPr>
        <w:t xml:space="preserve"> 27. 12. 2024</w:t>
      </w:r>
      <w:r w:rsidR="00006DFD">
        <w:rPr>
          <w:rFonts w:ascii="Tahoma" w:hAnsi="Tahoma" w:cs="Tahoma"/>
          <w:sz w:val="22"/>
          <w:szCs w:val="22"/>
        </w:rPr>
        <w:tab/>
      </w:r>
      <w:r w:rsidR="00006DFD">
        <w:rPr>
          <w:rFonts w:ascii="Tahoma" w:hAnsi="Tahoma" w:cs="Tahoma"/>
          <w:sz w:val="22"/>
          <w:szCs w:val="22"/>
        </w:rPr>
        <w:tab/>
      </w:r>
      <w:r w:rsidR="00006DFD">
        <w:rPr>
          <w:rFonts w:ascii="Tahoma" w:hAnsi="Tahoma" w:cs="Tahoma"/>
          <w:sz w:val="22"/>
          <w:szCs w:val="22"/>
        </w:rPr>
        <w:tab/>
        <w:t xml:space="preserve">         V </w:t>
      </w:r>
      <w:r w:rsidR="00A72230">
        <w:rPr>
          <w:rFonts w:ascii="Tahoma" w:hAnsi="Tahoma" w:cs="Tahoma"/>
          <w:sz w:val="22"/>
          <w:szCs w:val="22"/>
        </w:rPr>
        <w:t>Opavě</w:t>
      </w:r>
      <w:r w:rsidR="00006DFD">
        <w:rPr>
          <w:rFonts w:ascii="Tahoma" w:hAnsi="Tahoma" w:cs="Tahoma"/>
          <w:sz w:val="22"/>
          <w:szCs w:val="22"/>
        </w:rPr>
        <w:t xml:space="preserve"> dne</w:t>
      </w:r>
      <w:r w:rsidR="00F84BCD">
        <w:rPr>
          <w:rFonts w:ascii="Tahoma" w:hAnsi="Tahoma" w:cs="Tahoma"/>
          <w:sz w:val="22"/>
          <w:szCs w:val="22"/>
        </w:rPr>
        <w:t xml:space="preserve"> 30. 12. 2024</w:t>
      </w:r>
      <w:r w:rsidR="00006DFD">
        <w:rPr>
          <w:rFonts w:ascii="Tahoma" w:hAnsi="Tahoma" w:cs="Tahoma"/>
          <w:sz w:val="22"/>
          <w:szCs w:val="22"/>
        </w:rPr>
        <w:t xml:space="preserve"> </w:t>
      </w:r>
    </w:p>
    <w:p w:rsidR="00006DFD" w:rsidRDefault="00006DFD" w:rsidP="00E12B56">
      <w:pPr>
        <w:jc w:val="both"/>
        <w:rPr>
          <w:rFonts w:ascii="Tahoma" w:hAnsi="Tahoma" w:cs="Tahoma"/>
          <w:sz w:val="22"/>
          <w:szCs w:val="22"/>
        </w:rPr>
      </w:pPr>
    </w:p>
    <w:p w:rsidR="00006DFD" w:rsidRDefault="00006DFD" w:rsidP="00E12B56">
      <w:pPr>
        <w:jc w:val="both"/>
        <w:rPr>
          <w:rFonts w:ascii="Tahoma" w:hAnsi="Tahoma" w:cs="Tahoma"/>
          <w:sz w:val="22"/>
          <w:szCs w:val="22"/>
        </w:rPr>
      </w:pPr>
    </w:p>
    <w:p w:rsidR="00006DFD" w:rsidRDefault="00006DFD" w:rsidP="00E12B56">
      <w:pPr>
        <w:jc w:val="both"/>
        <w:rPr>
          <w:rFonts w:ascii="Tahoma" w:hAnsi="Tahoma" w:cs="Tahoma"/>
          <w:sz w:val="22"/>
          <w:szCs w:val="22"/>
        </w:rPr>
      </w:pPr>
    </w:p>
    <w:p w:rsidR="00E12B56" w:rsidRPr="00915223" w:rsidRDefault="00E12B56" w:rsidP="00E12B56">
      <w:pPr>
        <w:jc w:val="both"/>
        <w:rPr>
          <w:rFonts w:ascii="Tahoma" w:hAnsi="Tahoma" w:cs="Tahoma"/>
          <w:sz w:val="22"/>
          <w:szCs w:val="22"/>
        </w:rPr>
      </w:pPr>
      <w:r w:rsidRPr="00915223">
        <w:rPr>
          <w:rFonts w:ascii="Tahoma" w:hAnsi="Tahoma" w:cs="Tahoma"/>
          <w:sz w:val="22"/>
          <w:szCs w:val="22"/>
        </w:rPr>
        <w:tab/>
      </w:r>
      <w:r w:rsidRPr="00915223">
        <w:rPr>
          <w:rFonts w:ascii="Tahoma" w:hAnsi="Tahoma" w:cs="Tahoma"/>
          <w:sz w:val="22"/>
          <w:szCs w:val="22"/>
        </w:rPr>
        <w:tab/>
      </w:r>
      <w:r w:rsidRPr="00915223">
        <w:rPr>
          <w:rFonts w:ascii="Tahoma" w:hAnsi="Tahoma" w:cs="Tahoma"/>
          <w:sz w:val="22"/>
          <w:szCs w:val="22"/>
        </w:rPr>
        <w:tab/>
      </w:r>
      <w:r w:rsidRPr="00915223">
        <w:rPr>
          <w:rFonts w:ascii="Tahoma" w:hAnsi="Tahoma" w:cs="Tahoma"/>
          <w:sz w:val="22"/>
          <w:szCs w:val="22"/>
        </w:rPr>
        <w:tab/>
      </w:r>
      <w:r w:rsidRPr="00915223">
        <w:rPr>
          <w:rFonts w:ascii="Tahoma" w:hAnsi="Tahoma" w:cs="Tahoma"/>
          <w:sz w:val="22"/>
          <w:szCs w:val="22"/>
        </w:rPr>
        <w:tab/>
      </w:r>
    </w:p>
    <w:p w:rsidR="005F1EE9" w:rsidRDefault="005F1EE9" w:rsidP="00CB0926">
      <w:pPr>
        <w:jc w:val="both"/>
        <w:rPr>
          <w:rFonts w:ascii="Tahoma" w:hAnsi="Tahoma" w:cs="Tahoma"/>
          <w:sz w:val="22"/>
          <w:szCs w:val="22"/>
        </w:rPr>
      </w:pPr>
    </w:p>
    <w:p w:rsidR="00A72230" w:rsidRDefault="005F1EE9" w:rsidP="00A72230">
      <w:pPr>
        <w:ind w:left="4920" w:hanging="4920"/>
        <w:rPr>
          <w:rFonts w:ascii="Tahoma" w:hAnsi="Tahoma" w:cs="Tahoma"/>
          <w:sz w:val="22"/>
          <w:szCs w:val="22"/>
        </w:rPr>
      </w:pPr>
      <w:r w:rsidRPr="0024288C">
        <w:rPr>
          <w:rFonts w:ascii="Tahoma" w:hAnsi="Tahoma" w:cs="Tahoma"/>
          <w:sz w:val="22"/>
          <w:szCs w:val="22"/>
        </w:rPr>
        <w:t xml:space="preserve">CCS Česká společnost </w:t>
      </w:r>
      <w:r w:rsidR="00A72230">
        <w:rPr>
          <w:rFonts w:ascii="Tahoma" w:hAnsi="Tahoma" w:cs="Tahoma"/>
          <w:sz w:val="22"/>
          <w:szCs w:val="22"/>
        </w:rPr>
        <w:tab/>
      </w:r>
      <w:r w:rsidR="00A72230" w:rsidRPr="00A72230">
        <w:rPr>
          <w:rFonts w:ascii="Tahoma" w:hAnsi="Tahoma" w:cs="Tahoma"/>
          <w:sz w:val="22"/>
          <w:szCs w:val="22"/>
        </w:rPr>
        <w:t xml:space="preserve">Slezská nemocnice v Opavě, </w:t>
      </w:r>
      <w:r w:rsidR="00A72230">
        <w:rPr>
          <w:rFonts w:ascii="Tahoma" w:hAnsi="Tahoma" w:cs="Tahoma"/>
          <w:sz w:val="22"/>
          <w:szCs w:val="22"/>
        </w:rPr>
        <w:t xml:space="preserve">příspěvková </w:t>
      </w:r>
    </w:p>
    <w:p w:rsidR="00FB6278" w:rsidRPr="00E874B6" w:rsidRDefault="00A72230" w:rsidP="00A72230">
      <w:pPr>
        <w:ind w:left="4920" w:hanging="4920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 platební karty s.r.o.</w:t>
      </w:r>
      <w:r>
        <w:rPr>
          <w:rFonts w:ascii="Tahoma" w:hAnsi="Tahoma" w:cs="Tahoma"/>
          <w:sz w:val="22"/>
          <w:szCs w:val="22"/>
        </w:rPr>
        <w:tab/>
        <w:t>organizace</w:t>
      </w:r>
    </w:p>
    <w:p w:rsidR="0024288C" w:rsidRPr="0024288C" w:rsidRDefault="0024288C" w:rsidP="00992562">
      <w:pPr>
        <w:shd w:val="clear" w:color="auto" w:fill="FFFFFF"/>
        <w:spacing w:line="270" w:lineRule="atLeast"/>
        <w:ind w:left="4254" w:hanging="4254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:rsidR="00AE0689" w:rsidRDefault="00AE0689" w:rsidP="00AE0689">
      <w:pPr>
        <w:jc w:val="both"/>
        <w:rPr>
          <w:rFonts w:ascii="Tahoma" w:hAnsi="Tahoma" w:cs="Tahoma"/>
          <w:sz w:val="22"/>
          <w:szCs w:val="22"/>
        </w:rPr>
      </w:pPr>
    </w:p>
    <w:p w:rsidR="008B0E4B" w:rsidRDefault="008B0E4B" w:rsidP="00AE0689">
      <w:pPr>
        <w:jc w:val="both"/>
        <w:rPr>
          <w:rFonts w:ascii="Tahoma" w:hAnsi="Tahoma" w:cs="Tahoma"/>
          <w:sz w:val="22"/>
          <w:szCs w:val="22"/>
        </w:rPr>
      </w:pPr>
    </w:p>
    <w:p w:rsidR="002E6448" w:rsidRDefault="002E6448" w:rsidP="00AE0689">
      <w:pPr>
        <w:jc w:val="both"/>
        <w:rPr>
          <w:rFonts w:ascii="Tahoma" w:hAnsi="Tahoma" w:cs="Tahoma"/>
          <w:sz w:val="22"/>
          <w:szCs w:val="22"/>
        </w:rPr>
      </w:pPr>
    </w:p>
    <w:p w:rsidR="00006DFD" w:rsidRDefault="00006DFD" w:rsidP="00AE0689">
      <w:pPr>
        <w:jc w:val="both"/>
        <w:rPr>
          <w:rFonts w:ascii="Tahoma" w:hAnsi="Tahoma" w:cs="Tahoma"/>
          <w:sz w:val="22"/>
          <w:szCs w:val="22"/>
        </w:rPr>
      </w:pPr>
    </w:p>
    <w:p w:rsidR="00992562" w:rsidRDefault="00992562" w:rsidP="00AE0689">
      <w:pPr>
        <w:jc w:val="both"/>
        <w:rPr>
          <w:rFonts w:ascii="Tahoma" w:hAnsi="Tahoma" w:cs="Tahoma"/>
          <w:sz w:val="22"/>
          <w:szCs w:val="22"/>
        </w:rPr>
      </w:pPr>
    </w:p>
    <w:p w:rsidR="001669C4" w:rsidRDefault="001669C4" w:rsidP="00AE0689">
      <w:pPr>
        <w:jc w:val="both"/>
        <w:rPr>
          <w:rFonts w:ascii="Tahoma" w:hAnsi="Tahoma" w:cs="Tahoma"/>
          <w:sz w:val="22"/>
          <w:szCs w:val="22"/>
        </w:rPr>
      </w:pPr>
    </w:p>
    <w:p w:rsidR="001669C4" w:rsidRPr="0071547C" w:rsidRDefault="001669C4" w:rsidP="001669C4">
      <w:pPr>
        <w:jc w:val="both"/>
        <w:rPr>
          <w:rFonts w:ascii="Tahoma" w:hAnsi="Tahoma" w:cs="Tahoma"/>
          <w:sz w:val="22"/>
          <w:szCs w:val="22"/>
        </w:rPr>
      </w:pPr>
      <w:r w:rsidRPr="0071547C">
        <w:rPr>
          <w:rFonts w:ascii="Tahoma" w:hAnsi="Tahoma" w:cs="Tahoma"/>
          <w:sz w:val="22"/>
          <w:szCs w:val="22"/>
        </w:rPr>
        <w:t>…………………………………</w:t>
      </w:r>
      <w:r w:rsidRPr="0071547C">
        <w:rPr>
          <w:rFonts w:ascii="Tahoma" w:hAnsi="Tahoma" w:cs="Tahoma"/>
          <w:sz w:val="22"/>
          <w:szCs w:val="22"/>
        </w:rPr>
        <w:tab/>
      </w:r>
      <w:r w:rsidRPr="0071547C">
        <w:rPr>
          <w:rFonts w:ascii="Tahoma" w:hAnsi="Tahoma" w:cs="Tahoma"/>
          <w:sz w:val="22"/>
          <w:szCs w:val="22"/>
        </w:rPr>
        <w:tab/>
      </w:r>
      <w:r w:rsidRPr="0071547C">
        <w:rPr>
          <w:rFonts w:ascii="Tahoma" w:hAnsi="Tahoma" w:cs="Tahoma"/>
          <w:sz w:val="22"/>
          <w:szCs w:val="22"/>
        </w:rPr>
        <w:tab/>
      </w:r>
      <w:r w:rsidRPr="0071547C">
        <w:rPr>
          <w:rFonts w:ascii="Tahoma" w:hAnsi="Tahoma" w:cs="Tahoma"/>
          <w:sz w:val="22"/>
          <w:szCs w:val="22"/>
        </w:rPr>
        <w:tab/>
        <w:t>…………………………………</w:t>
      </w:r>
    </w:p>
    <w:p w:rsidR="001669C4" w:rsidRDefault="00957FA0" w:rsidP="001669C4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Tomáš Zahajský</w:t>
      </w:r>
      <w:r w:rsidR="001669C4" w:rsidRPr="0071547C">
        <w:rPr>
          <w:rFonts w:ascii="Tahoma" w:hAnsi="Tahoma" w:cs="Tahoma"/>
          <w:sz w:val="22"/>
          <w:szCs w:val="22"/>
        </w:rPr>
        <w:tab/>
      </w:r>
      <w:r w:rsidR="001669C4" w:rsidRPr="0071547C">
        <w:rPr>
          <w:rFonts w:ascii="Tahoma" w:hAnsi="Tahoma" w:cs="Tahoma"/>
          <w:sz w:val="22"/>
          <w:szCs w:val="22"/>
        </w:rPr>
        <w:tab/>
      </w:r>
      <w:r w:rsidR="001669C4" w:rsidRPr="0071547C">
        <w:rPr>
          <w:rFonts w:ascii="Tahoma" w:hAnsi="Tahoma" w:cs="Tahoma"/>
          <w:sz w:val="22"/>
          <w:szCs w:val="22"/>
        </w:rPr>
        <w:tab/>
        <w:t xml:space="preserve"> </w:t>
      </w:r>
      <w:r w:rsidR="001669C4" w:rsidRPr="0071547C">
        <w:rPr>
          <w:rFonts w:ascii="Tahoma" w:hAnsi="Tahoma" w:cs="Tahoma"/>
          <w:sz w:val="22"/>
          <w:szCs w:val="22"/>
        </w:rPr>
        <w:tab/>
      </w:r>
      <w:r w:rsidR="00BA5177">
        <w:rPr>
          <w:rFonts w:ascii="Tahoma" w:hAnsi="Tahoma" w:cs="Tahoma"/>
          <w:sz w:val="22"/>
          <w:szCs w:val="22"/>
        </w:rPr>
        <w:t xml:space="preserve">     </w:t>
      </w:r>
      <w:r w:rsidR="00407E92">
        <w:rPr>
          <w:rFonts w:ascii="Tahoma" w:hAnsi="Tahoma" w:cs="Tahoma"/>
          <w:sz w:val="22"/>
          <w:szCs w:val="22"/>
        </w:rPr>
        <w:tab/>
      </w:r>
      <w:r w:rsidR="00A72230" w:rsidRPr="00A72230">
        <w:rPr>
          <w:rFonts w:ascii="Tahoma" w:hAnsi="Tahoma" w:cs="Tahoma"/>
          <w:sz w:val="22"/>
          <w:szCs w:val="22"/>
        </w:rPr>
        <w:t>Ing. KAREL SIEBERT, MBA</w:t>
      </w:r>
    </w:p>
    <w:p w:rsidR="00AD7D5B" w:rsidRDefault="00AD7D5B" w:rsidP="001669C4">
      <w:pPr>
        <w:rPr>
          <w:rFonts w:ascii="Tahoma" w:hAnsi="Tahoma" w:cs="Tahoma"/>
          <w:sz w:val="22"/>
          <w:szCs w:val="22"/>
        </w:rPr>
      </w:pPr>
    </w:p>
    <w:p w:rsidR="00E12B56" w:rsidRDefault="00006DFD" w:rsidP="00F84BC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="00957FA0">
        <w:rPr>
          <w:rFonts w:ascii="Tahoma" w:hAnsi="Tahoma" w:cs="Tahoma"/>
          <w:sz w:val="22"/>
          <w:szCs w:val="22"/>
        </w:rPr>
        <w:t>na zá</w:t>
      </w:r>
      <w:r>
        <w:rPr>
          <w:rFonts w:ascii="Tahoma" w:hAnsi="Tahoma" w:cs="Tahoma"/>
          <w:sz w:val="22"/>
          <w:szCs w:val="22"/>
        </w:rPr>
        <w:t>kladě plné moci</w:t>
      </w:r>
      <w:r w:rsidR="002E6448">
        <w:rPr>
          <w:rFonts w:ascii="Tahoma" w:hAnsi="Tahoma" w:cs="Tahoma"/>
          <w:sz w:val="22"/>
          <w:szCs w:val="22"/>
        </w:rPr>
        <w:t xml:space="preserve">  </w:t>
      </w:r>
      <w:r w:rsidR="00957FA0">
        <w:rPr>
          <w:rFonts w:ascii="Tahoma" w:hAnsi="Tahoma" w:cs="Tahoma"/>
          <w:sz w:val="22"/>
          <w:szCs w:val="22"/>
        </w:rPr>
        <w:t xml:space="preserve">     </w:t>
      </w:r>
      <w:r w:rsidR="001669C4" w:rsidRPr="0071547C">
        <w:rPr>
          <w:rFonts w:ascii="Tahoma" w:hAnsi="Tahoma" w:cs="Tahoma"/>
          <w:sz w:val="22"/>
          <w:szCs w:val="22"/>
        </w:rPr>
        <w:tab/>
      </w:r>
      <w:r w:rsidR="001669C4" w:rsidRPr="0071547C">
        <w:rPr>
          <w:rFonts w:ascii="Tahoma" w:hAnsi="Tahoma" w:cs="Tahoma"/>
          <w:sz w:val="22"/>
          <w:szCs w:val="22"/>
        </w:rPr>
        <w:tab/>
      </w:r>
      <w:r w:rsidR="001669C4" w:rsidRPr="0071547C">
        <w:rPr>
          <w:rFonts w:ascii="Tahoma" w:hAnsi="Tahoma" w:cs="Tahoma"/>
          <w:sz w:val="22"/>
          <w:szCs w:val="22"/>
        </w:rPr>
        <w:tab/>
      </w:r>
      <w:r w:rsidR="001669C4" w:rsidRPr="0071547C">
        <w:rPr>
          <w:rFonts w:ascii="Tahoma" w:hAnsi="Tahoma" w:cs="Tahoma"/>
          <w:sz w:val="22"/>
          <w:szCs w:val="22"/>
        </w:rPr>
        <w:tab/>
      </w:r>
      <w:r w:rsidR="00A72230">
        <w:rPr>
          <w:rFonts w:ascii="Tahoma" w:hAnsi="Tahoma" w:cs="Tahoma"/>
          <w:sz w:val="22"/>
          <w:szCs w:val="22"/>
        </w:rPr>
        <w:t>ředitel</w:t>
      </w:r>
      <w:r w:rsidR="001669C4" w:rsidRPr="0071547C">
        <w:rPr>
          <w:rFonts w:ascii="Tahoma" w:hAnsi="Tahoma" w:cs="Tahoma"/>
          <w:sz w:val="22"/>
          <w:szCs w:val="22"/>
        </w:rPr>
        <w:tab/>
      </w:r>
      <w:r w:rsidR="00AD7D5B">
        <w:rPr>
          <w:rFonts w:ascii="Tahoma" w:hAnsi="Tahoma" w:cs="Tahoma"/>
          <w:sz w:val="22"/>
          <w:szCs w:val="22"/>
        </w:rPr>
        <w:t xml:space="preserve">Slezské nemocnice v Opavě, </w:t>
      </w:r>
      <w:proofErr w:type="spellStart"/>
      <w:r w:rsidR="00AD7D5B">
        <w:rPr>
          <w:rFonts w:ascii="Tahoma" w:hAnsi="Tahoma" w:cs="Tahoma"/>
          <w:sz w:val="22"/>
          <w:szCs w:val="22"/>
        </w:rPr>
        <w:t>p.o</w:t>
      </w:r>
      <w:proofErr w:type="spellEnd"/>
      <w:r w:rsidR="00AD7D5B">
        <w:rPr>
          <w:rFonts w:ascii="Tahoma" w:hAnsi="Tahoma" w:cs="Tahoma"/>
          <w:sz w:val="22"/>
          <w:szCs w:val="22"/>
        </w:rPr>
        <w:t>.</w:t>
      </w:r>
    </w:p>
    <w:sectPr w:rsidR="00E12B56" w:rsidSect="008B77EF">
      <w:pgSz w:w="11906" w:h="16838"/>
      <w:pgMar w:top="851" w:right="1418" w:bottom="1134" w:left="1418" w:header="709" w:footer="54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6EB" w:rsidRDefault="00E146EB">
      <w:r>
        <w:separator/>
      </w:r>
    </w:p>
  </w:endnote>
  <w:endnote w:type="continuationSeparator" w:id="0">
    <w:p w:rsidR="00E146EB" w:rsidRDefault="00E14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6EB" w:rsidRDefault="00E146EB">
      <w:r>
        <w:separator/>
      </w:r>
    </w:p>
  </w:footnote>
  <w:footnote w:type="continuationSeparator" w:id="0">
    <w:p w:rsidR="00E146EB" w:rsidRDefault="00E14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97DAA"/>
    <w:multiLevelType w:val="hybridMultilevel"/>
    <w:tmpl w:val="66AC5E02"/>
    <w:lvl w:ilvl="0" w:tplc="16003D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473BFA"/>
    <w:multiLevelType w:val="hybridMultilevel"/>
    <w:tmpl w:val="217CDEF2"/>
    <w:lvl w:ilvl="0" w:tplc="6C3A5820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B7869"/>
    <w:multiLevelType w:val="hybridMultilevel"/>
    <w:tmpl w:val="787CBC90"/>
    <w:lvl w:ilvl="0" w:tplc="0407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3730F"/>
    <w:multiLevelType w:val="hybridMultilevel"/>
    <w:tmpl w:val="FDE4DC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21CDD"/>
    <w:multiLevelType w:val="hybridMultilevel"/>
    <w:tmpl w:val="FC7A85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07533"/>
    <w:multiLevelType w:val="hybridMultilevel"/>
    <w:tmpl w:val="6D20CF36"/>
    <w:lvl w:ilvl="0" w:tplc="58EE35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8229DC"/>
    <w:multiLevelType w:val="hybridMultilevel"/>
    <w:tmpl w:val="DFCC35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459C34B3"/>
    <w:multiLevelType w:val="hybridMultilevel"/>
    <w:tmpl w:val="EDE4070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3327589"/>
    <w:multiLevelType w:val="hybridMultilevel"/>
    <w:tmpl w:val="DACE8972"/>
    <w:lvl w:ilvl="0" w:tplc="84C2A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A2205A"/>
    <w:multiLevelType w:val="hybridMultilevel"/>
    <w:tmpl w:val="67D85C5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5DA54B52"/>
    <w:multiLevelType w:val="hybridMultilevel"/>
    <w:tmpl w:val="A050B6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BD34CB"/>
    <w:multiLevelType w:val="hybridMultilevel"/>
    <w:tmpl w:val="2952950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4A6232"/>
    <w:multiLevelType w:val="hybridMultilevel"/>
    <w:tmpl w:val="34F4E39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3526BB"/>
    <w:multiLevelType w:val="hybridMultilevel"/>
    <w:tmpl w:val="8DA2F2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8"/>
  </w:num>
  <w:num w:numId="5">
    <w:abstractNumId w:val="11"/>
  </w:num>
  <w:num w:numId="6">
    <w:abstractNumId w:val="7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</w:num>
  <w:num w:numId="9">
    <w:abstractNumId w:val="0"/>
  </w:num>
  <w:num w:numId="10">
    <w:abstractNumId w:val="4"/>
  </w:num>
  <w:num w:numId="11">
    <w:abstractNumId w:val="10"/>
  </w:num>
  <w:num w:numId="12">
    <w:abstractNumId w:val="3"/>
  </w:num>
  <w:num w:numId="13">
    <w:abstractNumId w:val="13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926"/>
    <w:rsid w:val="00006DFD"/>
    <w:rsid w:val="00010C0C"/>
    <w:rsid w:val="00014DC3"/>
    <w:rsid w:val="00024CFC"/>
    <w:rsid w:val="0002525D"/>
    <w:rsid w:val="00025C3E"/>
    <w:rsid w:val="00043EC2"/>
    <w:rsid w:val="00045F47"/>
    <w:rsid w:val="00072E39"/>
    <w:rsid w:val="0008447D"/>
    <w:rsid w:val="0008654D"/>
    <w:rsid w:val="000929C3"/>
    <w:rsid w:val="000A2084"/>
    <w:rsid w:val="000E5650"/>
    <w:rsid w:val="000E5CEE"/>
    <w:rsid w:val="00122F3A"/>
    <w:rsid w:val="00125AD6"/>
    <w:rsid w:val="00133F68"/>
    <w:rsid w:val="00161AB5"/>
    <w:rsid w:val="00165D81"/>
    <w:rsid w:val="001669C4"/>
    <w:rsid w:val="001825C5"/>
    <w:rsid w:val="001838E9"/>
    <w:rsid w:val="00192B4C"/>
    <w:rsid w:val="001A1FE1"/>
    <w:rsid w:val="001A6B4F"/>
    <w:rsid w:val="001B3B78"/>
    <w:rsid w:val="001C1F68"/>
    <w:rsid w:val="001E4EA1"/>
    <w:rsid w:val="001F0A80"/>
    <w:rsid w:val="001F24A3"/>
    <w:rsid w:val="00221CC6"/>
    <w:rsid w:val="002339EE"/>
    <w:rsid w:val="00241F47"/>
    <w:rsid w:val="0024288C"/>
    <w:rsid w:val="00253F68"/>
    <w:rsid w:val="0025530C"/>
    <w:rsid w:val="00263098"/>
    <w:rsid w:val="0027580A"/>
    <w:rsid w:val="00280C70"/>
    <w:rsid w:val="00293589"/>
    <w:rsid w:val="002947A0"/>
    <w:rsid w:val="00297C4B"/>
    <w:rsid w:val="002B4911"/>
    <w:rsid w:val="002C6C9C"/>
    <w:rsid w:val="002D04AB"/>
    <w:rsid w:val="002D15E8"/>
    <w:rsid w:val="002E6180"/>
    <w:rsid w:val="002E6448"/>
    <w:rsid w:val="002F24C0"/>
    <w:rsid w:val="003044ED"/>
    <w:rsid w:val="00312FB5"/>
    <w:rsid w:val="00336BCF"/>
    <w:rsid w:val="00350F14"/>
    <w:rsid w:val="00370A34"/>
    <w:rsid w:val="003752A5"/>
    <w:rsid w:val="003762AB"/>
    <w:rsid w:val="00380BBD"/>
    <w:rsid w:val="00397AB7"/>
    <w:rsid w:val="003B2CA1"/>
    <w:rsid w:val="003C0092"/>
    <w:rsid w:val="003C0DD1"/>
    <w:rsid w:val="003D2704"/>
    <w:rsid w:val="003D434D"/>
    <w:rsid w:val="003D6E48"/>
    <w:rsid w:val="003D7BC7"/>
    <w:rsid w:val="003F06E7"/>
    <w:rsid w:val="003F19CB"/>
    <w:rsid w:val="00402D5C"/>
    <w:rsid w:val="00403AAB"/>
    <w:rsid w:val="00407E92"/>
    <w:rsid w:val="00411FCD"/>
    <w:rsid w:val="00422E42"/>
    <w:rsid w:val="004238CC"/>
    <w:rsid w:val="004259C3"/>
    <w:rsid w:val="00435B78"/>
    <w:rsid w:val="00435EC7"/>
    <w:rsid w:val="00456AC7"/>
    <w:rsid w:val="00472EF4"/>
    <w:rsid w:val="0047624C"/>
    <w:rsid w:val="0049213A"/>
    <w:rsid w:val="004921B6"/>
    <w:rsid w:val="00495EC4"/>
    <w:rsid w:val="004A517B"/>
    <w:rsid w:val="004C6488"/>
    <w:rsid w:val="004C7102"/>
    <w:rsid w:val="004D09F2"/>
    <w:rsid w:val="004F1579"/>
    <w:rsid w:val="0050106C"/>
    <w:rsid w:val="00510FDC"/>
    <w:rsid w:val="00511547"/>
    <w:rsid w:val="00511DE0"/>
    <w:rsid w:val="00521711"/>
    <w:rsid w:val="005360DC"/>
    <w:rsid w:val="00536D9B"/>
    <w:rsid w:val="00541994"/>
    <w:rsid w:val="00554ED3"/>
    <w:rsid w:val="005578CF"/>
    <w:rsid w:val="00560DE3"/>
    <w:rsid w:val="00562DEA"/>
    <w:rsid w:val="0059257E"/>
    <w:rsid w:val="00593A14"/>
    <w:rsid w:val="00597B3E"/>
    <w:rsid w:val="005A47BA"/>
    <w:rsid w:val="005A7DC1"/>
    <w:rsid w:val="005B43D7"/>
    <w:rsid w:val="005B7B8E"/>
    <w:rsid w:val="005C193E"/>
    <w:rsid w:val="005D434B"/>
    <w:rsid w:val="005D49DD"/>
    <w:rsid w:val="005D57B7"/>
    <w:rsid w:val="005E3BEC"/>
    <w:rsid w:val="005E63AB"/>
    <w:rsid w:val="005E6DDC"/>
    <w:rsid w:val="005F162C"/>
    <w:rsid w:val="005F1EE9"/>
    <w:rsid w:val="00602B80"/>
    <w:rsid w:val="00610D8E"/>
    <w:rsid w:val="006301DD"/>
    <w:rsid w:val="00654D2C"/>
    <w:rsid w:val="00672CBF"/>
    <w:rsid w:val="00673360"/>
    <w:rsid w:val="006740AB"/>
    <w:rsid w:val="00675BB1"/>
    <w:rsid w:val="00676445"/>
    <w:rsid w:val="00691E2C"/>
    <w:rsid w:val="00692355"/>
    <w:rsid w:val="00695B60"/>
    <w:rsid w:val="006A0E1B"/>
    <w:rsid w:val="006A1BE5"/>
    <w:rsid w:val="006A540A"/>
    <w:rsid w:val="006A550C"/>
    <w:rsid w:val="006A57C8"/>
    <w:rsid w:val="006B3B5B"/>
    <w:rsid w:val="006B6E80"/>
    <w:rsid w:val="006B7EB0"/>
    <w:rsid w:val="006C4764"/>
    <w:rsid w:val="006C66C2"/>
    <w:rsid w:val="006D007F"/>
    <w:rsid w:val="006D46D5"/>
    <w:rsid w:val="006D477E"/>
    <w:rsid w:val="006D79E8"/>
    <w:rsid w:val="006F08D7"/>
    <w:rsid w:val="006F0BD8"/>
    <w:rsid w:val="006F1F50"/>
    <w:rsid w:val="006F4F00"/>
    <w:rsid w:val="0071547C"/>
    <w:rsid w:val="00721D47"/>
    <w:rsid w:val="00736581"/>
    <w:rsid w:val="00757871"/>
    <w:rsid w:val="00765C49"/>
    <w:rsid w:val="007768AA"/>
    <w:rsid w:val="00795196"/>
    <w:rsid w:val="00795CD3"/>
    <w:rsid w:val="007A3F6C"/>
    <w:rsid w:val="007A77B3"/>
    <w:rsid w:val="007B2541"/>
    <w:rsid w:val="007B7889"/>
    <w:rsid w:val="007E0C9B"/>
    <w:rsid w:val="007E1B89"/>
    <w:rsid w:val="007F65A0"/>
    <w:rsid w:val="00804097"/>
    <w:rsid w:val="008043B2"/>
    <w:rsid w:val="00805FB3"/>
    <w:rsid w:val="0080701C"/>
    <w:rsid w:val="00810377"/>
    <w:rsid w:val="00824329"/>
    <w:rsid w:val="00827B9B"/>
    <w:rsid w:val="008329F2"/>
    <w:rsid w:val="00836780"/>
    <w:rsid w:val="00842EA7"/>
    <w:rsid w:val="00847B8D"/>
    <w:rsid w:val="00864C41"/>
    <w:rsid w:val="00865B7D"/>
    <w:rsid w:val="0086656E"/>
    <w:rsid w:val="008816B3"/>
    <w:rsid w:val="008B0E4B"/>
    <w:rsid w:val="008B1C8D"/>
    <w:rsid w:val="008B77EF"/>
    <w:rsid w:val="008C59D1"/>
    <w:rsid w:val="008E341D"/>
    <w:rsid w:val="008F3169"/>
    <w:rsid w:val="008F6D87"/>
    <w:rsid w:val="00911857"/>
    <w:rsid w:val="0091204D"/>
    <w:rsid w:val="00915223"/>
    <w:rsid w:val="00916546"/>
    <w:rsid w:val="0092297D"/>
    <w:rsid w:val="00931C25"/>
    <w:rsid w:val="00942C34"/>
    <w:rsid w:val="0094560B"/>
    <w:rsid w:val="00947B4B"/>
    <w:rsid w:val="00950E24"/>
    <w:rsid w:val="009514D1"/>
    <w:rsid w:val="00956E50"/>
    <w:rsid w:val="00957FA0"/>
    <w:rsid w:val="00972FE2"/>
    <w:rsid w:val="00974F2E"/>
    <w:rsid w:val="009916A5"/>
    <w:rsid w:val="00992562"/>
    <w:rsid w:val="009C200F"/>
    <w:rsid w:val="009D7501"/>
    <w:rsid w:val="00A02402"/>
    <w:rsid w:val="00A12A6A"/>
    <w:rsid w:val="00A134B7"/>
    <w:rsid w:val="00A1548A"/>
    <w:rsid w:val="00A15B2B"/>
    <w:rsid w:val="00A169B3"/>
    <w:rsid w:val="00A26C28"/>
    <w:rsid w:val="00A368BD"/>
    <w:rsid w:val="00A40422"/>
    <w:rsid w:val="00A43172"/>
    <w:rsid w:val="00A43ABA"/>
    <w:rsid w:val="00A44B5B"/>
    <w:rsid w:val="00A546DA"/>
    <w:rsid w:val="00A57663"/>
    <w:rsid w:val="00A67C11"/>
    <w:rsid w:val="00A7107B"/>
    <w:rsid w:val="00A72230"/>
    <w:rsid w:val="00AA6B2A"/>
    <w:rsid w:val="00AB0B4E"/>
    <w:rsid w:val="00AC1B02"/>
    <w:rsid w:val="00AC7F5D"/>
    <w:rsid w:val="00AD3E9E"/>
    <w:rsid w:val="00AD52DB"/>
    <w:rsid w:val="00AD7D5B"/>
    <w:rsid w:val="00AE0689"/>
    <w:rsid w:val="00AE0EF0"/>
    <w:rsid w:val="00AF342D"/>
    <w:rsid w:val="00B25E11"/>
    <w:rsid w:val="00B44947"/>
    <w:rsid w:val="00B472F8"/>
    <w:rsid w:val="00B51B40"/>
    <w:rsid w:val="00B60DD8"/>
    <w:rsid w:val="00B70D8A"/>
    <w:rsid w:val="00BA5177"/>
    <w:rsid w:val="00BB77DC"/>
    <w:rsid w:val="00BE1C52"/>
    <w:rsid w:val="00C14DAF"/>
    <w:rsid w:val="00C25559"/>
    <w:rsid w:val="00C34A51"/>
    <w:rsid w:val="00C367B6"/>
    <w:rsid w:val="00C37959"/>
    <w:rsid w:val="00C739AB"/>
    <w:rsid w:val="00C91CBA"/>
    <w:rsid w:val="00C93396"/>
    <w:rsid w:val="00C97431"/>
    <w:rsid w:val="00CA4182"/>
    <w:rsid w:val="00CB0926"/>
    <w:rsid w:val="00CB782A"/>
    <w:rsid w:val="00CC416E"/>
    <w:rsid w:val="00CE0C01"/>
    <w:rsid w:val="00CE5A6E"/>
    <w:rsid w:val="00CF6960"/>
    <w:rsid w:val="00D048AC"/>
    <w:rsid w:val="00D134E4"/>
    <w:rsid w:val="00D15045"/>
    <w:rsid w:val="00D34897"/>
    <w:rsid w:val="00D420F9"/>
    <w:rsid w:val="00D55DC5"/>
    <w:rsid w:val="00D70422"/>
    <w:rsid w:val="00D725B4"/>
    <w:rsid w:val="00D7391E"/>
    <w:rsid w:val="00D80C34"/>
    <w:rsid w:val="00D8663C"/>
    <w:rsid w:val="00D86A40"/>
    <w:rsid w:val="00D91234"/>
    <w:rsid w:val="00DA76E7"/>
    <w:rsid w:val="00DB1C6D"/>
    <w:rsid w:val="00DB1DEE"/>
    <w:rsid w:val="00DB56B2"/>
    <w:rsid w:val="00DD26AD"/>
    <w:rsid w:val="00DE2D18"/>
    <w:rsid w:val="00DE37FB"/>
    <w:rsid w:val="00E02357"/>
    <w:rsid w:val="00E12B56"/>
    <w:rsid w:val="00E146EB"/>
    <w:rsid w:val="00E20761"/>
    <w:rsid w:val="00E32D09"/>
    <w:rsid w:val="00E35873"/>
    <w:rsid w:val="00E36201"/>
    <w:rsid w:val="00E51A27"/>
    <w:rsid w:val="00E565F5"/>
    <w:rsid w:val="00E67554"/>
    <w:rsid w:val="00E713DC"/>
    <w:rsid w:val="00E8725F"/>
    <w:rsid w:val="00E874B6"/>
    <w:rsid w:val="00E94BE6"/>
    <w:rsid w:val="00E96F79"/>
    <w:rsid w:val="00EA3ABB"/>
    <w:rsid w:val="00EB7D3A"/>
    <w:rsid w:val="00EC013A"/>
    <w:rsid w:val="00ED444F"/>
    <w:rsid w:val="00EF43E6"/>
    <w:rsid w:val="00EF708B"/>
    <w:rsid w:val="00F01792"/>
    <w:rsid w:val="00F03AA7"/>
    <w:rsid w:val="00F05B4F"/>
    <w:rsid w:val="00F06478"/>
    <w:rsid w:val="00F06A59"/>
    <w:rsid w:val="00F06DC1"/>
    <w:rsid w:val="00F15887"/>
    <w:rsid w:val="00F207BF"/>
    <w:rsid w:val="00F23F99"/>
    <w:rsid w:val="00F43635"/>
    <w:rsid w:val="00F4423A"/>
    <w:rsid w:val="00F447B9"/>
    <w:rsid w:val="00F52787"/>
    <w:rsid w:val="00F537C7"/>
    <w:rsid w:val="00F57A90"/>
    <w:rsid w:val="00F6471F"/>
    <w:rsid w:val="00F6493B"/>
    <w:rsid w:val="00F66352"/>
    <w:rsid w:val="00F67B69"/>
    <w:rsid w:val="00F77065"/>
    <w:rsid w:val="00F77986"/>
    <w:rsid w:val="00F8083B"/>
    <w:rsid w:val="00F84BCD"/>
    <w:rsid w:val="00FA3951"/>
    <w:rsid w:val="00FB6278"/>
    <w:rsid w:val="00FD3249"/>
    <w:rsid w:val="00FE002C"/>
    <w:rsid w:val="00FE3F48"/>
    <w:rsid w:val="00FE776F"/>
    <w:rsid w:val="00FF24A1"/>
    <w:rsid w:val="00FF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B0926"/>
    <w:rPr>
      <w:sz w:val="24"/>
      <w:szCs w:val="24"/>
    </w:rPr>
  </w:style>
  <w:style w:type="paragraph" w:styleId="Nadpis1">
    <w:name w:val="heading 1"/>
    <w:basedOn w:val="Normln"/>
    <w:next w:val="Normln"/>
    <w:qFormat/>
    <w:rsid w:val="00CB0926"/>
    <w:pPr>
      <w:keepNext/>
      <w:jc w:val="center"/>
      <w:outlineLvl w:val="0"/>
    </w:pPr>
    <w:rPr>
      <w:szCs w:val="20"/>
      <w:u w:val="single"/>
    </w:rPr>
  </w:style>
  <w:style w:type="paragraph" w:styleId="Nadpis2">
    <w:name w:val="heading 2"/>
    <w:basedOn w:val="Normln"/>
    <w:next w:val="Normln"/>
    <w:qFormat/>
    <w:rsid w:val="00CB0926"/>
    <w:pPr>
      <w:keepNext/>
      <w:outlineLvl w:val="1"/>
    </w:pPr>
    <w:rPr>
      <w:rFonts w:ascii="Tahoma" w:hAnsi="Tahoma"/>
      <w:b/>
      <w:sz w:val="22"/>
      <w:szCs w:val="20"/>
    </w:rPr>
  </w:style>
  <w:style w:type="paragraph" w:styleId="Nadpis3">
    <w:name w:val="heading 3"/>
    <w:basedOn w:val="Normln"/>
    <w:next w:val="Normln"/>
    <w:qFormat/>
    <w:rsid w:val="00CB0926"/>
    <w:pPr>
      <w:keepNext/>
      <w:jc w:val="both"/>
      <w:outlineLvl w:val="2"/>
    </w:pPr>
    <w:rPr>
      <w:rFonts w:ascii="Tahoma" w:hAnsi="Tahoma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B0926"/>
    <w:pPr>
      <w:jc w:val="both"/>
    </w:pPr>
    <w:rPr>
      <w:szCs w:val="20"/>
    </w:rPr>
  </w:style>
  <w:style w:type="paragraph" w:styleId="Zkladntext2">
    <w:name w:val="Body Text 2"/>
    <w:basedOn w:val="Normln"/>
    <w:rsid w:val="00CB0926"/>
    <w:pPr>
      <w:ind w:right="-142"/>
      <w:jc w:val="both"/>
    </w:pPr>
    <w:rPr>
      <w:szCs w:val="20"/>
    </w:rPr>
  </w:style>
  <w:style w:type="paragraph" w:styleId="Nzev">
    <w:name w:val="Title"/>
    <w:basedOn w:val="Normln"/>
    <w:qFormat/>
    <w:rsid w:val="00CB0926"/>
    <w:pPr>
      <w:jc w:val="center"/>
      <w:outlineLvl w:val="0"/>
    </w:pPr>
    <w:rPr>
      <w:b/>
      <w:sz w:val="32"/>
      <w:szCs w:val="20"/>
    </w:rPr>
  </w:style>
  <w:style w:type="character" w:customStyle="1" w:styleId="platne1">
    <w:name w:val="platne1"/>
    <w:basedOn w:val="Standardnpsmoodstavce"/>
    <w:rsid w:val="00CB0926"/>
  </w:style>
  <w:style w:type="character" w:styleId="Siln">
    <w:name w:val="Strong"/>
    <w:uiPriority w:val="22"/>
    <w:qFormat/>
    <w:rsid w:val="00E96F79"/>
    <w:rPr>
      <w:b/>
      <w:bCs/>
    </w:rPr>
  </w:style>
  <w:style w:type="paragraph" w:customStyle="1" w:styleId="StylZarovnatdobloku">
    <w:name w:val="Styl Zarovnat do bloku"/>
    <w:basedOn w:val="Normln"/>
    <w:rsid w:val="005D57B7"/>
    <w:pPr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6F4F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F4F0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9743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rsid w:val="003752A5"/>
    <w:rPr>
      <w:rFonts w:cs="Times New Roman"/>
      <w:sz w:val="16"/>
    </w:rPr>
  </w:style>
  <w:style w:type="paragraph" w:styleId="Textkomente">
    <w:name w:val="annotation text"/>
    <w:basedOn w:val="Normln"/>
    <w:link w:val="TextkomenteChar"/>
    <w:rsid w:val="003752A5"/>
    <w:rPr>
      <w:rFonts w:ascii="Tahoma" w:hAnsi="Tahoma"/>
      <w:sz w:val="20"/>
      <w:szCs w:val="20"/>
    </w:rPr>
  </w:style>
  <w:style w:type="character" w:customStyle="1" w:styleId="TextkomenteChar">
    <w:name w:val="Text komentáře Char"/>
    <w:link w:val="Textkomente"/>
    <w:rsid w:val="003752A5"/>
    <w:rPr>
      <w:rFonts w:ascii="Tahoma" w:hAnsi="Tahoma"/>
    </w:rPr>
  </w:style>
  <w:style w:type="paragraph" w:styleId="Pedmtkomente">
    <w:name w:val="annotation subject"/>
    <w:basedOn w:val="Textkomente"/>
    <w:next w:val="Textkomente"/>
    <w:link w:val="PedmtkomenteChar"/>
    <w:rsid w:val="00915223"/>
    <w:rPr>
      <w:rFonts w:ascii="Times New Roman" w:hAnsi="Times New Roman"/>
      <w:b/>
      <w:bCs/>
    </w:rPr>
  </w:style>
  <w:style w:type="character" w:customStyle="1" w:styleId="PedmtkomenteChar">
    <w:name w:val="Předmět komentáře Char"/>
    <w:link w:val="Pedmtkomente"/>
    <w:rsid w:val="00915223"/>
    <w:rPr>
      <w:rFonts w:ascii="Tahoma" w:hAnsi="Tahoma"/>
      <w:b/>
      <w:bCs/>
    </w:rPr>
  </w:style>
  <w:style w:type="paragraph" w:styleId="Revize">
    <w:name w:val="Revision"/>
    <w:hidden/>
    <w:uiPriority w:val="99"/>
    <w:semiHidden/>
    <w:rsid w:val="00915223"/>
    <w:rPr>
      <w:sz w:val="24"/>
      <w:szCs w:val="24"/>
    </w:rPr>
  </w:style>
  <w:style w:type="paragraph" w:styleId="Zhlav">
    <w:name w:val="header"/>
    <w:basedOn w:val="Normln"/>
    <w:link w:val="ZhlavChar"/>
    <w:rsid w:val="006301D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301DD"/>
    <w:rPr>
      <w:sz w:val="24"/>
      <w:szCs w:val="24"/>
    </w:rPr>
  </w:style>
  <w:style w:type="paragraph" w:styleId="Zpat">
    <w:name w:val="footer"/>
    <w:basedOn w:val="Normln"/>
    <w:link w:val="ZpatChar"/>
    <w:rsid w:val="006301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301DD"/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rsid w:val="005F1EE9"/>
    <w:rPr>
      <w:sz w:val="24"/>
    </w:rPr>
  </w:style>
  <w:style w:type="character" w:customStyle="1" w:styleId="preformatted">
    <w:name w:val="preformatted"/>
    <w:rsid w:val="00072E39"/>
  </w:style>
  <w:style w:type="paragraph" w:styleId="Normlnweb">
    <w:name w:val="Normal (Web)"/>
    <w:basedOn w:val="Normln"/>
    <w:uiPriority w:val="99"/>
    <w:unhideWhenUsed/>
    <w:rsid w:val="008B77EF"/>
    <w:pPr>
      <w:spacing w:before="100" w:beforeAutospacing="1" w:after="100" w:afterAutospacing="1"/>
    </w:pPr>
  </w:style>
  <w:style w:type="character" w:customStyle="1" w:styleId="nowrap">
    <w:name w:val="nowrap"/>
    <w:basedOn w:val="Standardnpsmoodstavce"/>
    <w:rsid w:val="00F6493B"/>
  </w:style>
  <w:style w:type="paragraph" w:customStyle="1" w:styleId="-wm-default">
    <w:name w:val="-wm-default"/>
    <w:basedOn w:val="Normln"/>
    <w:rsid w:val="00241F4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4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3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356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66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9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41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FE172-9748-49F8-BF36-6D54F9BE3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1092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/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/>
  <cp:keywords/>
  <cp:lastModifiedBy/>
  <cp:revision>1</cp:revision>
  <dcterms:created xsi:type="dcterms:W3CDTF">2025-02-26T08:58:00Z</dcterms:created>
  <dcterms:modified xsi:type="dcterms:W3CDTF">2025-02-26T08:58:00Z</dcterms:modified>
</cp:coreProperties>
</file>