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768C" w14:textId="77777777" w:rsidR="00C57548" w:rsidRPr="00933851" w:rsidRDefault="00C57548" w:rsidP="00C575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3851">
        <w:rPr>
          <w:rFonts w:ascii="Arial" w:hAnsi="Arial" w:cs="Arial"/>
          <w:b/>
          <w:sz w:val="24"/>
          <w:szCs w:val="24"/>
        </w:rPr>
        <w:t>Dohoda o narovnání</w:t>
      </w:r>
    </w:p>
    <w:p w14:paraId="00D6DD2A" w14:textId="77777777" w:rsidR="00A93872" w:rsidRDefault="00A93872" w:rsidP="00A93872">
      <w:pPr>
        <w:pStyle w:val="Bezmezer1"/>
        <w:tabs>
          <w:tab w:val="left" w:pos="2127"/>
        </w:tabs>
        <w:jc w:val="both"/>
        <w:rPr>
          <w:rFonts w:ascii="Arial" w:hAnsi="Arial" w:cs="Arial"/>
          <w:lang w:val="en-US" w:eastAsia="cs-CZ"/>
        </w:rPr>
      </w:pPr>
    </w:p>
    <w:p w14:paraId="1EC596FA" w14:textId="090C8E93" w:rsidR="00C57548" w:rsidRDefault="00C57548" w:rsidP="00A93872">
      <w:pPr>
        <w:pStyle w:val="Bezmezer1"/>
        <w:tabs>
          <w:tab w:val="left" w:pos="2127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en-US" w:eastAsia="cs-CZ"/>
        </w:rPr>
        <w:t>uzavřená</w:t>
      </w:r>
      <w:proofErr w:type="spellEnd"/>
      <w:r>
        <w:rPr>
          <w:rFonts w:ascii="Arial" w:hAnsi="Arial" w:cs="Arial"/>
          <w:lang w:val="en-US" w:eastAsia="cs-CZ"/>
        </w:rPr>
        <w:t xml:space="preserve"> </w:t>
      </w:r>
      <w:proofErr w:type="spellStart"/>
      <w:r>
        <w:rPr>
          <w:rFonts w:ascii="Arial" w:hAnsi="Arial" w:cs="Arial"/>
          <w:lang w:val="en-US" w:eastAsia="cs-CZ"/>
        </w:rPr>
        <w:t>dle</w:t>
      </w:r>
      <w:proofErr w:type="spellEnd"/>
      <w:r>
        <w:rPr>
          <w:rFonts w:ascii="Arial" w:hAnsi="Arial" w:cs="Arial"/>
          <w:lang w:val="en-US" w:eastAsia="cs-CZ"/>
        </w:rPr>
        <w:t xml:space="preserve"> </w:t>
      </w:r>
      <w:proofErr w:type="spellStart"/>
      <w:r>
        <w:rPr>
          <w:rFonts w:ascii="Arial" w:hAnsi="Arial" w:cs="Arial"/>
          <w:lang w:val="en-US" w:eastAsia="cs-CZ"/>
        </w:rPr>
        <w:t>ustanovení</w:t>
      </w:r>
      <w:proofErr w:type="spellEnd"/>
      <w:r>
        <w:rPr>
          <w:rFonts w:ascii="Arial" w:hAnsi="Arial" w:cs="Arial"/>
          <w:lang w:val="en-US" w:eastAsia="cs-CZ"/>
        </w:rPr>
        <w:t xml:space="preserve"> § 1903 </w:t>
      </w:r>
      <w:proofErr w:type="spellStart"/>
      <w:r>
        <w:rPr>
          <w:rFonts w:ascii="Arial" w:hAnsi="Arial" w:cs="Arial"/>
          <w:lang w:val="en-US" w:eastAsia="cs-CZ"/>
        </w:rPr>
        <w:t>zákona</w:t>
      </w:r>
      <w:proofErr w:type="spellEnd"/>
      <w:r>
        <w:rPr>
          <w:rFonts w:ascii="Arial" w:hAnsi="Arial" w:cs="Arial"/>
          <w:lang w:val="en-US" w:eastAsia="cs-CZ"/>
        </w:rPr>
        <w:t xml:space="preserve"> </w:t>
      </w:r>
      <w:proofErr w:type="spellStart"/>
      <w:r>
        <w:rPr>
          <w:rFonts w:ascii="Arial" w:hAnsi="Arial" w:cs="Arial"/>
          <w:lang w:val="en-US" w:eastAsia="cs-CZ"/>
        </w:rPr>
        <w:t>číslo</w:t>
      </w:r>
      <w:proofErr w:type="spellEnd"/>
      <w:r>
        <w:rPr>
          <w:rFonts w:ascii="Arial" w:hAnsi="Arial" w:cs="Arial"/>
          <w:lang w:val="en-US" w:eastAsia="cs-CZ"/>
        </w:rPr>
        <w:t xml:space="preserve"> 89/2012 Sb. - </w:t>
      </w:r>
      <w:proofErr w:type="spellStart"/>
      <w:r w:rsidR="00D9302D">
        <w:rPr>
          <w:rFonts w:ascii="Arial" w:hAnsi="Arial" w:cs="Arial"/>
          <w:lang w:val="en-US" w:eastAsia="cs-CZ"/>
        </w:rPr>
        <w:t>O</w:t>
      </w:r>
      <w:r>
        <w:rPr>
          <w:rFonts w:ascii="Arial" w:hAnsi="Arial" w:cs="Arial"/>
          <w:lang w:val="en-US" w:eastAsia="cs-CZ"/>
        </w:rPr>
        <w:t>bčanský</w:t>
      </w:r>
      <w:proofErr w:type="spellEnd"/>
      <w:r>
        <w:rPr>
          <w:rFonts w:ascii="Arial" w:hAnsi="Arial" w:cs="Arial"/>
          <w:lang w:val="en-US" w:eastAsia="cs-CZ"/>
        </w:rPr>
        <w:t xml:space="preserve"> </w:t>
      </w:r>
      <w:proofErr w:type="spellStart"/>
      <w:r>
        <w:rPr>
          <w:rFonts w:ascii="Arial" w:hAnsi="Arial" w:cs="Arial"/>
          <w:lang w:val="en-US" w:eastAsia="cs-CZ"/>
        </w:rPr>
        <w:t>zákoník</w:t>
      </w:r>
      <w:proofErr w:type="spellEnd"/>
      <w:r>
        <w:rPr>
          <w:rFonts w:ascii="Arial" w:hAnsi="Arial" w:cs="Arial"/>
          <w:lang w:val="en-US" w:eastAsia="cs-CZ"/>
        </w:rPr>
        <w:t xml:space="preserve"> v </w:t>
      </w:r>
      <w:proofErr w:type="spellStart"/>
      <w:r>
        <w:rPr>
          <w:rFonts w:ascii="Arial" w:hAnsi="Arial" w:cs="Arial"/>
          <w:lang w:val="en-US" w:eastAsia="cs-CZ"/>
        </w:rPr>
        <w:t>platném</w:t>
      </w:r>
      <w:proofErr w:type="spellEnd"/>
      <w:r>
        <w:rPr>
          <w:rFonts w:ascii="Arial" w:hAnsi="Arial" w:cs="Arial"/>
          <w:lang w:val="en-US" w:eastAsia="cs-CZ"/>
        </w:rPr>
        <w:t xml:space="preserve"> </w:t>
      </w:r>
      <w:proofErr w:type="spellStart"/>
      <w:r>
        <w:rPr>
          <w:rFonts w:ascii="Arial" w:hAnsi="Arial" w:cs="Arial"/>
          <w:lang w:val="en-US" w:eastAsia="cs-CZ"/>
        </w:rPr>
        <w:t>znění</w:t>
      </w:r>
      <w:proofErr w:type="spellEnd"/>
      <w:r>
        <w:rPr>
          <w:rFonts w:ascii="Arial" w:hAnsi="Arial" w:cs="Arial"/>
          <w:lang w:val="en-US" w:eastAsia="cs-CZ"/>
        </w:rPr>
        <w:t xml:space="preserve"> </w:t>
      </w:r>
    </w:p>
    <w:p w14:paraId="5C853E80" w14:textId="77777777" w:rsidR="00A93872" w:rsidRDefault="00A93872" w:rsidP="00C57548">
      <w:pPr>
        <w:pStyle w:val="Bezmezer1"/>
        <w:jc w:val="center"/>
        <w:rPr>
          <w:rFonts w:ascii="Arial" w:hAnsi="Arial" w:cs="Arial"/>
          <w:b/>
        </w:rPr>
      </w:pPr>
    </w:p>
    <w:p w14:paraId="6337725F" w14:textId="77777777" w:rsidR="005577E8" w:rsidRDefault="005577E8" w:rsidP="00C57548">
      <w:pPr>
        <w:pStyle w:val="Bezmezer1"/>
        <w:jc w:val="center"/>
        <w:rPr>
          <w:rFonts w:ascii="Arial" w:hAnsi="Arial" w:cs="Arial"/>
          <w:b/>
        </w:rPr>
      </w:pPr>
    </w:p>
    <w:p w14:paraId="1D3DBE8D" w14:textId="3BB67F1E" w:rsidR="00C57548" w:rsidRDefault="00C57548" w:rsidP="00C57548">
      <w:pPr>
        <w:pStyle w:val="Bezmezer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14:paraId="470E95AA" w14:textId="69499697" w:rsidR="008F5157" w:rsidRPr="008F5157" w:rsidRDefault="008F5157" w:rsidP="008F5157">
      <w:pPr>
        <w:pStyle w:val="Bezmezer1"/>
        <w:tabs>
          <w:tab w:val="center" w:pos="1560"/>
        </w:tabs>
        <w:rPr>
          <w:rFonts w:ascii="Arial" w:hAnsi="Arial" w:cs="Arial"/>
          <w:b/>
        </w:rPr>
      </w:pP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  <w:b/>
        </w:rPr>
        <w:t>Sportovní a rekreační zařízení města Ostravy, s.r.o.</w:t>
      </w:r>
    </w:p>
    <w:p w14:paraId="4266391B" w14:textId="6007B458" w:rsidR="008F5157" w:rsidRPr="008F5157" w:rsidRDefault="006061D6" w:rsidP="008F5157">
      <w:pPr>
        <w:pStyle w:val="Bezmezer1"/>
        <w:tabs>
          <w:tab w:val="center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8F5157" w:rsidRPr="008F5157">
        <w:rPr>
          <w:rFonts w:ascii="Arial" w:hAnsi="Arial" w:cs="Arial"/>
        </w:rPr>
        <w:tab/>
        <w:t xml:space="preserve">Čkalovova 6144/20, </w:t>
      </w:r>
      <w:r>
        <w:rPr>
          <w:rFonts w:ascii="Arial" w:hAnsi="Arial" w:cs="Arial"/>
        </w:rPr>
        <w:t xml:space="preserve">Poruba, </w:t>
      </w:r>
      <w:r w:rsidR="008F5157" w:rsidRPr="008F5157">
        <w:rPr>
          <w:rFonts w:ascii="Arial" w:hAnsi="Arial" w:cs="Arial"/>
        </w:rPr>
        <w:t>708 00 Ostrava</w:t>
      </w:r>
    </w:p>
    <w:p w14:paraId="5B2A00E8" w14:textId="08BEC461" w:rsidR="006061D6" w:rsidRPr="008F5157" w:rsidRDefault="006061D6" w:rsidP="006061D6">
      <w:pPr>
        <w:pStyle w:val="Bezmezer1"/>
        <w:tabs>
          <w:tab w:val="center" w:pos="1560"/>
        </w:tabs>
        <w:rPr>
          <w:rFonts w:ascii="Arial" w:hAnsi="Arial" w:cs="Arial"/>
        </w:rPr>
      </w:pPr>
      <w:r w:rsidRPr="008F5157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2</w:t>
      </w:r>
      <w:r w:rsidRPr="008F5157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</w:t>
      </w:r>
      <w:r w:rsidRPr="008F5157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</w:t>
      </w:r>
      <w:r w:rsidRPr="008F5157">
        <w:rPr>
          <w:rFonts w:ascii="Arial" w:hAnsi="Arial" w:cs="Arial"/>
        </w:rPr>
        <w:t>691</w:t>
      </w:r>
      <w:r>
        <w:rPr>
          <w:rFonts w:ascii="Arial" w:hAnsi="Arial" w:cs="Arial"/>
        </w:rPr>
        <w:t xml:space="preserve">, </w:t>
      </w:r>
      <w:r w:rsidRPr="008F5157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</w:t>
      </w:r>
      <w:r w:rsidRPr="008F5157">
        <w:rPr>
          <w:rFonts w:ascii="Arial" w:hAnsi="Arial" w:cs="Arial"/>
        </w:rPr>
        <w:t>Z25385691</w:t>
      </w:r>
    </w:p>
    <w:p w14:paraId="5B77C2B2" w14:textId="7BCFE199" w:rsidR="006061D6" w:rsidRPr="006061D6" w:rsidRDefault="006061D6" w:rsidP="006061D6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zapsána</w:t>
      </w:r>
      <w:r w:rsidRPr="008F5157">
        <w:rPr>
          <w:rFonts w:ascii="Arial" w:hAnsi="Arial" w:cs="Arial"/>
        </w:rPr>
        <w:t xml:space="preserve"> v obchodním rejstříku, vedeného Krajským soudem v</w:t>
      </w:r>
      <w:r>
        <w:rPr>
          <w:rFonts w:ascii="Arial" w:hAnsi="Arial" w:cs="Arial"/>
        </w:rPr>
        <w:t> </w:t>
      </w:r>
      <w:r w:rsidRPr="008F5157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, </w:t>
      </w:r>
      <w:r w:rsidRPr="008F5157">
        <w:rPr>
          <w:rFonts w:ascii="Arial" w:hAnsi="Arial" w:cs="Arial"/>
        </w:rPr>
        <w:t>oddíl C, vložka 17345</w:t>
      </w:r>
    </w:p>
    <w:p w14:paraId="64EE23B8" w14:textId="2CBE1703" w:rsidR="006061D6" w:rsidRPr="008F5157" w:rsidRDefault="006061D6" w:rsidP="006061D6">
      <w:pPr>
        <w:pStyle w:val="Bezmezer1"/>
        <w:tabs>
          <w:tab w:val="center" w:pos="1560"/>
        </w:tabs>
        <w:rPr>
          <w:rFonts w:ascii="Arial" w:hAnsi="Arial" w:cs="Arial"/>
        </w:rPr>
      </w:pPr>
      <w:r w:rsidRPr="008F5157">
        <w:rPr>
          <w:rFonts w:ascii="Arial" w:hAnsi="Arial" w:cs="Arial"/>
        </w:rPr>
        <w:t>ID dat. schránek:</w:t>
      </w:r>
      <w:r>
        <w:rPr>
          <w:rFonts w:ascii="Arial" w:hAnsi="Arial" w:cs="Arial"/>
        </w:rPr>
        <w:t xml:space="preserve"> </w:t>
      </w:r>
      <w:r w:rsidRPr="008F5157">
        <w:rPr>
          <w:rFonts w:ascii="Arial" w:hAnsi="Arial" w:cs="Arial"/>
        </w:rPr>
        <w:t>Y9n3tvw</w:t>
      </w:r>
    </w:p>
    <w:p w14:paraId="420E5E98" w14:textId="1BC0EE39" w:rsidR="006061D6" w:rsidRDefault="006061D6" w:rsidP="008F5157">
      <w:pPr>
        <w:pStyle w:val="Bezmezer1"/>
        <w:tabs>
          <w:tab w:val="center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zastoupen jednatelem společnosti Ing. Jaroslavem Kovářem </w:t>
      </w:r>
    </w:p>
    <w:p w14:paraId="787FF3A0" w14:textId="77777777" w:rsidR="008F5157" w:rsidRPr="008F5157" w:rsidRDefault="008F5157" w:rsidP="008F5157">
      <w:pPr>
        <w:pStyle w:val="Bezmezer1"/>
        <w:tabs>
          <w:tab w:val="center" w:pos="1560"/>
        </w:tabs>
        <w:rPr>
          <w:rFonts w:ascii="Arial" w:hAnsi="Arial" w:cs="Arial"/>
        </w:rPr>
      </w:pPr>
      <w:r w:rsidRPr="008F5157">
        <w:rPr>
          <w:rFonts w:ascii="Arial" w:hAnsi="Arial" w:cs="Arial"/>
        </w:rPr>
        <w:t xml:space="preserve">                                           </w:t>
      </w:r>
    </w:p>
    <w:p w14:paraId="5FB23E67" w14:textId="7702A078" w:rsidR="008F5157" w:rsidRPr="008F5157" w:rsidRDefault="006061D6" w:rsidP="006061D6">
      <w:pPr>
        <w:pStyle w:val="Bezmezer1"/>
        <w:numPr>
          <w:ilvl w:val="0"/>
          <w:numId w:val="13"/>
        </w:numPr>
        <w:tabs>
          <w:tab w:val="center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 straně jedné jako </w:t>
      </w:r>
      <w:r w:rsidR="008F5157" w:rsidRPr="005577E8">
        <w:rPr>
          <w:rFonts w:ascii="Arial" w:hAnsi="Arial" w:cs="Arial"/>
          <w:b/>
          <w:bCs/>
        </w:rPr>
        <w:t>poskytovatel</w:t>
      </w:r>
    </w:p>
    <w:p w14:paraId="7BC09A73" w14:textId="77777777" w:rsidR="008F5157" w:rsidRDefault="008F5157" w:rsidP="008F5157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5410EA3B" w14:textId="39653C21" w:rsidR="008F5157" w:rsidRPr="008F5157" w:rsidRDefault="008F5157" w:rsidP="008F5157">
      <w:pPr>
        <w:pStyle w:val="Bezmezer1"/>
        <w:tabs>
          <w:tab w:val="center" w:pos="1560"/>
        </w:tabs>
        <w:rPr>
          <w:rFonts w:ascii="Arial" w:hAnsi="Arial" w:cs="Arial"/>
          <w:b/>
          <w:u w:val="single"/>
        </w:rPr>
      </w:pPr>
      <w:r w:rsidRPr="008F5157">
        <w:rPr>
          <w:rFonts w:ascii="Arial" w:hAnsi="Arial" w:cs="Arial"/>
        </w:rPr>
        <w:t>a</w:t>
      </w:r>
    </w:p>
    <w:p w14:paraId="30FAE90A" w14:textId="77777777" w:rsidR="008F5157" w:rsidRDefault="008F5157" w:rsidP="008F5157">
      <w:pPr>
        <w:pStyle w:val="Bezmezer1"/>
        <w:tabs>
          <w:tab w:val="center" w:pos="1560"/>
        </w:tabs>
        <w:rPr>
          <w:rFonts w:ascii="Arial" w:hAnsi="Arial" w:cs="Arial"/>
          <w:b/>
        </w:rPr>
      </w:pPr>
    </w:p>
    <w:p w14:paraId="3F4DEA55" w14:textId="3AD30F6F" w:rsidR="008F5157" w:rsidRPr="008F5157" w:rsidRDefault="008F5157" w:rsidP="008F5157">
      <w:pPr>
        <w:pStyle w:val="Bezmezer1"/>
        <w:tabs>
          <w:tab w:val="center" w:pos="1560"/>
        </w:tabs>
        <w:rPr>
          <w:rFonts w:ascii="Arial" w:hAnsi="Arial" w:cs="Arial"/>
        </w:rPr>
      </w:pPr>
      <w:r w:rsidRPr="008F5157">
        <w:rPr>
          <w:rFonts w:ascii="Arial" w:hAnsi="Arial" w:cs="Arial"/>
          <w:b/>
        </w:rPr>
        <w:t>RT TORAX, s. r. o.</w:t>
      </w:r>
    </w:p>
    <w:p w14:paraId="574AE4C4" w14:textId="7C2CF801" w:rsidR="006061D6" w:rsidRPr="008F5157" w:rsidRDefault="005577E8" w:rsidP="006061D6">
      <w:pPr>
        <w:pStyle w:val="Bezmezer1"/>
        <w:tabs>
          <w:tab w:val="center" w:pos="156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061D6">
        <w:rPr>
          <w:rFonts w:ascii="Arial" w:hAnsi="Arial" w:cs="Arial"/>
        </w:rPr>
        <w:t xml:space="preserve">e sídlem </w:t>
      </w:r>
      <w:r w:rsidR="006061D6" w:rsidRPr="008F5157">
        <w:rPr>
          <w:rFonts w:ascii="Arial" w:hAnsi="Arial" w:cs="Arial"/>
        </w:rPr>
        <w:t>Rudná 2378/100,</w:t>
      </w:r>
      <w:r w:rsidR="006061D6">
        <w:rPr>
          <w:rFonts w:ascii="Arial" w:hAnsi="Arial" w:cs="Arial"/>
        </w:rPr>
        <w:t xml:space="preserve"> Zábřeh,</w:t>
      </w:r>
      <w:r w:rsidR="006061D6" w:rsidRPr="008F5157">
        <w:rPr>
          <w:rFonts w:ascii="Arial" w:hAnsi="Arial" w:cs="Arial"/>
        </w:rPr>
        <w:t xml:space="preserve"> 700 30 Ostrava</w:t>
      </w:r>
    </w:p>
    <w:p w14:paraId="305172AC" w14:textId="78622BF9" w:rsidR="006061D6" w:rsidRPr="008F5157" w:rsidRDefault="006061D6" w:rsidP="006061D6">
      <w:pPr>
        <w:pStyle w:val="Bezmezer1"/>
        <w:tabs>
          <w:tab w:val="center" w:pos="1560"/>
        </w:tabs>
        <w:rPr>
          <w:rFonts w:ascii="Arial" w:hAnsi="Arial" w:cs="Arial"/>
        </w:rPr>
      </w:pPr>
      <w:r w:rsidRPr="008F5157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8F5157">
        <w:rPr>
          <w:rFonts w:ascii="Arial" w:hAnsi="Arial" w:cs="Arial"/>
        </w:rPr>
        <w:t>603 19</w:t>
      </w:r>
      <w:r>
        <w:rPr>
          <w:rFonts w:ascii="Arial" w:hAnsi="Arial" w:cs="Arial"/>
        </w:rPr>
        <w:t> </w:t>
      </w:r>
      <w:r w:rsidRPr="008F5157">
        <w:rPr>
          <w:rFonts w:ascii="Arial" w:hAnsi="Arial" w:cs="Arial"/>
        </w:rPr>
        <w:t>305</w:t>
      </w:r>
    </w:p>
    <w:p w14:paraId="10DFEE6C" w14:textId="319851A1" w:rsidR="008F5157" w:rsidRPr="008F5157" w:rsidRDefault="006061D6" w:rsidP="006061D6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</w:t>
      </w:r>
      <w:r w:rsidR="008F5157" w:rsidRPr="008F5157">
        <w:rPr>
          <w:rFonts w:ascii="Arial" w:hAnsi="Arial" w:cs="Arial"/>
        </w:rPr>
        <w:t>zapsána v obchodním rejstříku, vedeného Krajským soudem v</w:t>
      </w:r>
      <w:r>
        <w:rPr>
          <w:rFonts w:ascii="Arial" w:hAnsi="Arial" w:cs="Arial"/>
        </w:rPr>
        <w:t> </w:t>
      </w:r>
      <w:r w:rsidR="008F5157" w:rsidRPr="008F5157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, </w:t>
      </w:r>
      <w:r w:rsidR="008F5157" w:rsidRPr="008F5157">
        <w:rPr>
          <w:rFonts w:ascii="Arial" w:hAnsi="Arial" w:cs="Arial"/>
        </w:rPr>
        <w:t>oddíl C, vložka 11707</w:t>
      </w:r>
    </w:p>
    <w:p w14:paraId="433A2089" w14:textId="77777777" w:rsidR="005577E8" w:rsidRPr="008F5157" w:rsidRDefault="005577E8" w:rsidP="005577E8">
      <w:pPr>
        <w:pStyle w:val="Bezmezer1"/>
        <w:tabs>
          <w:tab w:val="center" w:pos="1560"/>
        </w:tabs>
        <w:rPr>
          <w:rFonts w:ascii="Arial" w:hAnsi="Arial" w:cs="Arial"/>
        </w:rPr>
      </w:pPr>
      <w:r w:rsidRPr="008F5157">
        <w:rPr>
          <w:rFonts w:ascii="Arial" w:hAnsi="Arial" w:cs="Arial"/>
        </w:rPr>
        <w:t>ID dat. schránek:</w:t>
      </w:r>
      <w:r>
        <w:rPr>
          <w:rFonts w:ascii="Arial" w:hAnsi="Arial" w:cs="Arial"/>
        </w:rPr>
        <w:t xml:space="preserve"> </w:t>
      </w:r>
      <w:hyperlink r:id="rId5" w:tooltip="Kontakty: Datová schránka" w:history="1">
        <w:r w:rsidRPr="008F5157">
          <w:rPr>
            <w:rStyle w:val="Hypertextovodkaz"/>
            <w:rFonts w:ascii="Arial" w:hAnsi="Arial" w:cs="Arial"/>
          </w:rPr>
          <w:t>teuyeg2</w:t>
        </w:r>
      </w:hyperlink>
    </w:p>
    <w:p w14:paraId="64551D4B" w14:textId="19853786" w:rsidR="008F5157" w:rsidRPr="008F5157" w:rsidRDefault="006061D6" w:rsidP="008F5157">
      <w:pPr>
        <w:pStyle w:val="Bezmezer1"/>
        <w:tabs>
          <w:tab w:val="center" w:pos="1560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AU"/>
        </w:rPr>
        <w:t>zastoupen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jednatelem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společnosti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 w:rsidR="008F5157" w:rsidRPr="008F5157">
        <w:rPr>
          <w:rFonts w:ascii="Arial" w:hAnsi="Arial" w:cs="Arial"/>
          <w:lang w:val="en-AU"/>
        </w:rPr>
        <w:t>Tomáš</w:t>
      </w:r>
      <w:r>
        <w:rPr>
          <w:rFonts w:ascii="Arial" w:hAnsi="Arial" w:cs="Arial"/>
          <w:lang w:val="en-AU"/>
        </w:rPr>
        <w:t>em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 w:rsidR="008F5157" w:rsidRPr="008F5157">
        <w:rPr>
          <w:rFonts w:ascii="Arial" w:hAnsi="Arial" w:cs="Arial"/>
          <w:lang w:val="en-AU"/>
        </w:rPr>
        <w:t>Häring</w:t>
      </w:r>
      <w:r>
        <w:rPr>
          <w:rFonts w:ascii="Arial" w:hAnsi="Arial" w:cs="Arial"/>
          <w:lang w:val="en-AU"/>
        </w:rPr>
        <w:t>em</w:t>
      </w:r>
      <w:proofErr w:type="spellEnd"/>
    </w:p>
    <w:p w14:paraId="03AC79F9" w14:textId="77777777" w:rsidR="000C69EE" w:rsidRDefault="000C69EE" w:rsidP="000C69EE">
      <w:pPr>
        <w:pStyle w:val="Bezmezer1"/>
        <w:tabs>
          <w:tab w:val="left" w:pos="2127"/>
        </w:tabs>
        <w:ind w:left="720"/>
        <w:rPr>
          <w:rFonts w:ascii="Arial" w:hAnsi="Arial" w:cs="Arial"/>
        </w:rPr>
      </w:pPr>
    </w:p>
    <w:p w14:paraId="3B605761" w14:textId="74B7BE44" w:rsidR="00F14DFB" w:rsidRDefault="00F14DFB" w:rsidP="00F14DFB">
      <w:pPr>
        <w:pStyle w:val="Bezmezer1"/>
        <w:numPr>
          <w:ilvl w:val="0"/>
          <w:numId w:val="3"/>
        </w:num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6061D6">
        <w:rPr>
          <w:rFonts w:ascii="Arial" w:hAnsi="Arial" w:cs="Arial"/>
        </w:rPr>
        <w:t xml:space="preserve"> jako </w:t>
      </w:r>
      <w:r w:rsidR="006061D6" w:rsidRPr="005577E8">
        <w:rPr>
          <w:rFonts w:ascii="Arial" w:hAnsi="Arial" w:cs="Arial"/>
          <w:b/>
          <w:bCs/>
        </w:rPr>
        <w:t>objednatel</w:t>
      </w:r>
    </w:p>
    <w:p w14:paraId="7FA89BEB" w14:textId="45D0F1F5" w:rsidR="00F14DFB" w:rsidRDefault="00F14DFB" w:rsidP="00F14DFB">
      <w:pPr>
        <w:pStyle w:val="Bezmezer1"/>
        <w:tabs>
          <w:tab w:val="left" w:pos="2127"/>
        </w:tabs>
        <w:rPr>
          <w:rFonts w:ascii="Arial" w:hAnsi="Arial" w:cs="Arial"/>
        </w:rPr>
      </w:pPr>
    </w:p>
    <w:p w14:paraId="7BDF22DC" w14:textId="77777777" w:rsidR="00F14DFB" w:rsidRDefault="00F14DFB" w:rsidP="00F14DFB">
      <w:pPr>
        <w:pStyle w:val="Bezmezer1"/>
        <w:tabs>
          <w:tab w:val="left" w:pos="2127"/>
        </w:tabs>
        <w:rPr>
          <w:rFonts w:ascii="Arial" w:hAnsi="Arial" w:cs="Arial"/>
        </w:rPr>
      </w:pPr>
    </w:p>
    <w:p w14:paraId="7B9F29CE" w14:textId="5F0856BF" w:rsidR="00F14DFB" w:rsidRDefault="00F14DFB" w:rsidP="00F14DFB">
      <w:pPr>
        <w:pStyle w:val="Bezmezer1"/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níže v textu společně též </w:t>
      </w:r>
      <w:r w:rsidRPr="005577E8">
        <w:rPr>
          <w:rFonts w:ascii="Arial" w:hAnsi="Arial" w:cs="Arial"/>
          <w:b/>
          <w:bCs/>
        </w:rPr>
        <w:t>smluvní strany</w:t>
      </w:r>
    </w:p>
    <w:p w14:paraId="02651449" w14:textId="77777777" w:rsidR="00F14DFB" w:rsidRPr="00F14DFB" w:rsidRDefault="00F14DFB" w:rsidP="00F14DFB">
      <w:pPr>
        <w:pStyle w:val="Bezmezer1"/>
        <w:tabs>
          <w:tab w:val="left" w:pos="2127"/>
        </w:tabs>
        <w:rPr>
          <w:rFonts w:ascii="Arial" w:hAnsi="Arial" w:cs="Arial"/>
        </w:rPr>
      </w:pPr>
    </w:p>
    <w:p w14:paraId="483D9978" w14:textId="77777777" w:rsidR="00C57548" w:rsidRDefault="00C57548" w:rsidP="00C57548">
      <w:pPr>
        <w:pStyle w:val="Bezmezer1"/>
        <w:tabs>
          <w:tab w:val="left" w:pos="2127"/>
        </w:tabs>
        <w:rPr>
          <w:rFonts w:ascii="Arial" w:hAnsi="Arial" w:cs="Arial"/>
          <w:b/>
        </w:rPr>
      </w:pPr>
    </w:p>
    <w:p w14:paraId="7E357AB0" w14:textId="77777777" w:rsidR="00C57548" w:rsidRDefault="00C57548" w:rsidP="00C57548">
      <w:pPr>
        <w:pStyle w:val="Bezmezer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jsou oprávněny ke sjednání této Dohody o narovnání a k plnění závazků z ní vyplývajících podle platných právních předpisů. </w:t>
      </w:r>
    </w:p>
    <w:p w14:paraId="64B0B9EE" w14:textId="77777777" w:rsidR="00C57548" w:rsidRDefault="00C57548" w:rsidP="00C57548">
      <w:pPr>
        <w:pStyle w:val="Bezmezer1"/>
        <w:jc w:val="center"/>
        <w:rPr>
          <w:rFonts w:ascii="Arial" w:hAnsi="Arial" w:cs="Arial"/>
          <w:b/>
        </w:rPr>
      </w:pPr>
    </w:p>
    <w:p w14:paraId="5D6088EF" w14:textId="77777777" w:rsidR="005577E8" w:rsidRDefault="005577E8" w:rsidP="00C57548">
      <w:pPr>
        <w:pStyle w:val="Bezmezer1"/>
        <w:jc w:val="center"/>
        <w:rPr>
          <w:rFonts w:ascii="Arial" w:hAnsi="Arial" w:cs="Arial"/>
          <w:b/>
        </w:rPr>
      </w:pPr>
    </w:p>
    <w:p w14:paraId="6AD9D35F" w14:textId="612B837F" w:rsidR="00C57548" w:rsidRDefault="00C57548" w:rsidP="00C57548">
      <w:pPr>
        <w:pStyle w:val="Bezmezer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II </w:t>
      </w:r>
    </w:p>
    <w:p w14:paraId="10613351" w14:textId="06C217FF" w:rsidR="002B0750" w:rsidRDefault="00C57548" w:rsidP="00F14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A93872" w:rsidRPr="00F14DFB">
        <w:rPr>
          <w:rFonts w:ascii="Arial" w:hAnsi="Arial" w:cs="Arial"/>
        </w:rPr>
        <w:t>, vedené snahou o mimosoudní urovnání mezi nimi vzniklých práv a nároků shodně konstatují, že</w:t>
      </w:r>
      <w:r w:rsidR="002B0750">
        <w:rPr>
          <w:rFonts w:ascii="Arial" w:hAnsi="Arial" w:cs="Arial"/>
        </w:rPr>
        <w:t xml:space="preserve">: </w:t>
      </w:r>
    </w:p>
    <w:p w14:paraId="4A7856AF" w14:textId="450035E0" w:rsidR="006061D6" w:rsidRPr="008F5157" w:rsidRDefault="002B0750" w:rsidP="006061D6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  <w:r w:rsidRPr="008F5157">
        <w:rPr>
          <w:rFonts w:ascii="Arial" w:hAnsi="Arial" w:cs="Arial"/>
        </w:rPr>
        <w:t xml:space="preserve">Dne 14. </w:t>
      </w:r>
      <w:r w:rsidR="008F5157">
        <w:rPr>
          <w:rFonts w:ascii="Arial" w:hAnsi="Arial" w:cs="Arial"/>
        </w:rPr>
        <w:t>9</w:t>
      </w:r>
      <w:r w:rsidRPr="008F5157">
        <w:rPr>
          <w:rFonts w:ascii="Arial" w:hAnsi="Arial" w:cs="Arial"/>
        </w:rPr>
        <w:t>. 202</w:t>
      </w:r>
      <w:r w:rsidR="008F5157">
        <w:rPr>
          <w:rFonts w:ascii="Arial" w:hAnsi="Arial" w:cs="Arial"/>
        </w:rPr>
        <w:t>2</w:t>
      </w:r>
      <w:r w:rsidRPr="008F5157">
        <w:rPr>
          <w:rFonts w:ascii="Arial" w:hAnsi="Arial" w:cs="Arial"/>
        </w:rPr>
        <w:t xml:space="preserve"> byla mezi objednatelem </w:t>
      </w:r>
      <w:r w:rsidR="008F5157">
        <w:rPr>
          <w:rFonts w:ascii="Arial" w:hAnsi="Arial" w:cs="Arial"/>
        </w:rPr>
        <w:t xml:space="preserve">RT TORAX, s.r.o. </w:t>
      </w:r>
      <w:r w:rsidRPr="008F5157">
        <w:rPr>
          <w:rFonts w:ascii="Arial" w:hAnsi="Arial" w:cs="Arial"/>
        </w:rPr>
        <w:t>a</w:t>
      </w:r>
      <w:r w:rsidR="008F5157">
        <w:rPr>
          <w:rFonts w:ascii="Arial" w:hAnsi="Arial" w:cs="Arial"/>
        </w:rPr>
        <w:t xml:space="preserve"> poskytovatelem Sportovní a rekreační zařízení města Ostravy, s.r.o. </w:t>
      </w:r>
      <w:r w:rsidRPr="008F5157">
        <w:rPr>
          <w:rFonts w:ascii="Arial" w:hAnsi="Arial" w:cs="Arial"/>
        </w:rPr>
        <w:t>uzavřena Smlouva o</w:t>
      </w:r>
      <w:r w:rsidR="008F5157">
        <w:rPr>
          <w:rFonts w:ascii="Arial" w:hAnsi="Arial" w:cs="Arial"/>
        </w:rPr>
        <w:t xml:space="preserve"> reklamním partnerství</w:t>
      </w:r>
      <w:r w:rsidRPr="008F5157">
        <w:rPr>
          <w:rFonts w:ascii="Arial" w:hAnsi="Arial" w:cs="Arial"/>
        </w:rPr>
        <w:t xml:space="preserve">, jejímž předmětem </w:t>
      </w:r>
      <w:r w:rsidR="008F5157" w:rsidRPr="008F5157">
        <w:rPr>
          <w:rFonts w:ascii="Arial" w:hAnsi="Arial" w:cs="Arial"/>
        </w:rPr>
        <w:t>je poskytnutí propagace a reklamy objednatele, a to v rozsahu a za podmínek uvedených v</w:t>
      </w:r>
      <w:r w:rsidR="008F5157">
        <w:rPr>
          <w:rFonts w:ascii="Arial" w:hAnsi="Arial" w:cs="Arial"/>
        </w:rPr>
        <w:t>e</w:t>
      </w:r>
      <w:r w:rsidR="008F5157" w:rsidRPr="008F5157">
        <w:rPr>
          <w:rFonts w:ascii="Arial" w:hAnsi="Arial" w:cs="Arial"/>
        </w:rPr>
        <w:t xml:space="preserve"> smlouvě a v Příloze č.1 a povinnosti objednatele zaplatit za takto řádně poskytnuté plnění jeho sjednanou smluvní cenu</w:t>
      </w:r>
      <w:r w:rsidR="006061D6">
        <w:rPr>
          <w:rFonts w:ascii="Arial" w:hAnsi="Arial" w:cs="Arial"/>
        </w:rPr>
        <w:t>, přičemž  ú</w:t>
      </w:r>
      <w:r w:rsidR="006061D6" w:rsidRPr="008F5157">
        <w:rPr>
          <w:rFonts w:ascii="Arial" w:hAnsi="Arial" w:cs="Arial"/>
        </w:rPr>
        <w:t>čelem plnění je zlepšení povědomí o objednateli a propagace obchodní firmy objednatele v souvislosti s projektem označením haly č. I „RT TORAX ARÉNA“.</w:t>
      </w:r>
    </w:p>
    <w:p w14:paraId="3C4169B8" w14:textId="77777777" w:rsidR="006061D6" w:rsidRDefault="006061D6" w:rsidP="008F5157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</w:p>
    <w:p w14:paraId="39B7D1B1" w14:textId="4770537A" w:rsidR="008F5157" w:rsidRPr="008F5157" w:rsidRDefault="008F5157" w:rsidP="008F5157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  <w:r w:rsidRPr="008F5157">
        <w:rPr>
          <w:rFonts w:ascii="Arial" w:hAnsi="Arial" w:cs="Arial"/>
        </w:rPr>
        <w:t xml:space="preserve">Poskytovatel je </w:t>
      </w:r>
      <w:r w:rsidRPr="008F5157">
        <w:rPr>
          <w:rFonts w:ascii="Arial" w:hAnsi="Arial" w:cs="Arial"/>
          <w:bCs/>
        </w:rPr>
        <w:t xml:space="preserve">výlučným vlastníkem nemovitosti – Multifunkčního areálu (sestávající </w:t>
      </w:r>
      <w:r w:rsidR="005577E8">
        <w:rPr>
          <w:rFonts w:ascii="Arial" w:hAnsi="Arial" w:cs="Arial"/>
          <w:bCs/>
        </w:rPr>
        <w:t xml:space="preserve">se </w:t>
      </w:r>
      <w:r w:rsidRPr="008F5157">
        <w:rPr>
          <w:rFonts w:ascii="Arial" w:hAnsi="Arial" w:cs="Arial"/>
          <w:bCs/>
        </w:rPr>
        <w:t>ze dvou hal) č</w:t>
      </w:r>
      <w:r w:rsidR="005577E8">
        <w:rPr>
          <w:rFonts w:ascii="Arial" w:hAnsi="Arial" w:cs="Arial"/>
          <w:bCs/>
        </w:rPr>
        <w:t>.</w:t>
      </w:r>
      <w:r w:rsidRPr="008F5157">
        <w:rPr>
          <w:rFonts w:ascii="Arial" w:hAnsi="Arial" w:cs="Arial"/>
          <w:bCs/>
        </w:rPr>
        <w:t xml:space="preserve">p. 6144 občanská vybavenost na pozemku </w:t>
      </w:r>
      <w:proofErr w:type="spellStart"/>
      <w:r w:rsidRPr="008F5157">
        <w:rPr>
          <w:rFonts w:ascii="Arial" w:hAnsi="Arial" w:cs="Arial"/>
          <w:bCs/>
        </w:rPr>
        <w:t>parc</w:t>
      </w:r>
      <w:proofErr w:type="spellEnd"/>
      <w:r w:rsidRPr="008F5157">
        <w:rPr>
          <w:rFonts w:ascii="Arial" w:hAnsi="Arial" w:cs="Arial"/>
          <w:bCs/>
        </w:rPr>
        <w:t xml:space="preserve">. č. 1281/3 (hala č. I) a </w:t>
      </w:r>
      <w:proofErr w:type="spellStart"/>
      <w:r w:rsidRPr="008F5157">
        <w:rPr>
          <w:rFonts w:ascii="Arial" w:hAnsi="Arial" w:cs="Arial"/>
          <w:bCs/>
        </w:rPr>
        <w:t>parc</w:t>
      </w:r>
      <w:proofErr w:type="spellEnd"/>
      <w:r w:rsidRPr="008F5157">
        <w:rPr>
          <w:rFonts w:ascii="Arial" w:hAnsi="Arial" w:cs="Arial"/>
          <w:bCs/>
        </w:rPr>
        <w:t xml:space="preserve">. č. 1281/18 (hala č. II) zastavěná plocha a nádvoří v k. </w:t>
      </w:r>
      <w:proofErr w:type="spellStart"/>
      <w:r w:rsidRPr="008F5157">
        <w:rPr>
          <w:rFonts w:ascii="Arial" w:hAnsi="Arial" w:cs="Arial"/>
          <w:bCs/>
        </w:rPr>
        <w:t>ú.</w:t>
      </w:r>
      <w:proofErr w:type="spellEnd"/>
      <w:r w:rsidRPr="008F5157">
        <w:rPr>
          <w:rFonts w:ascii="Arial" w:hAnsi="Arial" w:cs="Arial"/>
          <w:bCs/>
        </w:rPr>
        <w:t xml:space="preserve"> Poruba, obec Ostrava, zapsané na LV č. 289.  </w:t>
      </w:r>
    </w:p>
    <w:p w14:paraId="6C6B7165" w14:textId="43AB0D7F" w:rsidR="008F5157" w:rsidRDefault="008F5157" w:rsidP="008F5157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</w:p>
    <w:p w14:paraId="415B5A25" w14:textId="6809BEF7" w:rsidR="008F5157" w:rsidRDefault="008F5157" w:rsidP="008F5157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Dne 28. 04. 2023 uzavřely smluvní strany Dodatek č. 1 k citované Smlouvě o reklamním partnerství.</w:t>
      </w:r>
    </w:p>
    <w:p w14:paraId="52D48CE8" w14:textId="77777777" w:rsidR="008F5157" w:rsidRDefault="008F5157" w:rsidP="008F5157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</w:p>
    <w:p w14:paraId="782085A0" w14:textId="5EFB07F4" w:rsidR="008F5157" w:rsidRPr="008F5157" w:rsidRDefault="008F5157" w:rsidP="008F5157">
      <w:pPr>
        <w:pStyle w:val="Bezmezer1"/>
        <w:tabs>
          <w:tab w:val="center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dne 12. 2. 2024 uplatnil slevu z ceny ve výši </w:t>
      </w:r>
      <w:r w:rsidR="00521BD6">
        <w:rPr>
          <w:rFonts w:ascii="Arial" w:hAnsi="Arial" w:cs="Arial"/>
        </w:rPr>
        <w:t>…</w:t>
      </w:r>
      <w:r w:rsidR="00A86DB1">
        <w:rPr>
          <w:rFonts w:ascii="Arial" w:hAnsi="Arial" w:cs="Arial"/>
        </w:rPr>
        <w:t>…</w:t>
      </w:r>
      <w:bookmarkStart w:id="0" w:name="_GoBack"/>
      <w:bookmarkEnd w:id="0"/>
      <w:r w:rsidR="00521BD6">
        <w:rPr>
          <w:rFonts w:ascii="Arial" w:hAnsi="Arial" w:cs="Arial"/>
        </w:rPr>
        <w:t>…..</w:t>
      </w:r>
      <w:r>
        <w:rPr>
          <w:rFonts w:ascii="Arial" w:hAnsi="Arial" w:cs="Arial"/>
        </w:rPr>
        <w:t>,- Kč bez DPH, neboť v období od 1. 9. 2023 do 31. 1. 2024 probíhala rekonstrukce</w:t>
      </w:r>
      <w:r w:rsidR="00DE3102">
        <w:rPr>
          <w:rFonts w:ascii="Arial" w:hAnsi="Arial" w:cs="Arial"/>
        </w:rPr>
        <w:t xml:space="preserve"> haly č. I „RT TORAX ARÉNA“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specifikované shora a poskytovatel neposkytoval objednateli reklamní plnění, které vyplývá ze Smlouvy o reklamním partnerství, neboť </w:t>
      </w:r>
      <w:r w:rsidR="00DE3102">
        <w:rPr>
          <w:rFonts w:ascii="Arial" w:hAnsi="Arial" w:cs="Arial"/>
        </w:rPr>
        <w:t>hala č. I „RT TORAX ARÉNA“</w:t>
      </w:r>
      <w:r>
        <w:rPr>
          <w:rFonts w:ascii="Arial" w:hAnsi="Arial" w:cs="Arial"/>
        </w:rPr>
        <w:t xml:space="preserve"> byl</w:t>
      </w:r>
      <w:r w:rsidR="00DE31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uzavřen</w:t>
      </w:r>
      <w:r w:rsidR="00DE31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 důvodu rekonstrukce.</w:t>
      </w:r>
    </w:p>
    <w:p w14:paraId="6B6E6DFB" w14:textId="77777777" w:rsidR="00570A60" w:rsidRDefault="00570A60" w:rsidP="00C57548">
      <w:pPr>
        <w:pStyle w:val="Bezmezer1"/>
        <w:jc w:val="center"/>
        <w:rPr>
          <w:rFonts w:ascii="Arial" w:hAnsi="Arial" w:cs="Arial"/>
          <w:b/>
        </w:rPr>
      </w:pPr>
    </w:p>
    <w:p w14:paraId="718988DB" w14:textId="77777777" w:rsidR="00570A60" w:rsidRDefault="00570A60" w:rsidP="00C57548">
      <w:pPr>
        <w:pStyle w:val="Bezmezer1"/>
        <w:jc w:val="center"/>
        <w:rPr>
          <w:rFonts w:ascii="Arial" w:hAnsi="Arial" w:cs="Arial"/>
          <w:b/>
        </w:rPr>
      </w:pPr>
    </w:p>
    <w:p w14:paraId="5CF429C0" w14:textId="41C65A78" w:rsidR="00C57548" w:rsidRDefault="00C57548" w:rsidP="00C57548">
      <w:pPr>
        <w:pStyle w:val="Bezmezer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III</w:t>
      </w:r>
    </w:p>
    <w:p w14:paraId="1F2A75FE" w14:textId="095CD7B7" w:rsidR="004D5302" w:rsidRDefault="00544DDD" w:rsidP="00FF2D14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Mezi stranami je sporn</w:t>
      </w:r>
      <w:r w:rsidR="008F5157">
        <w:rPr>
          <w:rFonts w:ascii="Arial" w:hAnsi="Arial" w:cs="Arial"/>
        </w:rPr>
        <w:t xml:space="preserve">á výše adekvátní slevy, když v období od 1. 9. 2023 do 31. 1. 2024 nebylo možné poskytovat reklamní plnění ze </w:t>
      </w:r>
      <w:r w:rsidR="00E1781E">
        <w:rPr>
          <w:rFonts w:ascii="Arial" w:hAnsi="Arial" w:cs="Arial"/>
        </w:rPr>
        <w:t>S</w:t>
      </w:r>
      <w:r w:rsidR="008F5157">
        <w:rPr>
          <w:rFonts w:ascii="Arial" w:hAnsi="Arial" w:cs="Arial"/>
        </w:rPr>
        <w:t xml:space="preserve">mlouvy o reklamním partnerství. </w:t>
      </w:r>
    </w:p>
    <w:p w14:paraId="1282B89C" w14:textId="77777777" w:rsidR="004614BF" w:rsidRDefault="004614BF" w:rsidP="00FF2D14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</w:p>
    <w:p w14:paraId="349041B2" w14:textId="77777777" w:rsidR="00B839EC" w:rsidRDefault="00B839EC" w:rsidP="00A93872">
      <w:pPr>
        <w:pStyle w:val="Bezmezer1"/>
        <w:jc w:val="center"/>
        <w:rPr>
          <w:rFonts w:ascii="Arial" w:hAnsi="Arial" w:cs="Arial"/>
          <w:b/>
        </w:rPr>
      </w:pPr>
    </w:p>
    <w:p w14:paraId="6B5CA10B" w14:textId="1B7D64C9" w:rsidR="00A93872" w:rsidRDefault="00A93872" w:rsidP="00A93872">
      <w:pPr>
        <w:pStyle w:val="Bezmezer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IV</w:t>
      </w:r>
    </w:p>
    <w:p w14:paraId="5AB491C5" w14:textId="352B8BE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se dohodly, že ač nároky obchodní</w:t>
      </w:r>
      <w:r w:rsidR="008F5157">
        <w:rPr>
          <w:rFonts w:ascii="Arial" w:eastAsia="Arial" w:hAnsi="Arial" w:cs="Arial"/>
        </w:rPr>
        <w:t xml:space="preserve"> poskytovatele a objednatele </w:t>
      </w:r>
      <w:r>
        <w:rPr>
          <w:rFonts w:ascii="Arial" w:eastAsia="Arial" w:hAnsi="Arial" w:cs="Arial"/>
        </w:rPr>
        <w:t>jsou sporné, jejich práva a závazky se narovnávají takto:</w:t>
      </w:r>
    </w:p>
    <w:p w14:paraId="5C491911" w14:textId="0725D70C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6D802EBD" w14:textId="2FCC10C7" w:rsidR="004614BF" w:rsidRDefault="004614BF" w:rsidP="004614BF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zavazuje, že poskytne objednateli slevu z ceny plnění ve výši </w:t>
      </w:r>
      <w:r w:rsidR="00521BD6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,- Kč </w:t>
      </w:r>
      <w:r w:rsidRPr="001A40E1">
        <w:rPr>
          <w:rFonts w:ascii="Arial" w:hAnsi="Arial" w:cs="Arial"/>
        </w:rPr>
        <w:t xml:space="preserve">bez DPH, a to z faktury číslo </w:t>
      </w:r>
      <w:r w:rsidR="001A40E1" w:rsidRPr="001A40E1">
        <w:rPr>
          <w:rFonts w:ascii="Arial" w:hAnsi="Arial" w:cs="Arial"/>
        </w:rPr>
        <w:t>2</w:t>
      </w:r>
      <w:r w:rsidR="004B2D56">
        <w:rPr>
          <w:rFonts w:ascii="Arial" w:hAnsi="Arial" w:cs="Arial"/>
        </w:rPr>
        <w:t xml:space="preserve">, variabilní symbol </w:t>
      </w:r>
      <w:r w:rsidR="004B2D56" w:rsidRPr="009A1A29">
        <w:rPr>
          <w:rFonts w:ascii="Arial" w:hAnsi="Arial" w:cs="Arial"/>
        </w:rPr>
        <w:t>231101413</w:t>
      </w:r>
      <w:r w:rsidR="00D07D0C">
        <w:rPr>
          <w:rFonts w:ascii="Arial" w:hAnsi="Arial" w:cs="Arial"/>
        </w:rPr>
        <w:t xml:space="preserve">, </w:t>
      </w:r>
      <w:r w:rsidRPr="001A40E1">
        <w:rPr>
          <w:rFonts w:ascii="Arial" w:hAnsi="Arial" w:cs="Arial"/>
        </w:rPr>
        <w:t>kter</w:t>
      </w:r>
      <w:r w:rsidR="004B2D56">
        <w:rPr>
          <w:rFonts w:ascii="Arial" w:hAnsi="Arial" w:cs="Arial"/>
        </w:rPr>
        <w:t xml:space="preserve">á byla vystavena dne 2. 10. </w:t>
      </w:r>
      <w:r w:rsidR="001A40E1" w:rsidRPr="001A40E1">
        <w:rPr>
          <w:rFonts w:ascii="Arial" w:hAnsi="Arial" w:cs="Arial"/>
        </w:rPr>
        <w:t>2023</w:t>
      </w:r>
      <w:r w:rsidR="00D07D0C">
        <w:rPr>
          <w:rFonts w:ascii="Arial" w:hAnsi="Arial" w:cs="Arial"/>
        </w:rPr>
        <w:t xml:space="preserve">, na částku </w:t>
      </w:r>
      <w:r w:rsidR="00521BD6">
        <w:rPr>
          <w:rFonts w:ascii="Arial" w:hAnsi="Arial" w:cs="Arial"/>
        </w:rPr>
        <w:t>……..</w:t>
      </w:r>
      <w:r w:rsidRPr="001A40E1">
        <w:rPr>
          <w:rFonts w:ascii="Arial" w:hAnsi="Arial" w:cs="Arial"/>
        </w:rPr>
        <w:t>,- Kč</w:t>
      </w:r>
      <w:r>
        <w:rPr>
          <w:rFonts w:ascii="Arial" w:hAnsi="Arial" w:cs="Arial"/>
        </w:rPr>
        <w:t xml:space="preserve"> bez DPH. Poskytovatel se zavazuje, že ve lhůtě do čtrnácti dnů od účinnosti této </w:t>
      </w:r>
      <w:r w:rsidR="00E1781E">
        <w:rPr>
          <w:rFonts w:ascii="Arial" w:hAnsi="Arial" w:cs="Arial"/>
        </w:rPr>
        <w:t>Dohody</w:t>
      </w:r>
      <w:r>
        <w:rPr>
          <w:rFonts w:ascii="Arial" w:hAnsi="Arial" w:cs="Arial"/>
        </w:rPr>
        <w:t xml:space="preserve"> vystaví objednateli dobropis na částku </w:t>
      </w:r>
      <w:r w:rsidR="00521BD6">
        <w:rPr>
          <w:rFonts w:ascii="Arial" w:hAnsi="Arial" w:cs="Arial"/>
        </w:rPr>
        <w:t>……..</w:t>
      </w:r>
      <w:r w:rsidR="00D07D0C">
        <w:rPr>
          <w:rFonts w:ascii="Arial" w:hAnsi="Arial" w:cs="Arial"/>
        </w:rPr>
        <w:t>,- Kč bez DPH z fak</w:t>
      </w:r>
      <w:r w:rsidR="004B2D56">
        <w:rPr>
          <w:rFonts w:ascii="Arial" w:hAnsi="Arial" w:cs="Arial"/>
        </w:rPr>
        <w:t>tury číslo 2</w:t>
      </w:r>
      <w:r w:rsidR="00E1781E">
        <w:rPr>
          <w:rFonts w:ascii="Arial" w:hAnsi="Arial" w:cs="Arial"/>
        </w:rPr>
        <w:t>,</w:t>
      </w:r>
      <w:r w:rsidR="00E1781E" w:rsidRPr="00E1781E">
        <w:rPr>
          <w:rFonts w:ascii="Arial" w:hAnsi="Arial" w:cs="Arial"/>
        </w:rPr>
        <w:t xml:space="preserve"> </w:t>
      </w:r>
      <w:r w:rsidR="00E1781E">
        <w:rPr>
          <w:rFonts w:ascii="Arial" w:hAnsi="Arial" w:cs="Arial"/>
        </w:rPr>
        <w:t xml:space="preserve">variabilní symbol </w:t>
      </w:r>
      <w:r w:rsidR="00E1781E" w:rsidRPr="009A1A29">
        <w:rPr>
          <w:rFonts w:ascii="Arial" w:hAnsi="Arial" w:cs="Arial"/>
        </w:rPr>
        <w:t>231101413</w:t>
      </w:r>
      <w:r w:rsidR="00E1781E">
        <w:rPr>
          <w:rFonts w:ascii="Arial" w:hAnsi="Arial" w:cs="Arial"/>
        </w:rPr>
        <w:t>,</w:t>
      </w:r>
      <w:r w:rsidR="004B2D56">
        <w:rPr>
          <w:rFonts w:ascii="Arial" w:hAnsi="Arial" w:cs="Arial"/>
        </w:rPr>
        <w:t xml:space="preserve"> vystavené dne 2. 10</w:t>
      </w:r>
      <w:r w:rsidR="00D07D0C">
        <w:rPr>
          <w:rFonts w:ascii="Arial" w:hAnsi="Arial" w:cs="Arial"/>
        </w:rPr>
        <w:t>. 2023</w:t>
      </w:r>
      <w:r>
        <w:rPr>
          <w:rFonts w:ascii="Arial" w:hAnsi="Arial" w:cs="Arial"/>
        </w:rPr>
        <w:t xml:space="preserve">. </w:t>
      </w:r>
    </w:p>
    <w:p w14:paraId="698DF1A2" w14:textId="77777777" w:rsidR="004614BF" w:rsidRDefault="004614BF" w:rsidP="004614BF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</w:p>
    <w:p w14:paraId="057BC020" w14:textId="77777777" w:rsidR="004614BF" w:rsidRDefault="004614BF" w:rsidP="004614BF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se zavazuje, že nebude uplatňovat vůči poskytovateli žádné další nároky za období od 1. 9. 2023 do 31. 1. 2024.  </w:t>
      </w:r>
    </w:p>
    <w:p w14:paraId="60C48070" w14:textId="77777777" w:rsidR="004614BF" w:rsidRDefault="004614BF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626127EB" w14:textId="3CA35EB7" w:rsidR="004614BF" w:rsidRDefault="004614BF" w:rsidP="004614BF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zavazuje, že nebude uplatňovat vůči objednateli žádné další nároky za období od 1. 9. 2023 do 31. 1. 2024.  </w:t>
      </w:r>
    </w:p>
    <w:p w14:paraId="76E45AF2" w14:textId="77777777" w:rsidR="004614BF" w:rsidRDefault="004614BF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3578E22B" w14:textId="77777777" w:rsidR="00BD2D3B" w:rsidRDefault="00BD2D3B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5E6C04E" w14:textId="0684F35D" w:rsidR="00A93872" w:rsidRDefault="00A93872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</w:t>
      </w:r>
    </w:p>
    <w:p w14:paraId="306C70D7" w14:textId="77777777" w:rsidR="00A93872" w:rsidRDefault="00A93872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Obecná ustanovení </w:t>
      </w:r>
    </w:p>
    <w:p w14:paraId="4B31AF5D" w14:textId="7777777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268B4F1E" w14:textId="1F605BDC" w:rsidR="00544DDD" w:rsidRDefault="00544DDD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touto dohodou o narovnání narovnávají veškerá sporná vzájemná práva a povinnosti uvedená v článku II. této dohody, kter</w:t>
      </w:r>
      <w:r w:rsidR="004614BF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 vyplývaj</w:t>
      </w:r>
      <w:r w:rsidR="00BD2D3B">
        <w:rPr>
          <w:rFonts w:ascii="Arial" w:eastAsia="Arial" w:hAnsi="Arial" w:cs="Arial"/>
        </w:rPr>
        <w:t xml:space="preserve">í ze </w:t>
      </w:r>
      <w:r w:rsidR="004614BF">
        <w:rPr>
          <w:rFonts w:ascii="Arial" w:eastAsia="Arial" w:hAnsi="Arial" w:cs="Arial"/>
        </w:rPr>
        <w:t>Smlouvy o reklamním partnerství ze dne 14. 9. 2022</w:t>
      </w:r>
      <w:r w:rsidR="006F1C32">
        <w:rPr>
          <w:rFonts w:ascii="Arial" w:eastAsia="Arial" w:hAnsi="Arial" w:cs="Arial"/>
        </w:rPr>
        <w:t>,</w:t>
      </w:r>
      <w:r w:rsidR="004614BF">
        <w:rPr>
          <w:rFonts w:ascii="Arial" w:eastAsia="Arial" w:hAnsi="Arial" w:cs="Arial"/>
        </w:rPr>
        <w:t xml:space="preserve"> ve znění Dodatku č. 1 ze dne 28. 4. 2023,</w:t>
      </w:r>
      <w:r w:rsidR="00570A60">
        <w:rPr>
          <w:rFonts w:ascii="Arial" w:eastAsia="Arial" w:hAnsi="Arial" w:cs="Arial"/>
        </w:rPr>
        <w:t xml:space="preserve"> </w:t>
      </w:r>
      <w:r w:rsidR="006F1C32">
        <w:rPr>
          <w:rFonts w:ascii="Arial" w:eastAsia="Arial" w:hAnsi="Arial" w:cs="Arial"/>
        </w:rPr>
        <w:t xml:space="preserve">za období od 1. 9. 2023 do 31. 1. 2024 </w:t>
      </w:r>
      <w:r w:rsidR="00570A60">
        <w:rPr>
          <w:rFonts w:ascii="Arial" w:eastAsia="Arial" w:hAnsi="Arial" w:cs="Arial"/>
        </w:rPr>
        <w:t>tak, že veškerá vzájemná práva a povinnosti mezi stranami uzavřením této dohody o narovnání zanikají a narovnávají se těmito povinnostmi a jím odpovídajícími právy</w:t>
      </w:r>
      <w:r w:rsidR="00BD2D3B">
        <w:rPr>
          <w:rFonts w:ascii="Arial" w:eastAsia="Arial" w:hAnsi="Arial" w:cs="Arial"/>
        </w:rPr>
        <w:t xml:space="preserve"> s tím, že smluvní strany prohlašují, že na základě této dohody o narovnání jsou zcela finančně vypořádán</w:t>
      </w:r>
      <w:r w:rsidR="004D5302">
        <w:rPr>
          <w:rFonts w:ascii="Arial" w:eastAsia="Arial" w:hAnsi="Arial" w:cs="Arial"/>
        </w:rPr>
        <w:t>i</w:t>
      </w:r>
      <w:r w:rsidR="00BD2D3B">
        <w:rPr>
          <w:rFonts w:ascii="Arial" w:eastAsia="Arial" w:hAnsi="Arial" w:cs="Arial"/>
        </w:rPr>
        <w:t xml:space="preserve"> a vzájemně si ke dni podpisu této dohody o narovnání </w:t>
      </w:r>
      <w:r w:rsidR="006F1C32">
        <w:rPr>
          <w:rFonts w:ascii="Arial" w:eastAsia="Arial" w:hAnsi="Arial" w:cs="Arial"/>
        </w:rPr>
        <w:t xml:space="preserve">za období od 1. 9. 2023 do 31. 1.2024 </w:t>
      </w:r>
      <w:r w:rsidR="00BD2D3B">
        <w:rPr>
          <w:rFonts w:ascii="Arial" w:eastAsia="Arial" w:hAnsi="Arial" w:cs="Arial"/>
        </w:rPr>
        <w:t xml:space="preserve">ničeho nedluží. </w:t>
      </w:r>
    </w:p>
    <w:p w14:paraId="5CDA8E67" w14:textId="77777777" w:rsidR="00544DDD" w:rsidRDefault="00544DDD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48EC8B73" w14:textId="734C0962" w:rsidR="00E83EC3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prohlašují, že splněním závazk</w:t>
      </w:r>
      <w:r w:rsidR="00BD2D3B">
        <w:rPr>
          <w:rFonts w:ascii="Arial" w:eastAsia="Arial" w:hAnsi="Arial" w:cs="Arial"/>
        </w:rPr>
        <w:t>ů</w:t>
      </w:r>
      <w:r w:rsidR="00570A6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jak j</w:t>
      </w:r>
      <w:r w:rsidR="00BD2D3B">
        <w:rPr>
          <w:rFonts w:ascii="Arial" w:eastAsia="Arial" w:hAnsi="Arial" w:cs="Arial"/>
        </w:rPr>
        <w:t>sou</w:t>
      </w:r>
      <w:r>
        <w:rPr>
          <w:rFonts w:ascii="Arial" w:eastAsia="Arial" w:hAnsi="Arial" w:cs="Arial"/>
        </w:rPr>
        <w:t xml:space="preserve"> uveden</w:t>
      </w:r>
      <w:r w:rsidR="00BD2D3B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v článku I</w:t>
      </w:r>
      <w:r w:rsidR="00FF2D14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. této dohody, budou jejich nároky, pohledávk</w:t>
      </w:r>
      <w:r w:rsidR="00BD2D3B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a závazk</w:t>
      </w:r>
      <w:r w:rsidR="00BD2D3B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, uvedené v článku I</w:t>
      </w:r>
      <w:r w:rsidR="00FF2D14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. této dohody zcela vyrovnány. </w:t>
      </w:r>
    </w:p>
    <w:p w14:paraId="04CA8B9C" w14:textId="77777777" w:rsidR="00E83EC3" w:rsidRDefault="00E83EC3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4C2152A9" w14:textId="12AB88E8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 dále prohlašují, že po splnění této dohody, původní sporný závazek byl nahrazen závazkem novým, přičemž ani omyl o tom, co je mezi stranami sporné nebo pochybné, nezpůsobuje neplatnost této dohody o narovnání, ledaže omyl vyvolala některá strana lstí. Narovnání nelze odporovat jen proto, že jim vznikl nepoměr mezi vzájemným plněním stran.</w:t>
      </w:r>
      <w:r w:rsidR="00BD2D3B">
        <w:rPr>
          <w:rFonts w:ascii="Arial" w:eastAsia="Arial" w:hAnsi="Arial" w:cs="Arial"/>
        </w:rPr>
        <w:t xml:space="preserve"> </w:t>
      </w:r>
    </w:p>
    <w:p w14:paraId="4FE37293" w14:textId="77777777" w:rsidR="00A93872" w:rsidRDefault="00A93872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B648056" w14:textId="77777777" w:rsidR="00570A60" w:rsidRDefault="00570A60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3AF3F53" w14:textId="1B5CB6E9" w:rsidR="00A93872" w:rsidRDefault="00A93872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</w:t>
      </w:r>
    </w:p>
    <w:p w14:paraId="551D4FC2" w14:textId="77777777" w:rsidR="00A93872" w:rsidRDefault="00A93872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ujednání</w:t>
      </w:r>
    </w:p>
    <w:p w14:paraId="6089A1F0" w14:textId="77777777" w:rsidR="00A93872" w:rsidRDefault="00A93872" w:rsidP="00A9387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B165393" w14:textId="0222322E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dohoda je platná </w:t>
      </w:r>
      <w:r w:rsidR="004614BF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kamžikem podpisu smluvních stran</w:t>
      </w:r>
      <w:r w:rsidR="004614BF">
        <w:rPr>
          <w:rFonts w:ascii="Arial" w:eastAsia="Arial" w:hAnsi="Arial" w:cs="Arial"/>
        </w:rPr>
        <w:t>. Tato dohoda podléhá zveřejnění v Registru smluv. Uveřejnění v Registru smluv zajistí poskytovatel. Dohoda nabyde účinnosti dnem zveřejnění v Registru smluv.</w:t>
      </w:r>
    </w:p>
    <w:p w14:paraId="4290EAA5" w14:textId="7777777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4C869747" w14:textId="7777777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dohoda se vyhotovuje ve 2 stejnopisech s platností originálu, z nichž každý z účastníků této dohody obdrží po jednom vyhotovení.</w:t>
      </w:r>
    </w:p>
    <w:p w14:paraId="626668BD" w14:textId="7777777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0DCD14B9" w14:textId="7777777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Změna této dohody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je možná pouze písemnou formou na základě dohody smluvních stran.</w:t>
      </w:r>
    </w:p>
    <w:p w14:paraId="0FA0AC91" w14:textId="77777777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</w:p>
    <w:p w14:paraId="2208E25C" w14:textId="2D0F73E0" w:rsidR="00A93872" w:rsidRDefault="00A93872" w:rsidP="00A9387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Účastníci shodně prohlašují, že tuto dohodu o narovnání podepsali na základě své pravé, svobodné a vážné vůle a nikoliv v tísni a za nápadně nevýhodných podmínek, obsahu dohody rozumí, touto dohodou jsou vázáni a obsah dohody byl dostatečně projednán.  </w:t>
      </w:r>
    </w:p>
    <w:p w14:paraId="04264A37" w14:textId="77777777" w:rsidR="00A93872" w:rsidRDefault="00A93872" w:rsidP="00A93872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</w:p>
    <w:p w14:paraId="72CEE48A" w14:textId="77777777" w:rsidR="004D5302" w:rsidRDefault="004D5302" w:rsidP="00A93872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</w:p>
    <w:p w14:paraId="36677DB3" w14:textId="77777777" w:rsidR="004D5302" w:rsidRDefault="004D5302" w:rsidP="00A93872">
      <w:pPr>
        <w:pStyle w:val="Bezmezer1"/>
        <w:tabs>
          <w:tab w:val="left" w:pos="284"/>
        </w:tabs>
        <w:jc w:val="both"/>
        <w:rPr>
          <w:rFonts w:ascii="Arial" w:hAnsi="Arial" w:cs="Arial"/>
        </w:rPr>
      </w:pPr>
    </w:p>
    <w:p w14:paraId="73C3B67E" w14:textId="77777777" w:rsidR="00A93872" w:rsidRDefault="00A93872" w:rsidP="00C57548">
      <w:pPr>
        <w:pStyle w:val="Bezmezer1"/>
        <w:rPr>
          <w:rFonts w:ascii="Arial" w:hAnsi="Arial" w:cs="Arial"/>
        </w:rPr>
      </w:pPr>
    </w:p>
    <w:p w14:paraId="1E291F3D" w14:textId="77777777" w:rsidR="00E92240" w:rsidRDefault="00E92240" w:rsidP="00C57548">
      <w:pPr>
        <w:pStyle w:val="Bezmezer1"/>
        <w:rPr>
          <w:rFonts w:ascii="Arial" w:hAnsi="Arial" w:cs="Arial"/>
        </w:rPr>
      </w:pPr>
    </w:p>
    <w:p w14:paraId="288827CE" w14:textId="7892032D" w:rsidR="00C57548" w:rsidRDefault="00C57548" w:rsidP="00C57548">
      <w:pPr>
        <w:pStyle w:val="Bezmezer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50262">
        <w:rPr>
          <w:rFonts w:ascii="Arial" w:hAnsi="Arial" w:cs="Arial"/>
        </w:rPr>
        <w:t> </w:t>
      </w:r>
      <w:r w:rsidR="004614BF">
        <w:rPr>
          <w:rFonts w:ascii="Arial" w:hAnsi="Arial" w:cs="Arial"/>
        </w:rPr>
        <w:t>Ostravě</w:t>
      </w:r>
      <w:r w:rsidR="00350262">
        <w:rPr>
          <w:rFonts w:ascii="Arial" w:hAnsi="Arial" w:cs="Arial"/>
        </w:rPr>
        <w:t xml:space="preserve">, dne </w:t>
      </w:r>
      <w:r w:rsidR="00E83EC3">
        <w:rPr>
          <w:rFonts w:ascii="Arial" w:hAnsi="Arial" w:cs="Arial"/>
        </w:rPr>
        <w:t>_____________________</w:t>
      </w:r>
    </w:p>
    <w:p w14:paraId="0A6BE4F4" w14:textId="169B8B50" w:rsidR="00C57548" w:rsidRDefault="00C57548" w:rsidP="00C57548">
      <w:pPr>
        <w:pStyle w:val="Bezmezer1"/>
        <w:tabs>
          <w:tab w:val="center" w:pos="1560"/>
          <w:tab w:val="center" w:pos="6946"/>
        </w:tabs>
        <w:rPr>
          <w:rFonts w:ascii="Arial" w:hAnsi="Arial" w:cs="Arial"/>
        </w:rPr>
      </w:pPr>
    </w:p>
    <w:p w14:paraId="683C4783" w14:textId="77777777" w:rsidR="00E92240" w:rsidRDefault="00E92240" w:rsidP="00C57548">
      <w:pPr>
        <w:pStyle w:val="Bezmezer1"/>
        <w:tabs>
          <w:tab w:val="center" w:pos="1560"/>
          <w:tab w:val="center" w:pos="6946"/>
        </w:tabs>
        <w:rPr>
          <w:rFonts w:ascii="Arial" w:hAnsi="Arial" w:cs="Arial"/>
        </w:rPr>
      </w:pPr>
    </w:p>
    <w:p w14:paraId="45D8D592" w14:textId="77777777" w:rsidR="00FF2D14" w:rsidRDefault="00FF2D14" w:rsidP="00C57548">
      <w:pPr>
        <w:pStyle w:val="Bezmezer1"/>
        <w:tabs>
          <w:tab w:val="center" w:pos="1560"/>
          <w:tab w:val="center" w:pos="6946"/>
        </w:tabs>
        <w:rPr>
          <w:rFonts w:ascii="Arial" w:hAnsi="Arial" w:cs="Arial"/>
        </w:rPr>
      </w:pPr>
    </w:p>
    <w:p w14:paraId="7440149D" w14:textId="77777777" w:rsidR="004614BF" w:rsidRPr="008F5157" w:rsidRDefault="004614BF" w:rsidP="004614BF">
      <w:pPr>
        <w:pStyle w:val="Bezmezer1"/>
        <w:rPr>
          <w:rFonts w:ascii="Arial" w:hAnsi="Arial" w:cs="Arial"/>
        </w:rPr>
      </w:pPr>
    </w:p>
    <w:p w14:paraId="5963C3D1" w14:textId="77777777" w:rsidR="004614BF" w:rsidRPr="008F5157" w:rsidRDefault="004614BF" w:rsidP="004614BF">
      <w:pPr>
        <w:pStyle w:val="Bezmezer1"/>
        <w:rPr>
          <w:rFonts w:ascii="Arial" w:hAnsi="Arial" w:cs="Arial"/>
        </w:rPr>
      </w:pPr>
    </w:p>
    <w:p w14:paraId="635C21A2" w14:textId="45299883" w:rsidR="004614BF" w:rsidRPr="008F5157" w:rsidRDefault="004614BF" w:rsidP="004614BF">
      <w:pPr>
        <w:pStyle w:val="Bezmezer1"/>
        <w:rPr>
          <w:rFonts w:ascii="Arial" w:hAnsi="Arial" w:cs="Arial"/>
        </w:rPr>
      </w:pPr>
      <w:r w:rsidRPr="008F5157">
        <w:rPr>
          <w:rFonts w:ascii="Arial" w:hAnsi="Arial" w:cs="Arial"/>
        </w:rPr>
        <w:t>.........................................………...</w:t>
      </w:r>
      <w:r w:rsidRPr="008F51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</w:t>
      </w:r>
      <w:r w:rsidRPr="008F5157">
        <w:rPr>
          <w:rFonts w:ascii="Arial" w:hAnsi="Arial" w:cs="Arial"/>
        </w:rPr>
        <w:t>.........................................……</w:t>
      </w:r>
    </w:p>
    <w:p w14:paraId="60833597" w14:textId="77777777" w:rsidR="004614BF" w:rsidRPr="008F5157" w:rsidRDefault="004614BF" w:rsidP="004614BF">
      <w:pPr>
        <w:pStyle w:val="Bezmezer1"/>
        <w:rPr>
          <w:rFonts w:ascii="Arial" w:hAnsi="Arial" w:cs="Arial"/>
          <w:b/>
        </w:rPr>
      </w:pPr>
      <w:r w:rsidRPr="008F5157">
        <w:rPr>
          <w:rFonts w:ascii="Arial" w:hAnsi="Arial" w:cs="Arial"/>
          <w:b/>
        </w:rPr>
        <w:t xml:space="preserve">Ing. Jaroslav Kovář </w:t>
      </w:r>
      <w:r w:rsidRPr="008F5157">
        <w:rPr>
          <w:rFonts w:ascii="Arial" w:hAnsi="Arial" w:cs="Arial"/>
          <w:b/>
        </w:rPr>
        <w:tab/>
      </w:r>
      <w:r w:rsidRPr="008F5157">
        <w:rPr>
          <w:rFonts w:ascii="Arial" w:hAnsi="Arial" w:cs="Arial"/>
          <w:b/>
        </w:rPr>
        <w:tab/>
      </w:r>
      <w:r w:rsidRPr="008F5157">
        <w:rPr>
          <w:rFonts w:ascii="Arial" w:hAnsi="Arial" w:cs="Arial"/>
          <w:b/>
        </w:rPr>
        <w:tab/>
      </w:r>
      <w:r w:rsidRPr="008F5157">
        <w:rPr>
          <w:rFonts w:ascii="Arial" w:hAnsi="Arial" w:cs="Arial"/>
          <w:b/>
        </w:rPr>
        <w:tab/>
      </w:r>
      <w:r w:rsidRPr="008F5157">
        <w:rPr>
          <w:rFonts w:ascii="Arial" w:hAnsi="Arial" w:cs="Arial"/>
          <w:b/>
        </w:rPr>
        <w:tab/>
      </w:r>
      <w:r w:rsidRPr="008F5157">
        <w:rPr>
          <w:rFonts w:ascii="Arial" w:hAnsi="Arial" w:cs="Arial"/>
          <w:b/>
        </w:rPr>
        <w:tab/>
      </w:r>
      <w:r w:rsidRPr="008F5157">
        <w:rPr>
          <w:rFonts w:ascii="Arial" w:hAnsi="Arial" w:cs="Arial"/>
          <w:b/>
          <w:lang w:val="en-AU"/>
        </w:rPr>
        <w:t>Tomáš Häring</w:t>
      </w:r>
    </w:p>
    <w:p w14:paraId="24ABD7B8" w14:textId="67CCA33E" w:rsidR="004614BF" w:rsidRPr="008F5157" w:rsidRDefault="004614BF" w:rsidP="004614BF">
      <w:pPr>
        <w:pStyle w:val="Bezmezer1"/>
        <w:rPr>
          <w:rFonts w:ascii="Arial" w:hAnsi="Arial" w:cs="Arial"/>
        </w:rPr>
      </w:pPr>
      <w:r w:rsidRPr="008F5157">
        <w:rPr>
          <w:rFonts w:ascii="Arial" w:hAnsi="Arial" w:cs="Arial"/>
        </w:rPr>
        <w:t>jednatel společnosti</w:t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F5157">
        <w:rPr>
          <w:rFonts w:ascii="Arial" w:hAnsi="Arial" w:cs="Arial"/>
        </w:rPr>
        <w:t>jednatel společnosti</w:t>
      </w:r>
    </w:p>
    <w:p w14:paraId="6F7F7CF7" w14:textId="309F7092" w:rsidR="004614BF" w:rsidRPr="008F5157" w:rsidRDefault="004614BF" w:rsidP="004614BF">
      <w:pPr>
        <w:pStyle w:val="Bezmezer1"/>
        <w:rPr>
          <w:rFonts w:ascii="Arial" w:hAnsi="Arial" w:cs="Arial"/>
        </w:rPr>
      </w:pPr>
      <w:r w:rsidRPr="008F5157">
        <w:rPr>
          <w:rFonts w:ascii="Arial" w:hAnsi="Arial" w:cs="Arial"/>
        </w:rPr>
        <w:t>Sportovní a rekreační zařízení</w:t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 w:rsidRPr="008F51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F5157">
        <w:rPr>
          <w:rFonts w:ascii="Arial" w:hAnsi="Arial" w:cs="Arial"/>
        </w:rPr>
        <w:t>RT TORAX, s. r. o.</w:t>
      </w:r>
    </w:p>
    <w:p w14:paraId="08EA08BE" w14:textId="341FA3AC" w:rsidR="004614BF" w:rsidRPr="008F5157" w:rsidRDefault="004614BF" w:rsidP="004614BF">
      <w:pPr>
        <w:pStyle w:val="Bezmezer1"/>
        <w:rPr>
          <w:rFonts w:ascii="Arial" w:hAnsi="Arial" w:cs="Arial"/>
        </w:rPr>
      </w:pPr>
      <w:r w:rsidRPr="008F5157">
        <w:rPr>
          <w:rFonts w:ascii="Arial" w:hAnsi="Arial" w:cs="Arial"/>
        </w:rPr>
        <w:t>města Ostravy</w:t>
      </w:r>
      <w:r w:rsidR="005577E8">
        <w:rPr>
          <w:rFonts w:ascii="Arial" w:hAnsi="Arial" w:cs="Arial"/>
        </w:rPr>
        <w:t>,</w:t>
      </w:r>
      <w:r w:rsidRPr="008F5157">
        <w:rPr>
          <w:rFonts w:ascii="Arial" w:hAnsi="Arial" w:cs="Arial"/>
        </w:rPr>
        <w:t xml:space="preserve"> s.r.o.</w:t>
      </w:r>
    </w:p>
    <w:p w14:paraId="155E21FD" w14:textId="77777777" w:rsidR="004614BF" w:rsidRDefault="004614BF" w:rsidP="004614BF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7A7BC0D0" w14:textId="77777777" w:rsidR="00E2249F" w:rsidRDefault="00E2249F" w:rsidP="00C57548">
      <w:pPr>
        <w:pStyle w:val="Bezmezer1"/>
        <w:tabs>
          <w:tab w:val="center" w:pos="1560"/>
          <w:tab w:val="center" w:pos="6946"/>
        </w:tabs>
        <w:rPr>
          <w:rFonts w:ascii="Arial" w:hAnsi="Arial" w:cs="Arial"/>
        </w:rPr>
      </w:pPr>
    </w:p>
    <w:p w14:paraId="0FC08BCD" w14:textId="77777777" w:rsidR="00570A60" w:rsidRDefault="00570A60" w:rsidP="00C5754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2D86DCD5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  <w:b/>
        </w:rPr>
      </w:pPr>
    </w:p>
    <w:p w14:paraId="7800ACE2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  <w:b/>
        </w:rPr>
      </w:pPr>
    </w:p>
    <w:p w14:paraId="77EA3E4B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  <w:b/>
        </w:rPr>
      </w:pPr>
    </w:p>
    <w:p w14:paraId="65547CF8" w14:textId="77777777" w:rsidR="00AE62E8" w:rsidRP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  <w:b/>
        </w:rPr>
      </w:pPr>
    </w:p>
    <w:p w14:paraId="5BC61476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357C84A2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60C9F0EC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4ACD2A35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13BDC207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51561162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204FE1D4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4E334EAE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3BD13245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19E95356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49BAB04A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06557E06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0C4BC935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15282E20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2188BAF7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6AFFB0A5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27147636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5D9DFBFD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72ED477B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0CA100F4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161E660D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08DFF00B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6C60BAB2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21B46FCC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65585169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6A35D3EE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3F34454E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4AF8ED8F" w14:textId="77777777" w:rsidR="004614BF" w:rsidRDefault="004614BF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p w14:paraId="01DC5445" w14:textId="77777777" w:rsidR="00AE62E8" w:rsidRDefault="00AE62E8" w:rsidP="00AE62E8">
      <w:pPr>
        <w:pStyle w:val="Bezmezer1"/>
        <w:tabs>
          <w:tab w:val="center" w:pos="1560"/>
        </w:tabs>
        <w:rPr>
          <w:rFonts w:ascii="Arial" w:hAnsi="Arial" w:cs="Arial"/>
        </w:rPr>
      </w:pPr>
    </w:p>
    <w:sectPr w:rsidR="00AE62E8" w:rsidSect="004614BF">
      <w:footnotePr>
        <w:numRestart w:val="eachPage"/>
      </w:footnotePr>
      <w:endnotePr>
        <w:numFmt w:val="decimal"/>
      </w:endnotePr>
      <w:pgSz w:w="11905" w:h="16837"/>
      <w:pgMar w:top="1134" w:right="1418" w:bottom="851" w:left="1418" w:header="1418" w:footer="14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8F5"/>
    <w:multiLevelType w:val="hybridMultilevel"/>
    <w:tmpl w:val="6608A7AC"/>
    <w:lvl w:ilvl="0" w:tplc="708E8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3BC9"/>
    <w:multiLevelType w:val="multilevel"/>
    <w:tmpl w:val="7E96E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9A6160"/>
    <w:multiLevelType w:val="hybridMultilevel"/>
    <w:tmpl w:val="F0384344"/>
    <w:lvl w:ilvl="0" w:tplc="FE466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0B7D"/>
    <w:multiLevelType w:val="hybridMultilevel"/>
    <w:tmpl w:val="F0384344"/>
    <w:lvl w:ilvl="0" w:tplc="FE466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00C4"/>
    <w:multiLevelType w:val="hybridMultilevel"/>
    <w:tmpl w:val="F0384344"/>
    <w:lvl w:ilvl="0" w:tplc="FE466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432A1"/>
    <w:multiLevelType w:val="hybridMultilevel"/>
    <w:tmpl w:val="F0384344"/>
    <w:lvl w:ilvl="0" w:tplc="FE466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6C8"/>
    <w:multiLevelType w:val="hybridMultilevel"/>
    <w:tmpl w:val="9F4A5A56"/>
    <w:lvl w:ilvl="0" w:tplc="F2820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52018"/>
    <w:multiLevelType w:val="hybridMultilevel"/>
    <w:tmpl w:val="BBC05D50"/>
    <w:lvl w:ilvl="0" w:tplc="53E601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4767"/>
    <w:multiLevelType w:val="hybridMultilevel"/>
    <w:tmpl w:val="CCBCC1C8"/>
    <w:lvl w:ilvl="0" w:tplc="F1560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72F"/>
    <w:multiLevelType w:val="hybridMultilevel"/>
    <w:tmpl w:val="4EDC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0E12"/>
    <w:multiLevelType w:val="hybridMultilevel"/>
    <w:tmpl w:val="DC38070E"/>
    <w:lvl w:ilvl="0" w:tplc="6B6098AE">
      <w:start w:val="1"/>
      <w:numFmt w:val="decimal"/>
      <w:lvlText w:val="%1."/>
      <w:lvlJc w:val="left"/>
      <w:pPr>
        <w:ind w:left="0" w:firstLine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350E9"/>
    <w:multiLevelType w:val="hybridMultilevel"/>
    <w:tmpl w:val="BBC05D50"/>
    <w:lvl w:ilvl="0" w:tplc="53E601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00E3B"/>
    <w:multiLevelType w:val="hybridMultilevel"/>
    <w:tmpl w:val="F7A2906E"/>
    <w:lvl w:ilvl="0" w:tplc="D41CAC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91"/>
    <w:rsid w:val="0007152C"/>
    <w:rsid w:val="000A23FA"/>
    <w:rsid w:val="000C0853"/>
    <w:rsid w:val="000C69EE"/>
    <w:rsid w:val="001058F4"/>
    <w:rsid w:val="001243B9"/>
    <w:rsid w:val="001529DD"/>
    <w:rsid w:val="001A40E1"/>
    <w:rsid w:val="00214EFD"/>
    <w:rsid w:val="002B0750"/>
    <w:rsid w:val="00350262"/>
    <w:rsid w:val="004351DF"/>
    <w:rsid w:val="004614BF"/>
    <w:rsid w:val="004B2D56"/>
    <w:rsid w:val="004B4780"/>
    <w:rsid w:val="004D5302"/>
    <w:rsid w:val="00504158"/>
    <w:rsid w:val="00521BD6"/>
    <w:rsid w:val="00544DDD"/>
    <w:rsid w:val="005577E8"/>
    <w:rsid w:val="00565660"/>
    <w:rsid w:val="00570A60"/>
    <w:rsid w:val="006061D6"/>
    <w:rsid w:val="006D47C2"/>
    <w:rsid w:val="006D5A5B"/>
    <w:rsid w:val="006F1C32"/>
    <w:rsid w:val="00700CF4"/>
    <w:rsid w:val="008F5157"/>
    <w:rsid w:val="00933851"/>
    <w:rsid w:val="00942A2C"/>
    <w:rsid w:val="00A60691"/>
    <w:rsid w:val="00A86DB1"/>
    <w:rsid w:val="00A93872"/>
    <w:rsid w:val="00AB2ECE"/>
    <w:rsid w:val="00AE62E8"/>
    <w:rsid w:val="00B839EC"/>
    <w:rsid w:val="00BD2D3B"/>
    <w:rsid w:val="00C164A5"/>
    <w:rsid w:val="00C57548"/>
    <w:rsid w:val="00D07D0C"/>
    <w:rsid w:val="00D103FC"/>
    <w:rsid w:val="00D9302D"/>
    <w:rsid w:val="00DE3102"/>
    <w:rsid w:val="00E1781E"/>
    <w:rsid w:val="00E2249F"/>
    <w:rsid w:val="00E83EC3"/>
    <w:rsid w:val="00E92240"/>
    <w:rsid w:val="00F14DFB"/>
    <w:rsid w:val="00F27900"/>
    <w:rsid w:val="00F41C06"/>
    <w:rsid w:val="00F57057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0576"/>
  <w15:chartTrackingRefBased/>
  <w15:docId w15:val="{27C1AAE4-3F65-4E75-86A3-93BAA138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548"/>
    <w:pPr>
      <w:spacing w:after="200" w:line="276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158"/>
    <w:pPr>
      <w:spacing w:after="0" w:line="240" w:lineRule="auto"/>
    </w:pPr>
  </w:style>
  <w:style w:type="paragraph" w:customStyle="1" w:styleId="Bezmezer1">
    <w:name w:val="Bez mezer1"/>
    <w:uiPriority w:val="1"/>
    <w:qFormat/>
    <w:rsid w:val="00C57548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938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15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515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164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4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4A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4A5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strik-firem.kurzy.cz/60319305/rt-torax-sro/datove-schran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Kovář Jaroslav</cp:lastModifiedBy>
  <cp:revision>44</cp:revision>
  <cp:lastPrinted>2025-02-20T09:45:00Z</cp:lastPrinted>
  <dcterms:created xsi:type="dcterms:W3CDTF">2021-01-14T08:50:00Z</dcterms:created>
  <dcterms:modified xsi:type="dcterms:W3CDTF">2025-02-25T14:38:00Z</dcterms:modified>
</cp:coreProperties>
</file>