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1E7CC" w14:textId="77777777" w:rsidR="00397F63" w:rsidRDefault="00657EC4">
      <w:pPr>
        <w:jc w:val="center"/>
        <w:rPr>
          <w:rFonts w:ascii="Montserrat" w:hAnsi="Montserrat" w:cs="Arial"/>
          <w:b/>
          <w:bCs/>
          <w:sz w:val="18"/>
          <w:szCs w:val="18"/>
        </w:rPr>
      </w:pPr>
      <w:r>
        <w:rPr>
          <w:rFonts w:ascii="Arial" w:hAnsi="Arial" w:cs="Arial"/>
          <w:b/>
          <w:bCs/>
          <w:sz w:val="18"/>
          <w:szCs w:val="18"/>
        </w:rPr>
        <w:t>RÁMCOVÁ KUPNÍ SMLOUVA</w:t>
      </w:r>
    </w:p>
    <w:p w14:paraId="6BF644AA" w14:textId="77777777" w:rsidR="00397F63" w:rsidRDefault="00657EC4">
      <w:pPr>
        <w:spacing w:before="120" w:after="120"/>
        <w:jc w:val="center"/>
        <w:rPr>
          <w:rFonts w:ascii="Montserrat" w:hAnsi="Montserrat" w:cs="Arial"/>
          <w:sz w:val="18"/>
          <w:szCs w:val="18"/>
        </w:rPr>
      </w:pPr>
      <w:r>
        <w:rPr>
          <w:rFonts w:ascii="Arial" w:hAnsi="Arial" w:cs="Arial"/>
          <w:sz w:val="18"/>
          <w:szCs w:val="18"/>
        </w:rPr>
        <w:t>(dále jen „</w:t>
      </w:r>
      <w:r>
        <w:rPr>
          <w:rFonts w:ascii="Arial" w:hAnsi="Arial" w:cs="Arial"/>
          <w:b/>
          <w:bCs/>
          <w:sz w:val="18"/>
          <w:szCs w:val="18"/>
        </w:rPr>
        <w:t>Smlouva</w:t>
      </w:r>
      <w:r>
        <w:rPr>
          <w:rFonts w:ascii="Arial" w:hAnsi="Arial" w:cs="Arial"/>
          <w:sz w:val="18"/>
          <w:szCs w:val="18"/>
        </w:rPr>
        <w:t>“)</w:t>
      </w:r>
    </w:p>
    <w:p w14:paraId="61B51981" w14:textId="77777777" w:rsidR="00397F63" w:rsidRDefault="00657EC4">
      <w:pPr>
        <w:pStyle w:val="Hlavika"/>
        <w:jc w:val="center"/>
        <w:rPr>
          <w:rFonts w:ascii="Arial" w:hAnsi="Arial"/>
        </w:rPr>
      </w:pPr>
      <w:r>
        <w:rPr>
          <w:rFonts w:ascii="Arial" w:hAnsi="Arial"/>
        </w:rPr>
        <w:t>uzavřená dle ustanovení § 1746 odst. 2 ve spojení s § 2079 a násl. zákona č. 89/2012 Sb., občanský zákoník, ve znění pozdějších předpisů (dále jen „</w:t>
      </w:r>
      <w:r>
        <w:rPr>
          <w:rFonts w:ascii="Arial" w:hAnsi="Arial"/>
          <w:b/>
          <w:bCs/>
        </w:rPr>
        <w:t>Občanský zákoník</w:t>
      </w:r>
      <w:r>
        <w:rPr>
          <w:rFonts w:ascii="Arial" w:hAnsi="Arial"/>
        </w:rPr>
        <w:t>“).</w:t>
      </w:r>
    </w:p>
    <w:p w14:paraId="7BA04B7E" w14:textId="77777777" w:rsidR="00397F63" w:rsidRDefault="00397F63">
      <w:pPr>
        <w:pStyle w:val="Hlavika"/>
        <w:rPr>
          <w:b/>
          <w:bCs/>
        </w:rPr>
      </w:pPr>
    </w:p>
    <w:p w14:paraId="4F7D149D" w14:textId="77777777" w:rsidR="00397F63" w:rsidRDefault="00657EC4">
      <w:pPr>
        <w:pStyle w:val="Hlavika"/>
        <w:rPr>
          <w:b/>
          <w:bCs/>
          <w:highlight w:val="white"/>
        </w:rPr>
      </w:pPr>
      <w:proofErr w:type="spellStart"/>
      <w:r>
        <w:rPr>
          <w:rFonts w:ascii="Arial" w:hAnsi="Arial"/>
          <w:b/>
          <w:bCs/>
        </w:rPr>
        <w:t>Medicionas</w:t>
      </w:r>
      <w:proofErr w:type="spellEnd"/>
      <w:r>
        <w:rPr>
          <w:rFonts w:ascii="Arial" w:hAnsi="Arial"/>
          <w:b/>
          <w:bCs/>
        </w:rPr>
        <w:t xml:space="preserve"> CR s.r.o.</w:t>
      </w:r>
    </w:p>
    <w:p w14:paraId="0C8C9DFC" w14:textId="77777777" w:rsidR="00397F63" w:rsidRDefault="00657EC4">
      <w:pPr>
        <w:pStyle w:val="Hlavika"/>
        <w:rPr>
          <w:highlight w:val="white"/>
        </w:rPr>
      </w:pPr>
      <w:r>
        <w:rPr>
          <w:rFonts w:ascii="Arial" w:hAnsi="Arial"/>
        </w:rPr>
        <w:t xml:space="preserve">se sídlem </w:t>
      </w:r>
      <w:r>
        <w:rPr>
          <w:rFonts w:ascii="Arial" w:hAnsi="Arial"/>
        </w:rPr>
        <w:t>Rostovská 127/11, Vršovice, 101 00 Praha 10, Česká republika</w:t>
      </w:r>
    </w:p>
    <w:p w14:paraId="099582F3" w14:textId="77777777" w:rsidR="00397F63" w:rsidRDefault="00657EC4">
      <w:pPr>
        <w:pStyle w:val="Hlavika"/>
        <w:rPr>
          <w:color w:val="000000"/>
        </w:rPr>
      </w:pPr>
      <w:r>
        <w:rPr>
          <w:rFonts w:ascii="Arial" w:hAnsi="Arial"/>
          <w:color w:val="000000"/>
        </w:rPr>
        <w:t xml:space="preserve">IČO: </w:t>
      </w:r>
      <w:r>
        <w:rPr>
          <w:rFonts w:ascii="Arial" w:hAnsi="Arial"/>
        </w:rPr>
        <w:t>064 18 198</w:t>
      </w:r>
    </w:p>
    <w:p w14:paraId="47CD52CF" w14:textId="77777777" w:rsidR="00397F63" w:rsidRDefault="00657EC4">
      <w:pPr>
        <w:pStyle w:val="Hlavika"/>
        <w:rPr>
          <w:color w:val="000000"/>
        </w:rPr>
      </w:pPr>
      <w:r>
        <w:rPr>
          <w:rFonts w:ascii="Arial" w:hAnsi="Arial"/>
          <w:color w:val="000000"/>
        </w:rPr>
        <w:t xml:space="preserve">zapsaná v obchodním rejstříku vedeném u </w:t>
      </w:r>
      <w:r>
        <w:rPr>
          <w:rFonts w:ascii="Arial" w:hAnsi="Arial"/>
        </w:rPr>
        <w:t>Městského soudu v Praze</w:t>
      </w:r>
      <w:r>
        <w:rPr>
          <w:rFonts w:ascii="Arial" w:hAnsi="Arial"/>
          <w:color w:val="000000"/>
        </w:rPr>
        <w:t xml:space="preserve">, </w:t>
      </w:r>
      <w:proofErr w:type="spellStart"/>
      <w:r>
        <w:rPr>
          <w:rFonts w:ascii="Arial" w:hAnsi="Arial"/>
          <w:color w:val="000000"/>
        </w:rPr>
        <w:t>sp</w:t>
      </w:r>
      <w:proofErr w:type="spellEnd"/>
      <w:r>
        <w:rPr>
          <w:rFonts w:ascii="Arial" w:hAnsi="Arial"/>
          <w:color w:val="000000"/>
        </w:rPr>
        <w:t xml:space="preserve">. zn. C 281624 </w:t>
      </w:r>
    </w:p>
    <w:p w14:paraId="2AEEA152" w14:textId="77777777" w:rsidR="00397F63" w:rsidRDefault="00657EC4">
      <w:pPr>
        <w:pStyle w:val="Hlavika"/>
        <w:rPr>
          <w:rFonts w:ascii="Arial" w:hAnsi="Arial"/>
        </w:rPr>
      </w:pPr>
      <w:r>
        <w:rPr>
          <w:rFonts w:ascii="Arial" w:hAnsi="Arial"/>
        </w:rPr>
        <w:t xml:space="preserve">zastoupená Petrem Matějčkem a Martinem </w:t>
      </w:r>
      <w:proofErr w:type="spellStart"/>
      <w:r>
        <w:rPr>
          <w:rFonts w:ascii="Arial" w:hAnsi="Arial"/>
        </w:rPr>
        <w:t>Koreněm</w:t>
      </w:r>
      <w:proofErr w:type="spellEnd"/>
      <w:r>
        <w:rPr>
          <w:rFonts w:ascii="Arial" w:hAnsi="Arial"/>
        </w:rPr>
        <w:t>, jednateli</w:t>
      </w:r>
    </w:p>
    <w:p w14:paraId="1FAFA3A1" w14:textId="77777777" w:rsidR="00397F63" w:rsidRDefault="00657EC4">
      <w:pPr>
        <w:pStyle w:val="Hlavika"/>
        <w:rPr>
          <w:rFonts w:ascii="Arial" w:hAnsi="Arial"/>
        </w:rPr>
      </w:pPr>
      <w:r>
        <w:rPr>
          <w:rFonts w:ascii="Arial" w:hAnsi="Arial"/>
        </w:rPr>
        <w:t>(dále jen „</w:t>
      </w:r>
      <w:r>
        <w:rPr>
          <w:rFonts w:ascii="Arial" w:hAnsi="Arial"/>
          <w:b/>
          <w:bCs/>
        </w:rPr>
        <w:t>Prodávající</w:t>
      </w:r>
      <w:r>
        <w:rPr>
          <w:rFonts w:ascii="Arial" w:hAnsi="Arial"/>
        </w:rPr>
        <w:t>“)</w:t>
      </w:r>
    </w:p>
    <w:p w14:paraId="30250CFD" w14:textId="77777777" w:rsidR="00397F63" w:rsidRDefault="00657EC4">
      <w:pPr>
        <w:pStyle w:val="Odsazen"/>
        <w:rPr>
          <w:rFonts w:ascii="Arial" w:hAnsi="Arial"/>
        </w:rPr>
      </w:pPr>
      <w:r>
        <w:rPr>
          <w:rFonts w:ascii="Arial" w:hAnsi="Arial"/>
        </w:rPr>
        <w:t>a</w:t>
      </w:r>
    </w:p>
    <w:p w14:paraId="187013EA" w14:textId="77777777" w:rsidR="00397F63" w:rsidRDefault="00657EC4">
      <w:pPr>
        <w:pStyle w:val="Hlavika"/>
        <w:rPr>
          <w:b/>
          <w:bCs/>
          <w:color w:val="000000"/>
        </w:rPr>
      </w:pPr>
      <w:r>
        <w:rPr>
          <w:rFonts w:ascii="Arial" w:hAnsi="Arial"/>
          <w:b/>
          <w:bCs/>
          <w:color w:val="000000"/>
        </w:rPr>
        <w:t xml:space="preserve">název firmy: </w:t>
      </w:r>
      <w:r>
        <w:rPr>
          <w:rFonts w:ascii="Arial" w:eastAsia="Cambria" w:hAnsi="Arial"/>
          <w:b/>
          <w:bCs/>
          <w:color w:val="000000"/>
        </w:rPr>
        <w:t>Domov pro seniory Mikuláškovo náměstí</w:t>
      </w:r>
    </w:p>
    <w:p w14:paraId="1EB8AEDC" w14:textId="77777777" w:rsidR="00397F63" w:rsidRDefault="00657EC4">
      <w:pPr>
        <w:pStyle w:val="Hlavika"/>
        <w:rPr>
          <w:highlight w:val="white"/>
        </w:rPr>
      </w:pPr>
      <w:r>
        <w:rPr>
          <w:rFonts w:ascii="Arial" w:hAnsi="Arial"/>
          <w:color w:val="000000"/>
        </w:rPr>
        <w:t xml:space="preserve">se sídlem </w:t>
      </w:r>
      <w:r>
        <w:rPr>
          <w:rFonts w:ascii="Arial" w:hAnsi="Arial"/>
        </w:rPr>
        <w:t>Mikuláškovo náměstí 706/20, 625 00 Brno – Starý Lískovec</w:t>
      </w:r>
    </w:p>
    <w:p w14:paraId="2E18DFE7" w14:textId="77777777" w:rsidR="00397F63" w:rsidRDefault="00657EC4">
      <w:pPr>
        <w:pStyle w:val="Hlavika"/>
        <w:rPr>
          <w:highlight w:val="white"/>
        </w:rPr>
      </w:pPr>
      <w:r>
        <w:rPr>
          <w:rFonts w:ascii="Arial" w:hAnsi="Arial"/>
          <w:color w:val="000000"/>
        </w:rPr>
        <w:t xml:space="preserve">IČO: </w:t>
      </w:r>
      <w:r>
        <w:rPr>
          <w:rFonts w:ascii="Arial" w:hAnsi="Arial"/>
        </w:rPr>
        <w:t>71155988</w:t>
      </w:r>
    </w:p>
    <w:p w14:paraId="0B525A51" w14:textId="0C3C49A5" w:rsidR="00397F63" w:rsidRDefault="00657EC4">
      <w:pPr>
        <w:pStyle w:val="Hlavika"/>
        <w:rPr>
          <w:rFonts w:ascii="Arial" w:hAnsi="Arial"/>
        </w:rPr>
      </w:pPr>
      <w:r>
        <w:rPr>
          <w:rFonts w:ascii="Arial" w:hAnsi="Arial"/>
        </w:rPr>
        <w:t>zastoupena Mgr. Markem Matejem, MBA, ředitelem</w:t>
      </w:r>
    </w:p>
    <w:p w14:paraId="715F8E25" w14:textId="77777777" w:rsidR="00397F63" w:rsidRDefault="00657EC4">
      <w:pPr>
        <w:pStyle w:val="Hlavika"/>
        <w:rPr>
          <w:rFonts w:ascii="Arial" w:hAnsi="Arial"/>
        </w:rPr>
      </w:pPr>
      <w:r>
        <w:rPr>
          <w:rFonts w:ascii="Arial" w:hAnsi="Arial"/>
        </w:rPr>
        <w:t>(dále jen „</w:t>
      </w:r>
      <w:r>
        <w:rPr>
          <w:rFonts w:ascii="Arial" w:hAnsi="Arial"/>
          <w:b/>
          <w:bCs/>
          <w:color w:val="000000"/>
        </w:rPr>
        <w:t>Kupující</w:t>
      </w:r>
      <w:r>
        <w:rPr>
          <w:rFonts w:ascii="Arial" w:hAnsi="Arial"/>
        </w:rPr>
        <w:t>“)</w:t>
      </w:r>
    </w:p>
    <w:p w14:paraId="79DD0E89" w14:textId="77777777" w:rsidR="00397F63" w:rsidRDefault="00397F63">
      <w:pPr>
        <w:pStyle w:val="Hlavika"/>
        <w:rPr>
          <w:rFonts w:ascii="Arial" w:hAnsi="Arial"/>
        </w:rPr>
      </w:pPr>
    </w:p>
    <w:p w14:paraId="30838998" w14:textId="77777777" w:rsidR="00397F63" w:rsidRDefault="00657EC4">
      <w:pPr>
        <w:pStyle w:val="rove1"/>
        <w:numPr>
          <w:ilvl w:val="0"/>
          <w:numId w:val="1"/>
        </w:numPr>
        <w:rPr>
          <w:rFonts w:ascii="Arial" w:hAnsi="Arial"/>
        </w:rPr>
      </w:pPr>
      <w:r>
        <w:rPr>
          <w:rFonts w:ascii="Arial" w:hAnsi="Arial"/>
        </w:rPr>
        <w:t xml:space="preserve">Preambule </w:t>
      </w:r>
    </w:p>
    <w:p w14:paraId="41424E61" w14:textId="77777777" w:rsidR="00397F63" w:rsidRDefault="00657EC4">
      <w:pPr>
        <w:pStyle w:val="rove2"/>
        <w:numPr>
          <w:ilvl w:val="1"/>
          <w:numId w:val="1"/>
        </w:numPr>
        <w:rPr>
          <w:rFonts w:ascii="Arial" w:hAnsi="Arial"/>
        </w:rPr>
      </w:pPr>
      <w:r>
        <w:rPr>
          <w:rFonts w:ascii="Arial" w:hAnsi="Arial"/>
          <w:color w:val="000000"/>
        </w:rPr>
        <w:t>Prodávající</w:t>
      </w:r>
      <w:r>
        <w:rPr>
          <w:rFonts w:ascii="Arial" w:hAnsi="Arial"/>
          <w:b/>
          <w:bCs/>
          <w:color w:val="000000"/>
        </w:rPr>
        <w:t xml:space="preserve"> </w:t>
      </w:r>
      <w:r>
        <w:rPr>
          <w:rFonts w:ascii="Arial" w:hAnsi="Arial"/>
        </w:rPr>
        <w:t xml:space="preserve">je výhradním dodavatelem </w:t>
      </w:r>
      <w:r>
        <w:rPr>
          <w:rFonts w:ascii="Arial" w:hAnsi="Arial"/>
        </w:rPr>
        <w:t xml:space="preserve">zdravotnického prostředku </w:t>
      </w:r>
      <w:proofErr w:type="spellStart"/>
      <w:r>
        <w:rPr>
          <w:rFonts w:ascii="Arial" w:hAnsi="Arial"/>
        </w:rPr>
        <w:t>SCase</w:t>
      </w:r>
      <w:proofErr w:type="spellEnd"/>
      <w:r>
        <w:rPr>
          <w:rFonts w:ascii="Arial" w:hAnsi="Arial"/>
        </w:rPr>
        <w:t xml:space="preserve"> D01 a příslušenství (dále jen „</w:t>
      </w:r>
      <w:r>
        <w:rPr>
          <w:rFonts w:ascii="Arial" w:hAnsi="Arial"/>
          <w:b/>
          <w:bCs/>
        </w:rPr>
        <w:t>Zboží</w:t>
      </w:r>
      <w:r>
        <w:rPr>
          <w:rFonts w:ascii="Arial" w:hAnsi="Arial"/>
        </w:rPr>
        <w:t xml:space="preserve">“). </w:t>
      </w:r>
      <w:r>
        <w:rPr>
          <w:rFonts w:ascii="Arial" w:hAnsi="Arial"/>
          <w:color w:val="000000"/>
        </w:rPr>
        <w:t>Prodávající</w:t>
      </w:r>
      <w:r>
        <w:rPr>
          <w:rFonts w:ascii="Arial" w:hAnsi="Arial"/>
          <w:b/>
          <w:bCs/>
          <w:color w:val="000000"/>
        </w:rPr>
        <w:t xml:space="preserve"> </w:t>
      </w:r>
      <w:r>
        <w:rPr>
          <w:rFonts w:ascii="Arial" w:hAnsi="Arial"/>
        </w:rPr>
        <w:t xml:space="preserve">má zájem prodávat Zboží Kupujícímu na základě dílčích objednávek a realizačních kupních smluv. </w:t>
      </w:r>
    </w:p>
    <w:p w14:paraId="27C5C7FD" w14:textId="77777777" w:rsidR="00397F63" w:rsidRDefault="00657EC4">
      <w:pPr>
        <w:pStyle w:val="rove2"/>
        <w:numPr>
          <w:ilvl w:val="1"/>
          <w:numId w:val="1"/>
        </w:numPr>
        <w:rPr>
          <w:rFonts w:ascii="Arial" w:hAnsi="Arial"/>
        </w:rPr>
      </w:pPr>
      <w:r>
        <w:rPr>
          <w:rFonts w:ascii="Arial" w:hAnsi="Arial"/>
        </w:rPr>
        <w:t xml:space="preserve">Kupující má zájem nakupovat Zboží od </w:t>
      </w:r>
      <w:r>
        <w:rPr>
          <w:rFonts w:ascii="Arial" w:hAnsi="Arial"/>
          <w:color w:val="000000"/>
        </w:rPr>
        <w:t xml:space="preserve">Prodávajícího na základě </w:t>
      </w:r>
      <w:r>
        <w:rPr>
          <w:rFonts w:ascii="Arial" w:hAnsi="Arial"/>
        </w:rPr>
        <w:t>dílčích objednávek a realizačních kupních smluv.</w:t>
      </w:r>
    </w:p>
    <w:p w14:paraId="69960C33" w14:textId="77777777" w:rsidR="00397F63" w:rsidRDefault="00657EC4">
      <w:pPr>
        <w:pStyle w:val="rove1"/>
        <w:numPr>
          <w:ilvl w:val="0"/>
          <w:numId w:val="1"/>
        </w:numPr>
        <w:rPr>
          <w:rFonts w:ascii="Arial" w:hAnsi="Arial"/>
        </w:rPr>
      </w:pPr>
      <w:r>
        <w:rPr>
          <w:rFonts w:ascii="Arial" w:hAnsi="Arial"/>
        </w:rPr>
        <w:t>PŘEDMĚT SMLOUVY</w:t>
      </w:r>
    </w:p>
    <w:p w14:paraId="3C5EF1D2" w14:textId="77777777" w:rsidR="00397F63" w:rsidRDefault="00657EC4">
      <w:pPr>
        <w:pStyle w:val="rove2"/>
        <w:numPr>
          <w:ilvl w:val="1"/>
          <w:numId w:val="1"/>
        </w:numPr>
        <w:rPr>
          <w:rFonts w:ascii="Arial" w:hAnsi="Arial"/>
        </w:rPr>
      </w:pPr>
      <w:r>
        <w:rPr>
          <w:rFonts w:ascii="Arial" w:hAnsi="Arial"/>
        </w:rPr>
        <w:t>Předmětem této Smlouvy je stanovení práv a povinností smluvních stran při dodávkách Zboží, dle potřeb Kupujícího. Tato Smlouva se uzavírá jako rámcová kupní smlouva s tím, že specifikace jednotlivých dodávek bude prováděna samostatnými kupními smlouvami (dále jen „</w:t>
      </w:r>
      <w:r>
        <w:rPr>
          <w:rFonts w:ascii="Arial" w:hAnsi="Arial"/>
          <w:b/>
          <w:bCs/>
        </w:rPr>
        <w:t>Realizační smlouva</w:t>
      </w:r>
      <w:r>
        <w:rPr>
          <w:rFonts w:ascii="Arial" w:hAnsi="Arial"/>
        </w:rPr>
        <w:t>“), uzavíranými na základě písemných objednávek (dále jen „</w:t>
      </w:r>
      <w:r>
        <w:rPr>
          <w:rFonts w:ascii="Arial" w:hAnsi="Arial"/>
          <w:b/>
          <w:bCs/>
        </w:rPr>
        <w:t>Objednávka</w:t>
      </w:r>
      <w:r>
        <w:rPr>
          <w:rFonts w:ascii="Arial" w:hAnsi="Arial"/>
        </w:rPr>
        <w:t xml:space="preserve">“), tak jak je specifikováno v čl. </w:t>
      </w:r>
      <w:r>
        <w:rPr>
          <w:rFonts w:ascii="Arial" w:hAnsi="Arial"/>
        </w:rPr>
        <w:fldChar w:fldCharType="begin"/>
      </w:r>
      <w:r>
        <w:rPr>
          <w:rFonts w:ascii="Arial" w:hAnsi="Arial"/>
        </w:rPr>
        <w:instrText>REF _Ref182209510 \r \h</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xml:space="preserve">. této Smlouvy. </w:t>
      </w:r>
    </w:p>
    <w:p w14:paraId="216FD158" w14:textId="77777777" w:rsidR="00397F63" w:rsidRDefault="00657EC4">
      <w:pPr>
        <w:pStyle w:val="rove2"/>
        <w:numPr>
          <w:ilvl w:val="1"/>
          <w:numId w:val="1"/>
        </w:numPr>
        <w:rPr>
          <w:rFonts w:ascii="Arial" w:hAnsi="Arial"/>
        </w:rPr>
      </w:pPr>
      <w:r>
        <w:rPr>
          <w:rFonts w:ascii="Arial" w:hAnsi="Arial"/>
        </w:rPr>
        <w:t>Realizační smlouvou</w:t>
      </w:r>
      <w:r>
        <w:rPr>
          <w:rFonts w:ascii="Arial" w:hAnsi="Arial"/>
          <w:b/>
          <w:bCs/>
        </w:rPr>
        <w:t xml:space="preserve"> </w:t>
      </w:r>
      <w:r>
        <w:rPr>
          <w:rFonts w:ascii="Arial" w:hAnsi="Arial"/>
        </w:rPr>
        <w:t xml:space="preserve">se Prodávající zavazuje dodávat Zboží a Kupující se zavazuje dodané Zboží od Prodávajícího převzít a zaplatit Prodávajícímu v Realizační smlouvě dohodnutou kupní cenu. </w:t>
      </w:r>
    </w:p>
    <w:p w14:paraId="59BEDE74" w14:textId="77777777" w:rsidR="00397F63" w:rsidRDefault="00657EC4">
      <w:pPr>
        <w:pStyle w:val="rove1"/>
        <w:numPr>
          <w:ilvl w:val="0"/>
          <w:numId w:val="1"/>
        </w:numPr>
        <w:rPr>
          <w:rFonts w:ascii="Arial" w:hAnsi="Arial"/>
        </w:rPr>
      </w:pPr>
      <w:bookmarkStart w:id="0" w:name="_Ref161408275"/>
      <w:bookmarkStart w:id="1" w:name="_Ref182209510"/>
      <w:r>
        <w:rPr>
          <w:rFonts w:ascii="Arial" w:hAnsi="Arial"/>
        </w:rPr>
        <w:t xml:space="preserve">OBJEDNÁVKA ZBOŽÍ A </w:t>
      </w:r>
      <w:bookmarkEnd w:id="0"/>
      <w:r>
        <w:rPr>
          <w:rFonts w:ascii="Arial" w:hAnsi="Arial"/>
        </w:rPr>
        <w:t>realizační smlouvy</w:t>
      </w:r>
      <w:bookmarkEnd w:id="1"/>
    </w:p>
    <w:p w14:paraId="0A68FEE8" w14:textId="77777777" w:rsidR="00397F63" w:rsidRDefault="00657EC4">
      <w:pPr>
        <w:pStyle w:val="rove2"/>
        <w:numPr>
          <w:ilvl w:val="1"/>
          <w:numId w:val="1"/>
        </w:numPr>
        <w:rPr>
          <w:rFonts w:ascii="Arial" w:hAnsi="Arial"/>
        </w:rPr>
      </w:pPr>
      <w:bookmarkStart w:id="2" w:name="_Ref181969184"/>
      <w:bookmarkStart w:id="3" w:name="_Ref161650869"/>
      <w:r>
        <w:rPr>
          <w:rFonts w:ascii="Arial" w:hAnsi="Arial"/>
        </w:rPr>
        <w:t>Kupující objedná Zboží na základě písemné Objednávky</w:t>
      </w:r>
      <w:bookmarkEnd w:id="2"/>
      <w:bookmarkEnd w:id="3"/>
      <w:r>
        <w:rPr>
          <w:rFonts w:ascii="Arial" w:hAnsi="Arial"/>
        </w:rPr>
        <w:t xml:space="preserve"> zaslané na e-mail Prodávajícího linhart@medicionas.cz. Smluvní strany se dohodly, že jednotlivé Objednávky musí obsahovat zejména: </w:t>
      </w:r>
    </w:p>
    <w:p w14:paraId="7907B9EF" w14:textId="77777777" w:rsidR="00397F63" w:rsidRDefault="00657EC4">
      <w:pPr>
        <w:pStyle w:val="rove3"/>
        <w:numPr>
          <w:ilvl w:val="2"/>
          <w:numId w:val="1"/>
        </w:numPr>
        <w:rPr>
          <w:rFonts w:ascii="Arial" w:hAnsi="Arial"/>
        </w:rPr>
      </w:pPr>
      <w:r>
        <w:rPr>
          <w:rFonts w:ascii="Arial" w:hAnsi="Arial"/>
        </w:rPr>
        <w:t>Označení Prodávajícího a Kupujícího,</w:t>
      </w:r>
    </w:p>
    <w:p w14:paraId="3874F3BF" w14:textId="77777777" w:rsidR="00397F63" w:rsidRDefault="00657EC4">
      <w:pPr>
        <w:pStyle w:val="rove3"/>
        <w:numPr>
          <w:ilvl w:val="2"/>
          <w:numId w:val="1"/>
        </w:numPr>
        <w:rPr>
          <w:rFonts w:ascii="Arial" w:hAnsi="Arial"/>
        </w:rPr>
      </w:pPr>
      <w:r>
        <w:rPr>
          <w:rFonts w:ascii="Arial" w:hAnsi="Arial"/>
        </w:rPr>
        <w:t>specifikaci Zboží,</w:t>
      </w:r>
    </w:p>
    <w:p w14:paraId="79B7ABD8" w14:textId="77777777" w:rsidR="00397F63" w:rsidRDefault="00657EC4">
      <w:pPr>
        <w:pStyle w:val="rove3"/>
        <w:numPr>
          <w:ilvl w:val="2"/>
          <w:numId w:val="1"/>
        </w:numPr>
        <w:rPr>
          <w:rFonts w:ascii="Arial" w:hAnsi="Arial"/>
        </w:rPr>
      </w:pPr>
      <w:r>
        <w:rPr>
          <w:rFonts w:ascii="Arial" w:hAnsi="Arial"/>
        </w:rPr>
        <w:t>množství Zboží,</w:t>
      </w:r>
    </w:p>
    <w:p w14:paraId="164865EC" w14:textId="77777777" w:rsidR="00397F63" w:rsidRDefault="00657EC4">
      <w:pPr>
        <w:pStyle w:val="rove3"/>
        <w:numPr>
          <w:ilvl w:val="2"/>
          <w:numId w:val="1"/>
        </w:numPr>
        <w:rPr>
          <w:rFonts w:ascii="Arial" w:hAnsi="Arial"/>
        </w:rPr>
      </w:pPr>
      <w:r>
        <w:rPr>
          <w:rFonts w:ascii="Arial" w:hAnsi="Arial"/>
        </w:rPr>
        <w:t xml:space="preserve">cenu Zboží určenou podle ceníku v souladu s čl. </w:t>
      </w:r>
      <w:r>
        <w:rPr>
          <w:rFonts w:ascii="Arial" w:hAnsi="Arial"/>
        </w:rPr>
        <w:fldChar w:fldCharType="begin"/>
      </w:r>
      <w:r>
        <w:rPr>
          <w:rFonts w:ascii="Arial" w:hAnsi="Arial"/>
        </w:rPr>
        <w:instrText>REF _Ref181972046 \r \h</w:instrText>
      </w:r>
      <w:r>
        <w:rPr>
          <w:rFonts w:ascii="Arial" w:hAnsi="Arial"/>
        </w:rPr>
      </w:r>
      <w:r>
        <w:rPr>
          <w:rFonts w:ascii="Arial" w:hAnsi="Arial"/>
        </w:rPr>
        <w:fldChar w:fldCharType="separate"/>
      </w:r>
      <w:r>
        <w:rPr>
          <w:rFonts w:ascii="Arial" w:hAnsi="Arial"/>
        </w:rPr>
        <w:t>5.2</w:t>
      </w:r>
      <w:r>
        <w:rPr>
          <w:rFonts w:ascii="Arial" w:hAnsi="Arial"/>
        </w:rPr>
        <w:fldChar w:fldCharType="end"/>
      </w:r>
      <w:r>
        <w:rPr>
          <w:rFonts w:ascii="Arial" w:hAnsi="Arial"/>
        </w:rPr>
        <w:t xml:space="preserve">. této Smlouvy, </w:t>
      </w:r>
    </w:p>
    <w:p w14:paraId="727ACA4D" w14:textId="77777777" w:rsidR="00397F63" w:rsidRDefault="00657EC4">
      <w:pPr>
        <w:pStyle w:val="rove3"/>
        <w:numPr>
          <w:ilvl w:val="2"/>
          <w:numId w:val="1"/>
        </w:numPr>
        <w:rPr>
          <w:rFonts w:ascii="Arial" w:hAnsi="Arial"/>
        </w:rPr>
      </w:pPr>
      <w:r>
        <w:rPr>
          <w:rFonts w:ascii="Arial" w:hAnsi="Arial"/>
        </w:rPr>
        <w:t xml:space="preserve">termín dodání. </w:t>
      </w:r>
    </w:p>
    <w:p w14:paraId="6BAFD552" w14:textId="771CDB9D" w:rsidR="00397F63" w:rsidRDefault="00657EC4">
      <w:pPr>
        <w:pStyle w:val="rove2"/>
        <w:numPr>
          <w:ilvl w:val="1"/>
          <w:numId w:val="1"/>
        </w:numPr>
        <w:rPr>
          <w:rFonts w:ascii="Arial" w:hAnsi="Arial"/>
        </w:rPr>
      </w:pPr>
      <w:bookmarkStart w:id="4" w:name="_Ref181971187"/>
      <w:r>
        <w:rPr>
          <w:rFonts w:ascii="Arial" w:hAnsi="Arial"/>
        </w:rPr>
        <w:t xml:space="preserve">Po obdržení Objednávky Prodávající Objednávku potvrdí nebo ji odmítne na </w:t>
      </w:r>
      <w:proofErr w:type="gramStart"/>
      <w:r>
        <w:rPr>
          <w:rFonts w:ascii="Arial" w:hAnsi="Arial"/>
        </w:rPr>
        <w:t>E-mail</w:t>
      </w:r>
      <w:proofErr w:type="gramEnd"/>
      <w:r>
        <w:rPr>
          <w:rFonts w:ascii="Arial" w:hAnsi="Arial"/>
        </w:rPr>
        <w:t xml:space="preserve"> Kupujícího fakturace@dsmin.cz</w:t>
      </w:r>
      <w:r>
        <w:rPr>
          <w:rFonts w:ascii="Arial" w:hAnsi="Arial"/>
        </w:rPr>
        <w:t xml:space="preserve">. Realizační smlouva je uzavřena okamžikem doručení potvrzení na </w:t>
      </w:r>
      <w:proofErr w:type="gramStart"/>
      <w:r>
        <w:rPr>
          <w:rFonts w:ascii="Arial" w:hAnsi="Arial"/>
        </w:rPr>
        <w:t>E-mail</w:t>
      </w:r>
      <w:proofErr w:type="gramEnd"/>
      <w:r>
        <w:rPr>
          <w:rFonts w:ascii="Arial" w:hAnsi="Arial"/>
        </w:rPr>
        <w:t xml:space="preserve"> Kupujícího. Neučiní-li tak Prodávající ani do 7 dnů ode dne doručení Objednávky, platí, že Objednávka byla odmítnuta.</w:t>
      </w:r>
      <w:bookmarkEnd w:id="4"/>
      <w:r>
        <w:rPr>
          <w:rFonts w:ascii="Arial" w:hAnsi="Arial"/>
        </w:rPr>
        <w:t xml:space="preserve"> </w:t>
      </w:r>
    </w:p>
    <w:p w14:paraId="5397939D" w14:textId="77777777" w:rsidR="00397F63" w:rsidRDefault="00657EC4">
      <w:pPr>
        <w:pStyle w:val="rove2"/>
        <w:numPr>
          <w:ilvl w:val="1"/>
          <w:numId w:val="1"/>
        </w:numPr>
        <w:rPr>
          <w:rFonts w:ascii="Arial" w:hAnsi="Arial"/>
        </w:rPr>
      </w:pPr>
      <w:bookmarkStart w:id="5" w:name="_Ref455677161"/>
      <w:r>
        <w:rPr>
          <w:rFonts w:ascii="Arial" w:hAnsi="Arial"/>
        </w:rPr>
        <w:t xml:space="preserve">Jestliže přijetí </w:t>
      </w:r>
      <w:r>
        <w:rPr>
          <w:rFonts w:ascii="Arial" w:hAnsi="Arial"/>
        </w:rPr>
        <w:t>Objednávky Prodávajícího obsahuje dodatky, výhrady, omezení nebo jiné změny Objednávky, považuje se taková odpověď za odmítnutí Objednávky. V takovém případě má tato odpověď povahu nového návrhu na uzavření Realizační smlouvy</w:t>
      </w:r>
      <w:bookmarkEnd w:id="5"/>
      <w:r>
        <w:rPr>
          <w:rFonts w:ascii="Arial" w:hAnsi="Arial"/>
        </w:rPr>
        <w:t xml:space="preserve"> vůči Kupujícímu. </w:t>
      </w:r>
    </w:p>
    <w:p w14:paraId="7906CC5E" w14:textId="77777777" w:rsidR="00397F63" w:rsidRDefault="00657EC4">
      <w:pPr>
        <w:pStyle w:val="rove2"/>
        <w:numPr>
          <w:ilvl w:val="1"/>
          <w:numId w:val="1"/>
        </w:numPr>
        <w:rPr>
          <w:rFonts w:ascii="Arial" w:hAnsi="Arial"/>
        </w:rPr>
      </w:pPr>
      <w:r>
        <w:rPr>
          <w:rFonts w:ascii="Arial" w:hAnsi="Arial"/>
        </w:rPr>
        <w:t xml:space="preserve">Prodávající si vyhrazuje právo odmítnout Objednávku, a to podle svého výlučného uvážení, zejména v případě, že je Zboží již vyprodáno, popřípadě existuje jiný relevantní důvod, pro který po Prodávajícím nelze spravedlivě požadovat akceptaci Objednávky (např. z důvodu porušení dříve uzavřených Realizačních smluv a prodlení se zaplacením kupní ceny), přičemž Prodávající bude bez zbytečného odkladu Kupujícího o neakceptaci Objednávky informovat prostřednictvím e-mailů uvedených v čl. </w:t>
      </w:r>
      <w:r>
        <w:rPr>
          <w:rFonts w:ascii="Arial" w:hAnsi="Arial"/>
        </w:rPr>
        <w:fldChar w:fldCharType="begin"/>
      </w:r>
      <w:r>
        <w:rPr>
          <w:rFonts w:ascii="Arial" w:hAnsi="Arial"/>
        </w:rPr>
        <w:instrText>REF _Ref181969184 \r \h</w:instrText>
      </w:r>
      <w:r>
        <w:rPr>
          <w:rFonts w:ascii="Arial" w:hAnsi="Arial"/>
        </w:rPr>
      </w:r>
      <w:r>
        <w:rPr>
          <w:rFonts w:ascii="Arial" w:hAnsi="Arial"/>
        </w:rPr>
        <w:fldChar w:fldCharType="separate"/>
      </w:r>
      <w:r>
        <w:rPr>
          <w:rFonts w:ascii="Arial" w:hAnsi="Arial"/>
        </w:rPr>
        <w:t>3.1</w:t>
      </w:r>
      <w:r>
        <w:rPr>
          <w:rFonts w:ascii="Arial" w:hAnsi="Arial"/>
        </w:rPr>
        <w:fldChar w:fldCharType="end"/>
      </w:r>
      <w:r>
        <w:rPr>
          <w:rFonts w:ascii="Arial" w:hAnsi="Arial"/>
        </w:rPr>
        <w:t xml:space="preserve"> výše. </w:t>
      </w:r>
    </w:p>
    <w:p w14:paraId="14DB264A" w14:textId="77777777" w:rsidR="00397F63" w:rsidRDefault="00657EC4">
      <w:pPr>
        <w:pStyle w:val="rove2"/>
        <w:numPr>
          <w:ilvl w:val="1"/>
          <w:numId w:val="1"/>
        </w:numPr>
        <w:rPr>
          <w:rFonts w:ascii="Arial" w:hAnsi="Arial"/>
        </w:rPr>
      </w:pPr>
      <w:r>
        <w:rPr>
          <w:rFonts w:ascii="Arial" w:eastAsia="Times New Roman" w:hAnsi="Arial"/>
        </w:rPr>
        <w:lastRenderedPageBreak/>
        <w:t>Smluvní strany si vylučují jakoukoliv smluvní pokutu a nároky na náhradu újmy v případě, že Kupující nebude za trvání této Smlouvy od Prodávajícího odebírat Zboží</w:t>
      </w:r>
    </w:p>
    <w:p w14:paraId="3658AD57" w14:textId="77777777" w:rsidR="00397F63" w:rsidRDefault="00657EC4">
      <w:pPr>
        <w:pStyle w:val="rove1"/>
        <w:numPr>
          <w:ilvl w:val="0"/>
          <w:numId w:val="1"/>
        </w:numPr>
        <w:rPr>
          <w:rFonts w:ascii="Arial" w:hAnsi="Arial"/>
        </w:rPr>
      </w:pPr>
      <w:r>
        <w:rPr>
          <w:rFonts w:ascii="Arial" w:hAnsi="Arial"/>
        </w:rPr>
        <w:t>Předání zboží a záruka</w:t>
      </w:r>
    </w:p>
    <w:p w14:paraId="02FEAEE3" w14:textId="29CE9ECC" w:rsidR="00397F63" w:rsidRDefault="00657EC4">
      <w:pPr>
        <w:pStyle w:val="rove2"/>
        <w:numPr>
          <w:ilvl w:val="1"/>
          <w:numId w:val="1"/>
        </w:numPr>
        <w:rPr>
          <w:rFonts w:ascii="Arial" w:hAnsi="Arial"/>
        </w:rPr>
      </w:pPr>
      <w:r>
        <w:rPr>
          <w:rFonts w:ascii="Arial" w:hAnsi="Arial"/>
        </w:rPr>
        <w:t>Prodávající připraví Zboží k předání z a o této skutečnosti vyrozumí Kupujícího. Prodávající předá zboží Kupujícímu na adrese Mikuláškovo nám.20, Brno</w:t>
      </w:r>
      <w:r>
        <w:rPr>
          <w:rFonts w:ascii="Arial" w:hAnsi="Arial"/>
        </w:rPr>
        <w:t>.</w:t>
      </w:r>
    </w:p>
    <w:p w14:paraId="7F87EA7E" w14:textId="77777777" w:rsidR="00397F63" w:rsidRDefault="00657EC4">
      <w:pPr>
        <w:pStyle w:val="rove2"/>
        <w:numPr>
          <w:ilvl w:val="1"/>
          <w:numId w:val="1"/>
        </w:numPr>
        <w:rPr>
          <w:rFonts w:ascii="Arial" w:hAnsi="Arial"/>
        </w:rPr>
      </w:pPr>
      <w:r>
        <w:rPr>
          <w:rFonts w:ascii="Arial" w:hAnsi="Arial"/>
        </w:rPr>
        <w:t>Kupující nabývá vlastnické právo ke Zboží jeho zaplacením a převzetím, není-li stanoveno jinak. Nebezpečí škody na Zboží přechází na Kupujícího okamžikem převzetí Zboží.</w:t>
      </w:r>
    </w:p>
    <w:p w14:paraId="1C3BCE2D" w14:textId="77777777" w:rsidR="00397F63" w:rsidRDefault="00657EC4">
      <w:pPr>
        <w:pStyle w:val="rove2"/>
        <w:numPr>
          <w:ilvl w:val="1"/>
          <w:numId w:val="1"/>
        </w:numPr>
        <w:rPr>
          <w:rFonts w:ascii="Arial" w:hAnsi="Arial"/>
        </w:rPr>
      </w:pPr>
      <w:r>
        <w:rPr>
          <w:rFonts w:ascii="Arial" w:hAnsi="Arial"/>
        </w:rPr>
        <w:t xml:space="preserve">Prodávající poskytuje Kupujícímu záruku na odebrané Zboží 1 rok </w:t>
      </w:r>
      <w:r>
        <w:rPr>
          <w:rFonts w:ascii="Arial" w:eastAsia="Times New Roman" w:hAnsi="Arial"/>
        </w:rPr>
        <w:t>od jeho předání</w:t>
      </w:r>
      <w:bookmarkStart w:id="6" w:name="_Ref161411399"/>
      <w:bookmarkEnd w:id="6"/>
      <w:r>
        <w:rPr>
          <w:rFonts w:ascii="Arial" w:hAnsi="Arial"/>
        </w:rPr>
        <w:t xml:space="preserve">. </w:t>
      </w:r>
    </w:p>
    <w:p w14:paraId="3D615C34" w14:textId="77777777" w:rsidR="00397F63" w:rsidRDefault="00657EC4">
      <w:pPr>
        <w:pStyle w:val="rove2"/>
        <w:numPr>
          <w:ilvl w:val="1"/>
          <w:numId w:val="1"/>
        </w:numPr>
        <w:rPr>
          <w:rFonts w:ascii="Arial" w:hAnsi="Arial"/>
        </w:rPr>
      </w:pPr>
      <w:r>
        <w:rPr>
          <w:rFonts w:ascii="Arial" w:hAnsi="Arial"/>
        </w:rPr>
        <w:t>Společně se Zbožím budou Kupujícímu předány rovněž prohlášení o shodě ke Zboží a návod k použití v českém jazyce.</w:t>
      </w:r>
    </w:p>
    <w:p w14:paraId="5B1B1825" w14:textId="77777777" w:rsidR="00397F63" w:rsidRDefault="00657EC4">
      <w:pPr>
        <w:pStyle w:val="rove1"/>
        <w:numPr>
          <w:ilvl w:val="0"/>
          <w:numId w:val="1"/>
        </w:numPr>
        <w:rPr>
          <w:rFonts w:ascii="Arial" w:hAnsi="Arial"/>
        </w:rPr>
      </w:pPr>
      <w:bookmarkStart w:id="7" w:name="_Ref161408768"/>
      <w:r>
        <w:rPr>
          <w:rFonts w:ascii="Arial" w:hAnsi="Arial"/>
        </w:rPr>
        <w:t>CENA A PLATEBNÍ PODMÍNKY</w:t>
      </w:r>
      <w:bookmarkEnd w:id="7"/>
    </w:p>
    <w:p w14:paraId="397A3ACE" w14:textId="77777777" w:rsidR="00397F63" w:rsidRDefault="00657EC4">
      <w:pPr>
        <w:pStyle w:val="rove2"/>
        <w:numPr>
          <w:ilvl w:val="1"/>
          <w:numId w:val="1"/>
        </w:numPr>
        <w:rPr>
          <w:rFonts w:ascii="Arial" w:hAnsi="Arial"/>
        </w:rPr>
      </w:pPr>
      <w:r>
        <w:rPr>
          <w:rFonts w:ascii="Arial" w:hAnsi="Arial"/>
        </w:rPr>
        <w:t>Cena Zboží je stanovena ceníkem (dále jen „</w:t>
      </w:r>
      <w:r>
        <w:rPr>
          <w:rFonts w:ascii="Arial" w:hAnsi="Arial"/>
          <w:b/>
          <w:bCs/>
        </w:rPr>
        <w:t>Ceník</w:t>
      </w:r>
      <w:r>
        <w:rPr>
          <w:rFonts w:ascii="Arial" w:hAnsi="Arial"/>
        </w:rPr>
        <w:t xml:space="preserve">“), který je přílohou č. 1 této Smlouvy. Smluvní strany se dohodly, že ceník se může změnit jen po dohodě smluvních stran, a to na základě písemného dodatku k této Smlouvě. </w:t>
      </w:r>
    </w:p>
    <w:p w14:paraId="212EB1E0" w14:textId="77777777" w:rsidR="00397F63" w:rsidRDefault="00657EC4">
      <w:pPr>
        <w:pStyle w:val="rove2"/>
        <w:numPr>
          <w:ilvl w:val="1"/>
          <w:numId w:val="1"/>
        </w:numPr>
        <w:rPr>
          <w:rFonts w:ascii="Arial" w:hAnsi="Arial"/>
        </w:rPr>
      </w:pPr>
      <w:r>
        <w:rPr>
          <w:rFonts w:ascii="Arial" w:hAnsi="Arial"/>
        </w:rPr>
        <w:t>Kupní cena ujednaná v jednotlivých Realizačních smlouvách (dále jen „</w:t>
      </w:r>
      <w:r>
        <w:rPr>
          <w:rFonts w:ascii="Arial" w:hAnsi="Arial"/>
          <w:b/>
          <w:bCs/>
        </w:rPr>
        <w:t>Kupní cena</w:t>
      </w:r>
      <w:r>
        <w:rPr>
          <w:rFonts w:ascii="Arial" w:hAnsi="Arial"/>
        </w:rPr>
        <w:t xml:space="preserve">“) bude odpovídat cenám uvedeným v Ceníku. Ceny v Ceníku jsou uvedeny bez DPH. Ke Kupní ceně bude přičtena příslušná sazba DPH. V Kupní ceně jsou zahrnuty veškeré náklady Prodávajícího včetně nákladů na dopravu do místa dodání a balení atp. </w:t>
      </w:r>
      <w:bookmarkStart w:id="8" w:name="_Ref181972046"/>
      <w:bookmarkStart w:id="9" w:name="_Ref368173224"/>
      <w:bookmarkEnd w:id="8"/>
      <w:bookmarkEnd w:id="9"/>
    </w:p>
    <w:p w14:paraId="176AAB54" w14:textId="77777777" w:rsidR="00397F63" w:rsidRDefault="00657EC4">
      <w:pPr>
        <w:pStyle w:val="rove2"/>
        <w:numPr>
          <w:ilvl w:val="1"/>
          <w:numId w:val="1"/>
        </w:numPr>
        <w:rPr>
          <w:rFonts w:ascii="Arial" w:hAnsi="Arial"/>
        </w:rPr>
      </w:pPr>
      <w:r>
        <w:rPr>
          <w:rFonts w:ascii="Arial" w:hAnsi="Arial"/>
        </w:rPr>
        <w:t xml:space="preserve">Faktury za jednotlivé dodávky Zboží budou </w:t>
      </w:r>
      <w:bookmarkStart w:id="10" w:name="_Ref455687997"/>
      <w:r>
        <w:rPr>
          <w:rFonts w:ascii="Arial" w:hAnsi="Arial"/>
        </w:rPr>
        <w:t xml:space="preserve">Prodávajícím zasílány Kupujícímu na </w:t>
      </w:r>
      <w:proofErr w:type="gramStart"/>
      <w:r>
        <w:rPr>
          <w:rFonts w:ascii="Arial" w:hAnsi="Arial"/>
        </w:rPr>
        <w:t>E-mail</w:t>
      </w:r>
      <w:proofErr w:type="gramEnd"/>
      <w:r>
        <w:rPr>
          <w:rFonts w:ascii="Arial" w:hAnsi="Arial"/>
        </w:rPr>
        <w:t xml:space="preserve"> Kupujícího. Fakturována bude Kupní cena s příslušnou sazbou DPH. Splatnost faktury činí 7 dnů. </w:t>
      </w:r>
    </w:p>
    <w:p w14:paraId="723B7DE5" w14:textId="77777777" w:rsidR="00397F63" w:rsidRDefault="00657EC4">
      <w:pPr>
        <w:pStyle w:val="rove2"/>
        <w:numPr>
          <w:ilvl w:val="1"/>
          <w:numId w:val="1"/>
        </w:numPr>
        <w:rPr>
          <w:rFonts w:ascii="Arial" w:hAnsi="Arial"/>
        </w:rPr>
      </w:pPr>
      <w:r>
        <w:rPr>
          <w:rFonts w:ascii="Arial" w:hAnsi="Arial"/>
        </w:rPr>
        <w:t>Faktura musí splňovat veškeré zákonné náležitosti. Nesplňuje-li faktura náležitosti, je Kupující oprávněn fakturu vrátit zpět Prodávajícímu k opravě, přičemž lhůta splatnosti faktury běží znovu ode dne doručení takto opravené faktury.</w:t>
      </w:r>
      <w:bookmarkEnd w:id="10"/>
    </w:p>
    <w:p w14:paraId="6F59A5DC" w14:textId="77777777" w:rsidR="00397F63" w:rsidRDefault="00657EC4">
      <w:pPr>
        <w:pStyle w:val="rove2"/>
        <w:numPr>
          <w:ilvl w:val="1"/>
          <w:numId w:val="1"/>
        </w:numPr>
        <w:rPr>
          <w:rFonts w:ascii="Arial" w:hAnsi="Arial"/>
        </w:rPr>
      </w:pPr>
      <w:r>
        <w:rPr>
          <w:rStyle w:val="Siln"/>
          <w:rFonts w:ascii="Arial" w:hAnsi="Arial"/>
          <w:b w:val="0"/>
          <w:bCs w:val="0"/>
        </w:rPr>
        <w:t xml:space="preserve">Za každý měsíc provozu každého jednotlivého zařízení S-Case D01 uhradí Kupující Prodávajícímu poplatek 1.000Kč bez DPH. V tomto poplatku jsou zahrnuty následující služby: </w:t>
      </w:r>
    </w:p>
    <w:p w14:paraId="5D3CE9DF" w14:textId="77777777" w:rsidR="00397F63" w:rsidRDefault="00657EC4">
      <w:pPr>
        <w:pStyle w:val="rove2"/>
        <w:ind w:left="1275"/>
        <w:rPr>
          <w:rFonts w:ascii="Arial" w:hAnsi="Arial"/>
        </w:rPr>
      </w:pPr>
      <w:r>
        <w:rPr>
          <w:rStyle w:val="Siln"/>
          <w:rFonts w:ascii="Arial" w:hAnsi="Arial"/>
          <w:b w:val="0"/>
          <w:bCs w:val="0"/>
        </w:rPr>
        <w:t xml:space="preserve">- připojení do SW </w:t>
      </w:r>
      <w:proofErr w:type="spellStart"/>
      <w:r>
        <w:rPr>
          <w:rStyle w:val="Siln"/>
          <w:rFonts w:ascii="Arial" w:hAnsi="Arial"/>
          <w:b w:val="0"/>
          <w:bCs w:val="0"/>
        </w:rPr>
        <w:t>Cygnus</w:t>
      </w:r>
      <w:proofErr w:type="spellEnd"/>
    </w:p>
    <w:p w14:paraId="04E50115" w14:textId="77777777" w:rsidR="00397F63" w:rsidRDefault="00657EC4">
      <w:pPr>
        <w:pStyle w:val="rove2"/>
        <w:ind w:left="1275"/>
        <w:rPr>
          <w:rFonts w:ascii="Arial" w:hAnsi="Arial"/>
        </w:rPr>
      </w:pPr>
      <w:r>
        <w:rPr>
          <w:rStyle w:val="Siln"/>
          <w:rFonts w:ascii="Arial" w:hAnsi="Arial"/>
          <w:b w:val="0"/>
          <w:bCs w:val="0"/>
        </w:rPr>
        <w:t>- správa</w:t>
      </w:r>
    </w:p>
    <w:p w14:paraId="606739C6" w14:textId="77777777" w:rsidR="00397F63" w:rsidRDefault="00657EC4">
      <w:pPr>
        <w:pStyle w:val="rove2"/>
        <w:ind w:left="1275"/>
        <w:rPr>
          <w:rFonts w:ascii="Arial" w:hAnsi="Arial"/>
        </w:rPr>
      </w:pPr>
      <w:r>
        <w:rPr>
          <w:rStyle w:val="Siln"/>
          <w:rFonts w:ascii="Arial" w:hAnsi="Arial"/>
          <w:b w:val="0"/>
          <w:bCs w:val="0"/>
        </w:rPr>
        <w:t>- zabezpečení a úschova dat</w:t>
      </w:r>
    </w:p>
    <w:p w14:paraId="73205524" w14:textId="77777777" w:rsidR="00397F63" w:rsidRDefault="00657EC4">
      <w:pPr>
        <w:pStyle w:val="rove1"/>
        <w:numPr>
          <w:ilvl w:val="0"/>
          <w:numId w:val="1"/>
        </w:numPr>
      </w:pPr>
      <w:r>
        <w:rPr>
          <w:rStyle w:val="Siln"/>
          <w:rFonts w:ascii="Arial" w:hAnsi="Arial"/>
          <w:b/>
          <w:bCs/>
        </w:rPr>
        <w:t>Regulační povinnosti</w:t>
      </w:r>
    </w:p>
    <w:p w14:paraId="3A6F3BB7" w14:textId="77777777" w:rsidR="00397F63" w:rsidRDefault="00657EC4">
      <w:pPr>
        <w:pStyle w:val="rove2"/>
        <w:numPr>
          <w:ilvl w:val="1"/>
          <w:numId w:val="1"/>
        </w:numPr>
        <w:rPr>
          <w:rFonts w:ascii="Arial" w:hAnsi="Arial"/>
        </w:rPr>
      </w:pPr>
      <w:r>
        <w:rPr>
          <w:rFonts w:ascii="Arial" w:hAnsi="Arial"/>
        </w:rPr>
        <w:t xml:space="preserve">Smluvní strany jsou si vědomy, že Zboží je zdravotnickým prostředkem. Zboží a plnění z této Smlouvy podléhá příslušné právní regulaci zdravotnických prostředků. Smluvní strany jsou podnikateli v oblasti zdravotnických prostředků, a jsou proto schopny řádně a včas plnit veškeré povinnosti, které pro ně z této regulace plynou. </w:t>
      </w:r>
    </w:p>
    <w:p w14:paraId="5852BC36" w14:textId="77777777" w:rsidR="00397F63" w:rsidRDefault="00657EC4">
      <w:pPr>
        <w:pStyle w:val="rove2"/>
        <w:numPr>
          <w:ilvl w:val="1"/>
          <w:numId w:val="1"/>
        </w:numPr>
        <w:rPr>
          <w:rFonts w:ascii="Arial" w:hAnsi="Arial"/>
        </w:rPr>
      </w:pPr>
      <w:r>
        <w:rPr>
          <w:rFonts w:ascii="Arial" w:hAnsi="Arial"/>
        </w:rPr>
        <w:t>Prodávající zejména prohlašuje, že Zboží splňuje všechny regulační požadavky stanovené příslušnými právními předpisy, zejména požadavky stanovenými v Nařízení Evropského parlamentu a Rady (EU) 2017/745 ze dne 5. dubna 2017 o zdravotnických prostředcích, změně směrnice 2001/83/ES, nařízení (ES) č. 178/2002 a nařízení (ES) č. 1223/2009 a o zrušení směrnic Rady 90/385/EHS a 93/42/EHS, případně v Nařízení Evropského parlamentu a Rady (EU) 2017/746 ze dne 5. dubna 2017 o diagnostických zdravotnických prostředcíc</w:t>
      </w:r>
      <w:r>
        <w:rPr>
          <w:rFonts w:ascii="Arial" w:hAnsi="Arial"/>
        </w:rPr>
        <w:t>h in vitro a o zrušení směrnice 98/79/ES a rozhodnutí Komise 2010/227/EU.</w:t>
      </w:r>
    </w:p>
    <w:p w14:paraId="790B508F" w14:textId="77777777" w:rsidR="00397F63" w:rsidRDefault="00657EC4">
      <w:pPr>
        <w:pStyle w:val="rove2"/>
        <w:numPr>
          <w:ilvl w:val="1"/>
          <w:numId w:val="1"/>
        </w:numPr>
        <w:rPr>
          <w:rFonts w:ascii="Arial" w:hAnsi="Arial"/>
        </w:rPr>
      </w:pPr>
      <w:r>
        <w:rPr>
          <w:rFonts w:ascii="Arial" w:hAnsi="Arial"/>
        </w:rPr>
        <w:t xml:space="preserve">Strany si poskytnou jakoukoli další součinnost, která může být potřebná v souvislosti s plněním jejich zákonných povinností ve vztahu ke zdravotnickému prostředku.  </w:t>
      </w:r>
    </w:p>
    <w:p w14:paraId="421E8233" w14:textId="77777777" w:rsidR="00397F63" w:rsidRDefault="00657EC4">
      <w:pPr>
        <w:pStyle w:val="rove1"/>
        <w:numPr>
          <w:ilvl w:val="0"/>
          <w:numId w:val="1"/>
        </w:numPr>
        <w:rPr>
          <w:rFonts w:ascii="Arial" w:hAnsi="Arial"/>
        </w:rPr>
      </w:pPr>
      <w:r>
        <w:rPr>
          <w:rFonts w:ascii="Arial" w:hAnsi="Arial"/>
        </w:rPr>
        <w:t>POVINNOST MLČENLIVOSTI</w:t>
      </w:r>
    </w:p>
    <w:p w14:paraId="2775A8EF" w14:textId="77777777" w:rsidR="00397F63" w:rsidRDefault="00657EC4">
      <w:pPr>
        <w:pStyle w:val="rove2"/>
        <w:numPr>
          <w:ilvl w:val="1"/>
          <w:numId w:val="1"/>
        </w:numPr>
        <w:rPr>
          <w:rFonts w:ascii="Arial" w:hAnsi="Arial"/>
        </w:rPr>
      </w:pPr>
      <w:r>
        <w:rPr>
          <w:rFonts w:ascii="Arial" w:hAnsi="Arial"/>
        </w:rPr>
        <w:t xml:space="preserve">Smluvní strany se zavazují, že před třetími osobami uchovají v tajnosti veškeré informace, které o sobě navzájem získaly v průběhu uzavírání a plnění této Smlouvy a které nejsou veřejně přístupné anebo které pokládají za </w:t>
      </w:r>
      <w:r>
        <w:rPr>
          <w:rFonts w:ascii="Arial" w:hAnsi="Arial"/>
        </w:rPr>
        <w:t>důvěrné. V této souvislosti se zavazují zajistit utajování těchto informací též všemi zaměstnanci smluvních stran i dalšími osobami, které pověří dílčími úkoly v souvislosti s realizací této Smlouvy. Za důvěrné a utajované informace ve smyslu tohoto článku se považují veškeré informace, které jsou jako důvěrné označeny anebo jsou takového charakteru, že mohou v případě zveřejnění přivodit kterékoliv smluvní straně újmu, bez ohledu na to, zda mají povahu osobních, obchodních či jiných informací, dokud se tyt</w:t>
      </w:r>
      <w:r>
        <w:rPr>
          <w:rFonts w:ascii="Arial" w:hAnsi="Arial"/>
        </w:rPr>
        <w:t>o informace nestanou všeobecně známými.</w:t>
      </w:r>
    </w:p>
    <w:p w14:paraId="67DE9A76" w14:textId="77777777" w:rsidR="00397F63" w:rsidRDefault="00657EC4">
      <w:pPr>
        <w:pStyle w:val="rove2"/>
        <w:numPr>
          <w:ilvl w:val="1"/>
          <w:numId w:val="1"/>
        </w:numPr>
        <w:rPr>
          <w:rFonts w:ascii="Arial" w:hAnsi="Arial"/>
        </w:rPr>
      </w:pPr>
      <w:r>
        <w:rPr>
          <w:rFonts w:ascii="Arial" w:hAnsi="Arial"/>
        </w:rPr>
        <w:t>Tento závazek mlčenlivosti trvá i po skončení této Smlouvy.</w:t>
      </w:r>
    </w:p>
    <w:p w14:paraId="61D87F33" w14:textId="77777777" w:rsidR="00397F63" w:rsidRDefault="00657EC4">
      <w:pPr>
        <w:pStyle w:val="rove2"/>
        <w:numPr>
          <w:ilvl w:val="1"/>
          <w:numId w:val="1"/>
        </w:numPr>
        <w:rPr>
          <w:rFonts w:ascii="Arial" w:hAnsi="Arial"/>
        </w:rPr>
      </w:pPr>
      <w:r>
        <w:rPr>
          <w:rFonts w:ascii="Arial" w:hAnsi="Arial"/>
        </w:rPr>
        <w:lastRenderedPageBreak/>
        <w:t>Ustanovení § 504, § 2985 a § 2988 Občanského zákoníku o obchodním tajemství a následcích jeho porušení nejsou tímto článkem dotčena.</w:t>
      </w:r>
    </w:p>
    <w:p w14:paraId="4994BBAA" w14:textId="77777777" w:rsidR="00397F63" w:rsidRDefault="00657EC4">
      <w:pPr>
        <w:pStyle w:val="rove1"/>
        <w:numPr>
          <w:ilvl w:val="0"/>
          <w:numId w:val="1"/>
        </w:numPr>
        <w:rPr>
          <w:rFonts w:ascii="Arial" w:hAnsi="Arial"/>
        </w:rPr>
      </w:pPr>
      <w:r>
        <w:rPr>
          <w:rFonts w:ascii="Arial" w:hAnsi="Arial"/>
        </w:rPr>
        <w:t>PLATNOST, ÚČINNOST A TRVÁNÍ SMLOUVY</w:t>
      </w:r>
    </w:p>
    <w:p w14:paraId="69F0576D" w14:textId="77777777" w:rsidR="00397F63" w:rsidRDefault="00657EC4">
      <w:pPr>
        <w:pStyle w:val="rove2"/>
        <w:numPr>
          <w:ilvl w:val="1"/>
          <w:numId w:val="1"/>
        </w:numPr>
        <w:rPr>
          <w:rFonts w:ascii="Arial" w:hAnsi="Arial"/>
        </w:rPr>
      </w:pPr>
      <w:r>
        <w:rPr>
          <w:rFonts w:ascii="Arial" w:hAnsi="Arial"/>
        </w:rPr>
        <w:t>Tato Smlouva je uzavřena na dobu neurčitou a nabývá platnosti a účinnosti dnem jejího podpisu oběma smluvními stranami.</w:t>
      </w:r>
    </w:p>
    <w:p w14:paraId="4456D54D" w14:textId="77777777" w:rsidR="00397F63" w:rsidRDefault="00657EC4">
      <w:pPr>
        <w:pStyle w:val="rove2"/>
        <w:numPr>
          <w:ilvl w:val="1"/>
          <w:numId w:val="1"/>
        </w:numPr>
        <w:rPr>
          <w:rFonts w:ascii="Arial" w:hAnsi="Arial"/>
        </w:rPr>
      </w:pPr>
      <w:r>
        <w:rPr>
          <w:rFonts w:ascii="Arial" w:hAnsi="Arial"/>
        </w:rPr>
        <w:t>Smluvní strany jsou oprávněny Smlouvu vypovědět, a to i bez udání důvodu. Výpovědní doba činí třicet (30) dní a počíná běžet ode dne doručení písemného oznámení výpovědi druhé smluvní straně.</w:t>
      </w:r>
    </w:p>
    <w:p w14:paraId="5241C99B" w14:textId="77777777" w:rsidR="00397F63" w:rsidRDefault="00657EC4">
      <w:pPr>
        <w:pStyle w:val="rove1"/>
        <w:numPr>
          <w:ilvl w:val="0"/>
          <w:numId w:val="1"/>
        </w:numPr>
        <w:rPr>
          <w:rFonts w:ascii="Arial" w:hAnsi="Arial"/>
        </w:rPr>
      </w:pPr>
      <w:r>
        <w:rPr>
          <w:rFonts w:ascii="Arial" w:hAnsi="Arial"/>
        </w:rPr>
        <w:t>ZÁVĚREČNÁ USTANOVENÍ</w:t>
      </w:r>
    </w:p>
    <w:p w14:paraId="40E028F5" w14:textId="77777777" w:rsidR="00397F63" w:rsidRDefault="00657EC4">
      <w:pPr>
        <w:pStyle w:val="rove2"/>
        <w:numPr>
          <w:ilvl w:val="1"/>
          <w:numId w:val="1"/>
        </w:numPr>
        <w:rPr>
          <w:rFonts w:ascii="Arial" w:hAnsi="Arial"/>
        </w:rPr>
      </w:pPr>
      <w:r>
        <w:rPr>
          <w:rFonts w:ascii="Arial" w:hAnsi="Arial"/>
        </w:rPr>
        <w:t>Tuto Smlouvu lze měnit či doplňovat pouze písemnými dodatky, podepsanými oběma smluvními stranami.</w:t>
      </w:r>
    </w:p>
    <w:p w14:paraId="72901D30" w14:textId="77777777" w:rsidR="00397F63" w:rsidRDefault="00657EC4">
      <w:pPr>
        <w:pStyle w:val="rove2"/>
        <w:numPr>
          <w:ilvl w:val="1"/>
          <w:numId w:val="1"/>
        </w:numPr>
        <w:rPr>
          <w:rFonts w:ascii="Arial" w:hAnsi="Arial"/>
        </w:rPr>
      </w:pPr>
      <w:r>
        <w:rPr>
          <w:rFonts w:ascii="Arial" w:hAnsi="Arial"/>
        </w:rPr>
        <w:t xml:space="preserve">Práva a povinnosti smluvních stran výslovně neupravená touto Smlouvou se řídí právním řádem České republiky. Všechny spory vzešlé z této Smlouvy budou řešeny u obecného českého soudu Kupujícího. </w:t>
      </w:r>
    </w:p>
    <w:p w14:paraId="1DBCA0A4" w14:textId="77777777" w:rsidR="00397F63" w:rsidRDefault="00657EC4">
      <w:pPr>
        <w:pStyle w:val="rove2"/>
        <w:numPr>
          <w:ilvl w:val="1"/>
          <w:numId w:val="1"/>
        </w:numPr>
        <w:rPr>
          <w:rFonts w:ascii="Arial" w:hAnsi="Arial"/>
        </w:rPr>
      </w:pPr>
      <w:r>
        <w:rPr>
          <w:rFonts w:ascii="Arial" w:hAnsi="Arial"/>
        </w:rPr>
        <w:t>Pokud některé z ustanovení této Smlouvy je nebo se stane neplatným či neúčinným, neplatnost či neúčinnost tohoto ustanovení nebude mít za následek neplatnost nebo neúčinnost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14:paraId="686B8420" w14:textId="77777777" w:rsidR="00397F63" w:rsidRDefault="00657EC4">
      <w:pPr>
        <w:pStyle w:val="rove2"/>
        <w:numPr>
          <w:ilvl w:val="1"/>
          <w:numId w:val="1"/>
        </w:numPr>
        <w:rPr>
          <w:rFonts w:ascii="Arial" w:hAnsi="Arial"/>
        </w:rPr>
      </w:pPr>
      <w:r>
        <w:rPr>
          <w:rFonts w:ascii="Arial" w:hAnsi="Arial"/>
        </w:rPr>
        <w:t xml:space="preserve">Nedílnou součástí této Smlouvy jsou její přílohy, a to: </w:t>
      </w:r>
    </w:p>
    <w:p w14:paraId="7FB8A393" w14:textId="77777777" w:rsidR="00397F63" w:rsidRDefault="00657EC4">
      <w:pPr>
        <w:pStyle w:val="rove3"/>
        <w:numPr>
          <w:ilvl w:val="2"/>
          <w:numId w:val="1"/>
        </w:numPr>
        <w:rPr>
          <w:rFonts w:ascii="Arial" w:hAnsi="Arial"/>
        </w:rPr>
      </w:pPr>
      <w:r>
        <w:rPr>
          <w:rFonts w:ascii="Arial" w:hAnsi="Arial"/>
        </w:rPr>
        <w:t>Příloha č. 1 – ceník</w:t>
      </w:r>
    </w:p>
    <w:p w14:paraId="69684A71" w14:textId="77777777" w:rsidR="00397F63" w:rsidRDefault="00657EC4">
      <w:pPr>
        <w:pStyle w:val="rove2"/>
        <w:numPr>
          <w:ilvl w:val="1"/>
          <w:numId w:val="1"/>
        </w:numPr>
        <w:rPr>
          <w:rFonts w:ascii="Arial" w:hAnsi="Arial"/>
        </w:rPr>
      </w:pPr>
      <w:r>
        <w:rPr>
          <w:rFonts w:ascii="Arial" w:hAnsi="Arial"/>
        </w:rPr>
        <w:t xml:space="preserve">Tato Smlouva se uzavírá </w:t>
      </w:r>
      <w:bookmarkStart w:id="11" w:name="_DV_C240"/>
      <w:r>
        <w:rPr>
          <w:rFonts w:ascii="Arial" w:hAnsi="Arial"/>
        </w:rPr>
        <w:t>v</w:t>
      </w:r>
      <w:bookmarkStart w:id="12" w:name="_DV_M118"/>
      <w:bookmarkEnd w:id="11"/>
      <w:bookmarkEnd w:id="12"/>
      <w:r>
        <w:rPr>
          <w:rFonts w:ascii="Arial" w:hAnsi="Arial"/>
        </w:rPr>
        <w:t>e dvou (2) stejnopisech, z nichž každá smluvní strana obdrží po jednom (1) stejnopisu.</w:t>
      </w:r>
    </w:p>
    <w:p w14:paraId="60FCBD9F" w14:textId="77777777" w:rsidR="00397F63" w:rsidRDefault="00657EC4">
      <w:pPr>
        <w:pStyle w:val="rove2"/>
        <w:numPr>
          <w:ilvl w:val="1"/>
          <w:numId w:val="1"/>
        </w:numPr>
        <w:spacing w:after="480"/>
        <w:rPr>
          <w:rFonts w:ascii="Arial" w:hAnsi="Arial"/>
        </w:rPr>
      </w:pPr>
      <w:r>
        <w:rPr>
          <w:rFonts w:ascii="Arial" w:hAnsi="Arial"/>
        </w:rPr>
        <w:t>Smluvní strany po přečtení této Smlouvy prohlašují, že souhlasí s jejím obsahem, že Smlouva byla sepsána určitě, srozumitelně, na základě jejich pravé, svobodné a vážné vůle, bez nátlaku na některou ze smluvních stran. Na důkaz toho připojují své podpisy.</w:t>
      </w:r>
    </w:p>
    <w:p w14:paraId="5B035E2B" w14:textId="77777777" w:rsidR="00397F63" w:rsidRDefault="00397F63">
      <w:pPr>
        <w:pStyle w:val="rove2"/>
        <w:spacing w:after="480"/>
        <w:rPr>
          <w:rFonts w:ascii="Arial" w:hAnsi="Arial"/>
        </w:rPr>
      </w:pPr>
    </w:p>
    <w:p w14:paraId="2B40768F" w14:textId="77777777" w:rsidR="00397F63" w:rsidRDefault="00397F63">
      <w:pPr>
        <w:pStyle w:val="rove2"/>
        <w:spacing w:after="480"/>
        <w:rPr>
          <w:rFonts w:ascii="Arial" w:hAnsi="Arial"/>
        </w:rPr>
      </w:pPr>
    </w:p>
    <w:p w14:paraId="631104BE" w14:textId="77777777" w:rsidR="00397F63" w:rsidRDefault="00657EC4">
      <w:pPr>
        <w:tabs>
          <w:tab w:val="left" w:pos="5954"/>
        </w:tabs>
        <w:rPr>
          <w:rFonts w:ascii="Montserrat" w:eastAsia="Calibri" w:hAnsi="Montserrat" w:cs="Arial"/>
          <w:sz w:val="18"/>
          <w:szCs w:val="18"/>
          <w:lang w:eastAsia="en-US"/>
        </w:rPr>
      </w:pPr>
      <w:r>
        <w:rPr>
          <w:rFonts w:ascii="Arial" w:eastAsia="Calibri" w:hAnsi="Arial" w:cs="Arial"/>
          <w:sz w:val="18"/>
          <w:szCs w:val="18"/>
          <w:lang w:eastAsia="en-US"/>
        </w:rPr>
        <w:t>V ________________ dne ___________                                                  V ________________ dne ___________</w:t>
      </w:r>
    </w:p>
    <w:p w14:paraId="1EEFE117" w14:textId="77777777" w:rsidR="00397F63" w:rsidRDefault="00397F63">
      <w:pPr>
        <w:rPr>
          <w:rFonts w:ascii="Montserrat" w:eastAsia="Calibri" w:hAnsi="Montserrat" w:cs="Arial"/>
          <w:sz w:val="18"/>
          <w:szCs w:val="18"/>
          <w:lang w:eastAsia="en-US"/>
        </w:rPr>
      </w:pPr>
    </w:p>
    <w:p w14:paraId="739AF0B1" w14:textId="77777777" w:rsidR="00397F63" w:rsidRDefault="00397F63">
      <w:pPr>
        <w:rPr>
          <w:rFonts w:ascii="Montserrat" w:eastAsia="Calibri" w:hAnsi="Montserrat" w:cs="Arial"/>
          <w:b/>
          <w:bCs/>
          <w:sz w:val="18"/>
          <w:szCs w:val="18"/>
          <w:lang w:eastAsia="en-US"/>
        </w:rPr>
      </w:pPr>
    </w:p>
    <w:p w14:paraId="1A109F21" w14:textId="77777777" w:rsidR="00397F63" w:rsidRDefault="00657EC4">
      <w:pPr>
        <w:tabs>
          <w:tab w:val="left" w:pos="5954"/>
        </w:tabs>
        <w:rPr>
          <w:rFonts w:ascii="Montserrat" w:eastAsia="Calibri" w:hAnsi="Montserrat" w:cs="Arial"/>
          <w:b/>
          <w:bCs/>
          <w:sz w:val="18"/>
          <w:szCs w:val="18"/>
          <w:lang w:eastAsia="en-US"/>
        </w:rPr>
      </w:pPr>
      <w:r>
        <w:rPr>
          <w:rFonts w:ascii="Arial" w:eastAsia="Calibri" w:hAnsi="Arial" w:cs="Arial"/>
          <w:b/>
          <w:bCs/>
          <w:sz w:val="18"/>
          <w:szCs w:val="18"/>
          <w:lang w:eastAsia="en-US"/>
        </w:rPr>
        <w:t>Prodávající</w:t>
      </w:r>
      <w:r>
        <w:rPr>
          <w:rFonts w:ascii="Arial" w:eastAsia="Calibri" w:hAnsi="Arial" w:cs="Arial"/>
          <w:b/>
          <w:bCs/>
          <w:sz w:val="18"/>
          <w:szCs w:val="18"/>
          <w:lang w:eastAsia="en-US"/>
        </w:rPr>
        <w:tab/>
        <w:t>Kupující</w:t>
      </w:r>
    </w:p>
    <w:p w14:paraId="0AB56CF7" w14:textId="77777777" w:rsidR="00397F63" w:rsidRDefault="00397F63">
      <w:pPr>
        <w:rPr>
          <w:rFonts w:ascii="Montserrat" w:eastAsia="Calibri" w:hAnsi="Montserrat" w:cs="Arial"/>
          <w:sz w:val="18"/>
          <w:szCs w:val="18"/>
          <w:lang w:eastAsia="en-US"/>
        </w:rPr>
      </w:pPr>
    </w:p>
    <w:p w14:paraId="6D21E724" w14:textId="77777777" w:rsidR="00397F63" w:rsidRDefault="00397F63">
      <w:pPr>
        <w:rPr>
          <w:rFonts w:ascii="Montserrat" w:eastAsia="Calibri" w:hAnsi="Montserrat" w:cs="Arial"/>
          <w:sz w:val="18"/>
          <w:szCs w:val="18"/>
          <w:lang w:eastAsia="en-US"/>
        </w:rPr>
      </w:pPr>
    </w:p>
    <w:p w14:paraId="48AD3EBF" w14:textId="77777777" w:rsidR="00397F63" w:rsidRDefault="00397F63">
      <w:pPr>
        <w:rPr>
          <w:rFonts w:ascii="Montserrat" w:eastAsia="Calibri" w:hAnsi="Montserrat" w:cs="Arial"/>
          <w:sz w:val="18"/>
          <w:szCs w:val="18"/>
          <w:lang w:eastAsia="en-US"/>
        </w:rPr>
      </w:pPr>
    </w:p>
    <w:p w14:paraId="394D0A2A" w14:textId="77777777" w:rsidR="00397F63" w:rsidRDefault="00397F63">
      <w:pPr>
        <w:rPr>
          <w:rFonts w:ascii="Montserrat" w:eastAsia="Calibri" w:hAnsi="Montserrat" w:cs="Arial"/>
          <w:sz w:val="18"/>
          <w:szCs w:val="18"/>
          <w:lang w:eastAsia="en-US"/>
        </w:rPr>
      </w:pPr>
    </w:p>
    <w:p w14:paraId="5B8BD2DC" w14:textId="77777777" w:rsidR="00397F63" w:rsidRDefault="00397F63">
      <w:pPr>
        <w:rPr>
          <w:rFonts w:ascii="Montserrat" w:eastAsia="Calibri" w:hAnsi="Montserrat" w:cs="Arial"/>
          <w:sz w:val="18"/>
          <w:szCs w:val="18"/>
          <w:lang w:eastAsia="en-US"/>
        </w:rPr>
      </w:pPr>
    </w:p>
    <w:p w14:paraId="1E252774" w14:textId="77777777" w:rsidR="00397F63" w:rsidRDefault="00397F63">
      <w:pPr>
        <w:rPr>
          <w:rFonts w:ascii="Montserrat" w:eastAsia="Calibri" w:hAnsi="Montserrat" w:cs="Arial"/>
          <w:sz w:val="18"/>
          <w:szCs w:val="18"/>
          <w:lang w:eastAsia="en-US"/>
        </w:rPr>
      </w:pPr>
    </w:p>
    <w:p w14:paraId="12674557" w14:textId="77777777" w:rsidR="00397F63" w:rsidRDefault="00657EC4">
      <w:pPr>
        <w:tabs>
          <w:tab w:val="left" w:pos="5954"/>
        </w:tabs>
        <w:rPr>
          <w:rFonts w:ascii="Montserrat" w:eastAsia="Calibri" w:hAnsi="Montserrat" w:cs="Arial"/>
          <w:sz w:val="18"/>
          <w:szCs w:val="18"/>
          <w:lang w:eastAsia="en-US"/>
        </w:rPr>
      </w:pPr>
      <w:r>
        <w:rPr>
          <w:rFonts w:ascii="Arial" w:eastAsia="Calibri" w:hAnsi="Arial" w:cs="Arial"/>
          <w:sz w:val="18"/>
          <w:szCs w:val="18"/>
          <w:lang w:eastAsia="en-US"/>
        </w:rPr>
        <w:t>__________________________________                                            __________________________________</w:t>
      </w:r>
    </w:p>
    <w:p w14:paraId="1EDBD6ED" w14:textId="77777777" w:rsidR="00397F63" w:rsidRDefault="00657EC4">
      <w:pPr>
        <w:pStyle w:val="rove2"/>
        <w:spacing w:after="480"/>
        <w:ind w:left="0"/>
        <w:rPr>
          <w:b/>
        </w:rPr>
      </w:pPr>
      <w:proofErr w:type="spellStart"/>
      <w:r>
        <w:rPr>
          <w:rFonts w:ascii="Arial" w:hAnsi="Arial"/>
          <w:b/>
        </w:rPr>
        <w:t>Medicionas</w:t>
      </w:r>
      <w:proofErr w:type="spellEnd"/>
      <w:r>
        <w:rPr>
          <w:rFonts w:ascii="Arial" w:hAnsi="Arial"/>
          <w:b/>
        </w:rPr>
        <w:t xml:space="preserve"> CR s.r.o.</w:t>
      </w:r>
    </w:p>
    <w:p w14:paraId="72D0FE0A" w14:textId="77777777" w:rsidR="00397F63" w:rsidRDefault="00397F63">
      <w:pPr>
        <w:pStyle w:val="rove2"/>
        <w:spacing w:after="480"/>
        <w:rPr>
          <w:rFonts w:ascii="Arial" w:hAnsi="Arial"/>
        </w:rPr>
      </w:pPr>
    </w:p>
    <w:p w14:paraId="56AEAB76" w14:textId="77777777" w:rsidR="00397F63" w:rsidRDefault="00397F63">
      <w:pPr>
        <w:pStyle w:val="rove2"/>
        <w:spacing w:after="480"/>
        <w:rPr>
          <w:rFonts w:ascii="Arial" w:hAnsi="Arial"/>
        </w:rPr>
      </w:pPr>
    </w:p>
    <w:p w14:paraId="05F4A204" w14:textId="77777777" w:rsidR="00397F63" w:rsidRDefault="00397F63">
      <w:pPr>
        <w:pStyle w:val="rove2"/>
        <w:spacing w:after="480"/>
        <w:rPr>
          <w:rFonts w:ascii="Arial" w:hAnsi="Arial"/>
        </w:rPr>
      </w:pPr>
    </w:p>
    <w:p w14:paraId="14F82642" w14:textId="77777777" w:rsidR="00397F63" w:rsidRDefault="00397F63">
      <w:pPr>
        <w:pStyle w:val="rove2"/>
        <w:spacing w:after="480"/>
        <w:rPr>
          <w:rFonts w:ascii="Arial" w:hAnsi="Arial"/>
        </w:rPr>
      </w:pPr>
    </w:p>
    <w:p w14:paraId="0EE06B4D" w14:textId="77777777" w:rsidR="00397F63" w:rsidRDefault="00397F63">
      <w:pPr>
        <w:pStyle w:val="rove2"/>
        <w:spacing w:after="480"/>
        <w:rPr>
          <w:rFonts w:ascii="Arial" w:hAnsi="Arial"/>
        </w:rPr>
      </w:pPr>
    </w:p>
    <w:p w14:paraId="52811AB9" w14:textId="77777777" w:rsidR="00397F63" w:rsidRDefault="00397F63">
      <w:pPr>
        <w:pStyle w:val="rove2"/>
        <w:spacing w:after="480"/>
        <w:rPr>
          <w:rFonts w:ascii="Arial" w:hAnsi="Arial"/>
        </w:rPr>
      </w:pPr>
    </w:p>
    <w:p w14:paraId="3DEB1C6D" w14:textId="77777777" w:rsidR="00397F63" w:rsidRDefault="00397F63">
      <w:pPr>
        <w:pStyle w:val="rove2"/>
        <w:spacing w:after="480"/>
        <w:rPr>
          <w:rFonts w:ascii="Arial" w:hAnsi="Arial"/>
        </w:rPr>
      </w:pPr>
    </w:p>
    <w:p w14:paraId="7FAE46AE" w14:textId="77777777" w:rsidR="00397F63" w:rsidRDefault="00397F63">
      <w:pPr>
        <w:pStyle w:val="rove2"/>
        <w:spacing w:after="480"/>
        <w:rPr>
          <w:rFonts w:ascii="Arial" w:hAnsi="Arial"/>
        </w:rPr>
      </w:pPr>
    </w:p>
    <w:p w14:paraId="5BDA6D2E" w14:textId="77777777" w:rsidR="00397F63" w:rsidRDefault="00397F63">
      <w:pPr>
        <w:pStyle w:val="rove2"/>
        <w:spacing w:after="480"/>
        <w:rPr>
          <w:rFonts w:ascii="Arial" w:hAnsi="Arial"/>
        </w:rPr>
      </w:pPr>
    </w:p>
    <w:p w14:paraId="659B742C" w14:textId="77777777" w:rsidR="00397F63" w:rsidRDefault="00397F63">
      <w:pPr>
        <w:pStyle w:val="rove2"/>
        <w:spacing w:after="480"/>
        <w:rPr>
          <w:rFonts w:ascii="Arial" w:hAnsi="Arial"/>
        </w:rPr>
      </w:pPr>
    </w:p>
    <w:p w14:paraId="17C49C7F" w14:textId="77777777" w:rsidR="00397F63" w:rsidRDefault="00397F63">
      <w:pPr>
        <w:pStyle w:val="rove2"/>
        <w:spacing w:after="480"/>
        <w:rPr>
          <w:rFonts w:ascii="Arial" w:hAnsi="Arial"/>
        </w:rPr>
      </w:pPr>
    </w:p>
    <w:p w14:paraId="6CB465D0" w14:textId="77777777" w:rsidR="00397F63" w:rsidRDefault="00397F63">
      <w:pPr>
        <w:pStyle w:val="rove2"/>
        <w:spacing w:after="480"/>
        <w:rPr>
          <w:rFonts w:ascii="Arial" w:hAnsi="Arial"/>
        </w:rPr>
      </w:pPr>
    </w:p>
    <w:p w14:paraId="5FB2C6CF" w14:textId="77777777" w:rsidR="00397F63" w:rsidRDefault="00397F63">
      <w:pPr>
        <w:pStyle w:val="rove2"/>
        <w:spacing w:after="480"/>
        <w:rPr>
          <w:rFonts w:ascii="Arial" w:hAnsi="Arial"/>
        </w:rPr>
      </w:pPr>
    </w:p>
    <w:p w14:paraId="6881E2EA" w14:textId="77777777" w:rsidR="00397F63" w:rsidRDefault="00397F63">
      <w:pPr>
        <w:pStyle w:val="rove2"/>
        <w:spacing w:after="480"/>
        <w:rPr>
          <w:rFonts w:ascii="Arial" w:hAnsi="Arial"/>
        </w:rPr>
      </w:pPr>
    </w:p>
    <w:p w14:paraId="59EB248A" w14:textId="77777777" w:rsidR="00397F63" w:rsidRDefault="00397F63">
      <w:pPr>
        <w:pStyle w:val="rove2"/>
        <w:spacing w:after="480"/>
        <w:rPr>
          <w:rFonts w:ascii="Arial" w:hAnsi="Arial"/>
        </w:rPr>
      </w:pPr>
    </w:p>
    <w:p w14:paraId="2CE5B3CD" w14:textId="77777777" w:rsidR="00397F63" w:rsidRDefault="00397F63">
      <w:pPr>
        <w:pStyle w:val="rove2"/>
        <w:spacing w:after="480"/>
        <w:rPr>
          <w:rFonts w:ascii="Arial" w:hAnsi="Arial"/>
        </w:rPr>
      </w:pPr>
    </w:p>
    <w:p w14:paraId="032F8802" w14:textId="77777777" w:rsidR="00397F63" w:rsidRDefault="00657EC4">
      <w:pPr>
        <w:tabs>
          <w:tab w:val="left" w:pos="5954"/>
        </w:tabs>
        <w:rPr>
          <w:rFonts w:ascii="Montserrat" w:hAnsi="Montserrat" w:cs="Arial"/>
          <w:sz w:val="18"/>
          <w:szCs w:val="18"/>
        </w:rPr>
      </w:pPr>
      <w:r>
        <w:br w:type="page"/>
      </w:r>
    </w:p>
    <w:p w14:paraId="5181619C" w14:textId="77777777" w:rsidR="00397F63" w:rsidRDefault="00397F63">
      <w:pPr>
        <w:rPr>
          <w:rFonts w:ascii="Arial" w:hAnsi="Arial"/>
        </w:rPr>
      </w:pPr>
    </w:p>
    <w:p w14:paraId="6B8A6FF1" w14:textId="77777777" w:rsidR="00397F63" w:rsidRDefault="00657EC4">
      <w:pPr>
        <w:rPr>
          <w:b/>
          <w:bCs/>
        </w:rPr>
      </w:pPr>
      <w:proofErr w:type="gramStart"/>
      <w:r>
        <w:rPr>
          <w:rFonts w:ascii="Arial" w:hAnsi="Arial"/>
          <w:b/>
          <w:bCs/>
          <w:sz w:val="36"/>
          <w:szCs w:val="36"/>
        </w:rPr>
        <w:t>PŘÍLOHA  č.1</w:t>
      </w:r>
      <w:proofErr w:type="gramEnd"/>
    </w:p>
    <w:p w14:paraId="38F57254" w14:textId="77777777" w:rsidR="00397F63" w:rsidRDefault="00397F63">
      <w:pPr>
        <w:pStyle w:val="Hlavika"/>
        <w:jc w:val="center"/>
        <w:rPr>
          <w:b/>
          <w:bCs/>
        </w:rPr>
      </w:pPr>
    </w:p>
    <w:p w14:paraId="3B2FCB12" w14:textId="77777777" w:rsidR="00397F63" w:rsidRDefault="00657EC4">
      <w:pPr>
        <w:jc w:val="center"/>
        <w:rPr>
          <w:rFonts w:eastAsia="Calibri"/>
        </w:rPr>
      </w:pPr>
      <w:r>
        <w:rPr>
          <w:rFonts w:ascii="Arial" w:eastAsia="Calibri" w:hAnsi="Arial" w:cs="Arial"/>
          <w:b/>
          <w:bCs/>
          <w:sz w:val="36"/>
          <w:szCs w:val="36"/>
          <w:lang w:eastAsia="en-US"/>
        </w:rPr>
        <w:t>Ceník</w:t>
      </w:r>
      <w:r>
        <w:rPr>
          <w:rFonts w:ascii="Arial" w:hAnsi="Arial"/>
          <w:sz w:val="36"/>
          <w:szCs w:val="36"/>
        </w:rPr>
        <w:t xml:space="preserve"> </w:t>
      </w:r>
    </w:p>
    <w:p w14:paraId="338E411D" w14:textId="77777777" w:rsidR="00397F63" w:rsidRDefault="00397F63">
      <w:pPr>
        <w:jc w:val="center"/>
        <w:rPr>
          <w:rFonts w:eastAsia="Calibri"/>
        </w:rPr>
      </w:pPr>
    </w:p>
    <w:tbl>
      <w:tblPr>
        <w:tblW w:w="9060" w:type="dxa"/>
        <w:tblInd w:w="103" w:type="dxa"/>
        <w:tblLook w:val="04A0" w:firstRow="1" w:lastRow="0" w:firstColumn="1" w:lastColumn="0" w:noHBand="0" w:noVBand="1"/>
      </w:tblPr>
      <w:tblGrid>
        <w:gridCol w:w="4423"/>
        <w:gridCol w:w="4637"/>
      </w:tblGrid>
      <w:tr w:rsidR="00397F63" w14:paraId="6BF490B7" w14:textId="77777777">
        <w:tc>
          <w:tcPr>
            <w:tcW w:w="4423" w:type="dxa"/>
            <w:tcBorders>
              <w:top w:val="single" w:sz="4" w:space="0" w:color="000000"/>
              <w:left w:val="single" w:sz="4" w:space="0" w:color="000000"/>
              <w:bottom w:val="single" w:sz="4" w:space="0" w:color="000000"/>
              <w:right w:val="single" w:sz="4" w:space="0" w:color="000000"/>
            </w:tcBorders>
          </w:tcPr>
          <w:p w14:paraId="7364CBA0" w14:textId="77777777" w:rsidR="00397F63" w:rsidRDefault="00657EC4">
            <w:pPr>
              <w:rPr>
                <w:rFonts w:eastAsia="Calibri"/>
              </w:rPr>
            </w:pPr>
            <w:r>
              <w:rPr>
                <w:rFonts w:ascii="Arial" w:eastAsia="Arial" w:hAnsi="Arial" w:cs="Arial"/>
                <w:b/>
                <w:bCs/>
                <w:sz w:val="28"/>
                <w:szCs w:val="28"/>
                <w:lang w:eastAsia="en-US"/>
              </w:rPr>
              <w:t>Název položky</w:t>
            </w:r>
          </w:p>
        </w:tc>
        <w:tc>
          <w:tcPr>
            <w:tcW w:w="4636" w:type="dxa"/>
            <w:tcBorders>
              <w:top w:val="single" w:sz="4" w:space="0" w:color="000000"/>
              <w:left w:val="single" w:sz="4" w:space="0" w:color="000000"/>
              <w:bottom w:val="single" w:sz="4" w:space="0" w:color="000000"/>
              <w:right w:val="single" w:sz="4" w:space="0" w:color="000000"/>
            </w:tcBorders>
          </w:tcPr>
          <w:p w14:paraId="7CE4AE02" w14:textId="77777777" w:rsidR="00397F63" w:rsidRDefault="00657EC4">
            <w:pPr>
              <w:rPr>
                <w:rFonts w:eastAsia="Calibri"/>
              </w:rPr>
            </w:pPr>
            <w:r>
              <w:rPr>
                <w:rFonts w:ascii="Arial" w:eastAsia="Arial" w:hAnsi="Arial" w:cs="Arial"/>
                <w:b/>
                <w:bCs/>
                <w:sz w:val="28"/>
                <w:szCs w:val="28"/>
                <w:lang w:eastAsia="en-US"/>
              </w:rPr>
              <w:t>Cena bez DPH</w:t>
            </w:r>
          </w:p>
        </w:tc>
      </w:tr>
      <w:tr w:rsidR="00397F63" w14:paraId="578AA951" w14:textId="77777777">
        <w:tc>
          <w:tcPr>
            <w:tcW w:w="4423" w:type="dxa"/>
            <w:tcBorders>
              <w:left w:val="single" w:sz="4" w:space="0" w:color="000000"/>
              <w:bottom w:val="single" w:sz="4" w:space="0" w:color="000000"/>
              <w:right w:val="single" w:sz="4" w:space="0" w:color="000000"/>
            </w:tcBorders>
          </w:tcPr>
          <w:p w14:paraId="20609E6A" w14:textId="77777777" w:rsidR="00397F63" w:rsidRDefault="00657EC4">
            <w:pPr>
              <w:rPr>
                <w:rFonts w:eastAsia="Calibri"/>
              </w:rPr>
            </w:pPr>
            <w:r>
              <w:rPr>
                <w:rFonts w:ascii="Arial" w:hAnsi="Arial"/>
                <w:sz w:val="28"/>
                <w:szCs w:val="28"/>
              </w:rPr>
              <w:t>S-Case D01</w:t>
            </w:r>
          </w:p>
        </w:tc>
        <w:tc>
          <w:tcPr>
            <w:tcW w:w="4636" w:type="dxa"/>
            <w:tcBorders>
              <w:left w:val="single" w:sz="4" w:space="0" w:color="000000"/>
              <w:bottom w:val="single" w:sz="4" w:space="0" w:color="000000"/>
              <w:right w:val="single" w:sz="4" w:space="0" w:color="000000"/>
            </w:tcBorders>
          </w:tcPr>
          <w:p w14:paraId="35AA0B92" w14:textId="77777777" w:rsidR="00397F63" w:rsidRDefault="00657EC4">
            <w:pPr>
              <w:rPr>
                <w:rFonts w:eastAsia="Calibri"/>
              </w:rPr>
            </w:pPr>
            <w:r>
              <w:rPr>
                <w:rFonts w:ascii="Arial" w:hAnsi="Arial"/>
                <w:sz w:val="28"/>
                <w:szCs w:val="28"/>
              </w:rPr>
              <w:t>20.661 Kč</w:t>
            </w:r>
          </w:p>
        </w:tc>
      </w:tr>
      <w:tr w:rsidR="00397F63" w14:paraId="54AC682F" w14:textId="77777777">
        <w:tc>
          <w:tcPr>
            <w:tcW w:w="4423" w:type="dxa"/>
            <w:tcBorders>
              <w:top w:val="single" w:sz="4" w:space="0" w:color="000000"/>
              <w:left w:val="single" w:sz="4" w:space="0" w:color="000000"/>
              <w:bottom w:val="single" w:sz="4" w:space="0" w:color="000000"/>
              <w:right w:val="single" w:sz="4" w:space="0" w:color="000000"/>
            </w:tcBorders>
          </w:tcPr>
          <w:p w14:paraId="7D8E7AFD" w14:textId="77777777" w:rsidR="00397F63" w:rsidRDefault="00657EC4">
            <w:pPr>
              <w:rPr>
                <w:rFonts w:eastAsia="Calibri"/>
              </w:rPr>
            </w:pPr>
            <w:r>
              <w:rPr>
                <w:rFonts w:ascii="Arial" w:eastAsia="Arial" w:hAnsi="Arial" w:cs="Arial"/>
                <w:sz w:val="28"/>
                <w:szCs w:val="28"/>
                <w:lang w:eastAsia="en-US"/>
              </w:rPr>
              <w:t xml:space="preserve">Manžeta L </w:t>
            </w:r>
            <w:proofErr w:type="gramStart"/>
            <w:r>
              <w:rPr>
                <w:rFonts w:ascii="Arial" w:eastAsia="Arial" w:hAnsi="Arial" w:cs="Arial"/>
                <w:sz w:val="28"/>
                <w:szCs w:val="28"/>
                <w:lang w:eastAsia="en-US"/>
              </w:rPr>
              <w:t>25-35cm</w:t>
            </w:r>
            <w:proofErr w:type="gramEnd"/>
          </w:p>
        </w:tc>
        <w:tc>
          <w:tcPr>
            <w:tcW w:w="4636" w:type="dxa"/>
            <w:tcBorders>
              <w:top w:val="single" w:sz="4" w:space="0" w:color="000000"/>
              <w:left w:val="single" w:sz="4" w:space="0" w:color="000000"/>
              <w:bottom w:val="single" w:sz="4" w:space="0" w:color="000000"/>
              <w:right w:val="single" w:sz="4" w:space="0" w:color="000000"/>
            </w:tcBorders>
          </w:tcPr>
          <w:p w14:paraId="5E1131B2" w14:textId="77777777" w:rsidR="00397F63" w:rsidRDefault="00657EC4">
            <w:pPr>
              <w:rPr>
                <w:rFonts w:eastAsia="Calibri"/>
              </w:rPr>
            </w:pPr>
            <w:r>
              <w:rPr>
                <w:rFonts w:ascii="Arial" w:hAnsi="Arial"/>
                <w:sz w:val="28"/>
                <w:szCs w:val="28"/>
              </w:rPr>
              <w:t>393 Kč</w:t>
            </w:r>
          </w:p>
        </w:tc>
      </w:tr>
      <w:tr w:rsidR="00397F63" w14:paraId="0C611D29" w14:textId="77777777">
        <w:tc>
          <w:tcPr>
            <w:tcW w:w="4423" w:type="dxa"/>
            <w:tcBorders>
              <w:top w:val="single" w:sz="4" w:space="0" w:color="000000"/>
              <w:left w:val="single" w:sz="4" w:space="0" w:color="000000"/>
              <w:bottom w:val="single" w:sz="4" w:space="0" w:color="000000"/>
              <w:right w:val="single" w:sz="4" w:space="0" w:color="000000"/>
            </w:tcBorders>
          </w:tcPr>
          <w:p w14:paraId="7525A9D7" w14:textId="77777777" w:rsidR="00397F63" w:rsidRDefault="00657EC4">
            <w:pPr>
              <w:rPr>
                <w:rFonts w:eastAsia="Calibri"/>
              </w:rPr>
            </w:pPr>
            <w:r>
              <w:rPr>
                <w:rFonts w:ascii="Arial" w:eastAsia="Arial" w:hAnsi="Arial" w:cs="Arial"/>
                <w:sz w:val="28"/>
                <w:szCs w:val="28"/>
                <w:lang w:eastAsia="en-US"/>
              </w:rPr>
              <w:t xml:space="preserve">Manžeta XL </w:t>
            </w:r>
            <w:proofErr w:type="gramStart"/>
            <w:r>
              <w:rPr>
                <w:rFonts w:ascii="Arial" w:eastAsia="Arial" w:hAnsi="Arial" w:cs="Arial"/>
                <w:sz w:val="28"/>
                <w:szCs w:val="28"/>
                <w:lang w:eastAsia="en-US"/>
              </w:rPr>
              <w:t>33-47cm</w:t>
            </w:r>
            <w:proofErr w:type="gramEnd"/>
          </w:p>
        </w:tc>
        <w:tc>
          <w:tcPr>
            <w:tcW w:w="4636" w:type="dxa"/>
            <w:tcBorders>
              <w:top w:val="single" w:sz="4" w:space="0" w:color="000000"/>
              <w:left w:val="single" w:sz="4" w:space="0" w:color="000000"/>
              <w:bottom w:val="single" w:sz="4" w:space="0" w:color="000000"/>
              <w:right w:val="single" w:sz="4" w:space="0" w:color="000000"/>
            </w:tcBorders>
          </w:tcPr>
          <w:p w14:paraId="40F183FB" w14:textId="77777777" w:rsidR="00397F63" w:rsidRDefault="00657EC4">
            <w:pPr>
              <w:rPr>
                <w:rFonts w:eastAsia="Calibri"/>
              </w:rPr>
            </w:pPr>
            <w:r>
              <w:rPr>
                <w:rFonts w:ascii="Arial" w:hAnsi="Arial"/>
                <w:sz w:val="28"/>
                <w:szCs w:val="28"/>
              </w:rPr>
              <w:t>393 Kč</w:t>
            </w:r>
          </w:p>
        </w:tc>
      </w:tr>
      <w:tr w:rsidR="00397F63" w14:paraId="58307AAD" w14:textId="77777777">
        <w:tc>
          <w:tcPr>
            <w:tcW w:w="4423" w:type="dxa"/>
            <w:tcBorders>
              <w:top w:val="single" w:sz="4" w:space="0" w:color="000000"/>
              <w:left w:val="single" w:sz="4" w:space="0" w:color="000000"/>
              <w:bottom w:val="single" w:sz="4" w:space="0" w:color="000000"/>
              <w:right w:val="single" w:sz="4" w:space="0" w:color="000000"/>
            </w:tcBorders>
          </w:tcPr>
          <w:p w14:paraId="04A873BB" w14:textId="77777777" w:rsidR="00397F63" w:rsidRDefault="00657EC4">
            <w:pPr>
              <w:rPr>
                <w:rFonts w:eastAsia="Calibri"/>
              </w:rPr>
            </w:pPr>
            <w:r>
              <w:rPr>
                <w:rFonts w:ascii="Arial" w:eastAsia="Arial" w:hAnsi="Arial" w:cs="Arial"/>
                <w:sz w:val="28"/>
                <w:szCs w:val="28"/>
                <w:lang w:eastAsia="en-US"/>
              </w:rPr>
              <w:t xml:space="preserve">2IN1. </w:t>
            </w:r>
            <w:proofErr w:type="spellStart"/>
            <w:r>
              <w:rPr>
                <w:rFonts w:ascii="Arial" w:eastAsia="Arial" w:hAnsi="Arial" w:cs="Arial"/>
                <w:sz w:val="28"/>
                <w:szCs w:val="28"/>
                <w:lang w:eastAsia="en-US"/>
              </w:rPr>
              <w:t>MaX</w:t>
            </w:r>
            <w:proofErr w:type="spellEnd"/>
            <w:r>
              <w:rPr>
                <w:rFonts w:ascii="Arial" w:eastAsia="Arial" w:hAnsi="Arial" w:cs="Arial"/>
                <w:sz w:val="28"/>
                <w:szCs w:val="28"/>
                <w:lang w:eastAsia="en-US"/>
              </w:rPr>
              <w:t xml:space="preserve"> </w:t>
            </w:r>
            <w:proofErr w:type="spellStart"/>
            <w:proofErr w:type="gramStart"/>
            <w:r>
              <w:rPr>
                <w:rFonts w:ascii="Arial" w:eastAsia="Arial" w:hAnsi="Arial" w:cs="Arial"/>
                <w:sz w:val="28"/>
                <w:szCs w:val="28"/>
                <w:lang w:eastAsia="en-US"/>
              </w:rPr>
              <w:t>Strips</w:t>
            </w:r>
            <w:proofErr w:type="spellEnd"/>
            <w:r>
              <w:rPr>
                <w:rFonts w:ascii="Arial" w:eastAsia="Arial" w:hAnsi="Arial" w:cs="Arial"/>
                <w:sz w:val="28"/>
                <w:szCs w:val="28"/>
                <w:lang w:eastAsia="en-US"/>
              </w:rPr>
              <w:t xml:space="preserve"> - 50KS</w:t>
            </w:r>
            <w:proofErr w:type="gramEnd"/>
          </w:p>
        </w:tc>
        <w:tc>
          <w:tcPr>
            <w:tcW w:w="4636" w:type="dxa"/>
            <w:tcBorders>
              <w:top w:val="single" w:sz="4" w:space="0" w:color="000000"/>
              <w:left w:val="single" w:sz="4" w:space="0" w:color="000000"/>
              <w:bottom w:val="single" w:sz="4" w:space="0" w:color="000000"/>
              <w:right w:val="single" w:sz="4" w:space="0" w:color="000000"/>
            </w:tcBorders>
          </w:tcPr>
          <w:p w14:paraId="4D6C8B80" w14:textId="77777777" w:rsidR="00397F63" w:rsidRDefault="00657EC4">
            <w:pPr>
              <w:rPr>
                <w:rFonts w:eastAsia="Calibri"/>
              </w:rPr>
            </w:pPr>
            <w:r>
              <w:rPr>
                <w:rFonts w:ascii="Arial" w:eastAsia="Arial" w:hAnsi="Arial" w:cs="Arial"/>
                <w:sz w:val="28"/>
                <w:szCs w:val="28"/>
                <w:lang w:eastAsia="en-US"/>
              </w:rPr>
              <w:t>241 Kč</w:t>
            </w:r>
          </w:p>
        </w:tc>
      </w:tr>
      <w:tr w:rsidR="00397F63" w14:paraId="6C2FE608" w14:textId="77777777">
        <w:tc>
          <w:tcPr>
            <w:tcW w:w="4423" w:type="dxa"/>
            <w:tcBorders>
              <w:top w:val="single" w:sz="4" w:space="0" w:color="000000"/>
              <w:left w:val="single" w:sz="4" w:space="0" w:color="000000"/>
              <w:bottom w:val="single" w:sz="4" w:space="0" w:color="000000"/>
              <w:right w:val="single" w:sz="4" w:space="0" w:color="000000"/>
            </w:tcBorders>
          </w:tcPr>
          <w:p w14:paraId="56DF1C22" w14:textId="77777777" w:rsidR="00397F63" w:rsidRDefault="00657EC4">
            <w:pPr>
              <w:rPr>
                <w:rFonts w:eastAsia="Calibri"/>
              </w:rPr>
            </w:pPr>
            <w:proofErr w:type="spellStart"/>
            <w:r>
              <w:rPr>
                <w:rFonts w:ascii="Arial" w:eastAsia="Arial" w:hAnsi="Arial" w:cs="Arial"/>
                <w:sz w:val="28"/>
                <w:szCs w:val="28"/>
                <w:lang w:eastAsia="en-US"/>
              </w:rPr>
              <w:t>Lancets</w:t>
            </w:r>
            <w:proofErr w:type="spellEnd"/>
            <w:r>
              <w:rPr>
                <w:rFonts w:ascii="Arial" w:eastAsia="Arial" w:hAnsi="Arial" w:cs="Arial"/>
                <w:sz w:val="28"/>
                <w:szCs w:val="28"/>
                <w:lang w:eastAsia="en-US"/>
              </w:rPr>
              <w:t xml:space="preserve"> </w:t>
            </w:r>
            <w:proofErr w:type="gramStart"/>
            <w:r>
              <w:rPr>
                <w:rFonts w:ascii="Arial" w:eastAsia="Arial" w:hAnsi="Arial" w:cs="Arial"/>
                <w:sz w:val="28"/>
                <w:szCs w:val="28"/>
                <w:lang w:eastAsia="en-US"/>
              </w:rPr>
              <w:t>33G - 100KS</w:t>
            </w:r>
            <w:proofErr w:type="gramEnd"/>
          </w:p>
        </w:tc>
        <w:tc>
          <w:tcPr>
            <w:tcW w:w="4636" w:type="dxa"/>
            <w:tcBorders>
              <w:top w:val="single" w:sz="4" w:space="0" w:color="000000"/>
              <w:left w:val="single" w:sz="4" w:space="0" w:color="000000"/>
              <w:bottom w:val="single" w:sz="4" w:space="0" w:color="000000"/>
              <w:right w:val="single" w:sz="4" w:space="0" w:color="000000"/>
            </w:tcBorders>
          </w:tcPr>
          <w:p w14:paraId="484723A9" w14:textId="77777777" w:rsidR="00397F63" w:rsidRDefault="00657EC4">
            <w:pPr>
              <w:rPr>
                <w:rFonts w:eastAsia="Calibri"/>
              </w:rPr>
            </w:pPr>
            <w:r>
              <w:rPr>
                <w:rFonts w:ascii="Arial" w:eastAsia="Arial" w:hAnsi="Arial" w:cs="Arial"/>
                <w:sz w:val="28"/>
                <w:szCs w:val="28"/>
                <w:lang w:eastAsia="en-US"/>
              </w:rPr>
              <w:t>90 Kč</w:t>
            </w:r>
          </w:p>
        </w:tc>
      </w:tr>
    </w:tbl>
    <w:p w14:paraId="0498A05E" w14:textId="77777777" w:rsidR="00397F63" w:rsidRDefault="00397F63">
      <w:pPr>
        <w:rPr>
          <w:rFonts w:eastAsia="Calibri"/>
        </w:rPr>
      </w:pPr>
    </w:p>
    <w:p w14:paraId="6E4CF982" w14:textId="77777777" w:rsidR="00397F63" w:rsidRDefault="00397F63">
      <w:pPr>
        <w:jc w:val="center"/>
        <w:rPr>
          <w:rFonts w:eastAsia="Calibri"/>
        </w:rPr>
      </w:pPr>
    </w:p>
    <w:sectPr w:rsidR="00397F63">
      <w:footerReference w:type="default" r:id="rId8"/>
      <w:pgSz w:w="11906" w:h="16838"/>
      <w:pgMar w:top="1418" w:right="1418" w:bottom="1418" w:left="1418" w:header="0" w:footer="709"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57C49" w14:textId="77777777" w:rsidR="00657EC4" w:rsidRDefault="00657EC4">
      <w:r>
        <w:separator/>
      </w:r>
    </w:p>
  </w:endnote>
  <w:endnote w:type="continuationSeparator" w:id="0">
    <w:p w14:paraId="570F0204" w14:textId="77777777" w:rsidR="00657EC4" w:rsidRDefault="0065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RotisSansSerif">
    <w:charset w:val="EE"/>
    <w:family w:val="roman"/>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775300"/>
      <w:docPartObj>
        <w:docPartGallery w:val="Page Numbers (Top of Page)"/>
        <w:docPartUnique/>
      </w:docPartObj>
    </w:sdtPr>
    <w:sdtEndPr/>
    <w:sdtContent>
      <w:p w14:paraId="5D9CAD68" w14:textId="77777777" w:rsidR="00397F63" w:rsidRDefault="00657EC4">
        <w:pPr>
          <w:pStyle w:val="Zpat"/>
          <w:jc w:val="center"/>
        </w:pPr>
        <w:r>
          <w:rPr>
            <w:rFonts w:ascii="Montserrat" w:hAnsi="Montserrat"/>
            <w:sz w:val="18"/>
            <w:szCs w:val="18"/>
          </w:rPr>
          <w:fldChar w:fldCharType="begin"/>
        </w:r>
        <w:r>
          <w:rPr>
            <w:rFonts w:ascii="Montserrat" w:hAnsi="Montserrat"/>
            <w:sz w:val="18"/>
            <w:szCs w:val="18"/>
          </w:rPr>
          <w:instrText>PAGE</w:instrText>
        </w:r>
        <w:r>
          <w:rPr>
            <w:rFonts w:ascii="Montserrat" w:hAnsi="Montserrat"/>
            <w:sz w:val="18"/>
            <w:szCs w:val="18"/>
          </w:rPr>
          <w:fldChar w:fldCharType="separate"/>
        </w:r>
        <w:r>
          <w:rPr>
            <w:rFonts w:ascii="Montserrat" w:hAnsi="Montserrat"/>
            <w:sz w:val="18"/>
            <w:szCs w:val="18"/>
          </w:rPr>
          <w:t>5</w:t>
        </w:r>
        <w:r>
          <w:rPr>
            <w:rFonts w:ascii="Montserrat" w:hAnsi="Montserrat"/>
            <w:sz w:val="18"/>
            <w:szCs w:val="18"/>
          </w:rPr>
          <w:fldChar w:fldCharType="end"/>
        </w:r>
        <w:r>
          <w:rPr>
            <w:rFonts w:ascii="Montserrat" w:hAnsi="Montserrat"/>
            <w:sz w:val="18"/>
            <w:szCs w:val="18"/>
          </w:rPr>
          <w:t>/</w:t>
        </w:r>
        <w:r>
          <w:rPr>
            <w:rFonts w:ascii="Montserrat" w:hAnsi="Montserrat"/>
            <w:sz w:val="18"/>
            <w:szCs w:val="18"/>
          </w:rPr>
          <w:fldChar w:fldCharType="begin"/>
        </w:r>
        <w:r>
          <w:rPr>
            <w:rFonts w:ascii="Montserrat" w:hAnsi="Montserrat"/>
            <w:sz w:val="18"/>
            <w:szCs w:val="18"/>
          </w:rPr>
          <w:instrText>NUMPAGES</w:instrText>
        </w:r>
        <w:r>
          <w:rPr>
            <w:rFonts w:ascii="Montserrat" w:hAnsi="Montserrat"/>
            <w:sz w:val="18"/>
            <w:szCs w:val="18"/>
          </w:rPr>
          <w:fldChar w:fldCharType="separate"/>
        </w:r>
        <w:r>
          <w:rPr>
            <w:rFonts w:ascii="Montserrat" w:hAnsi="Montserrat"/>
            <w:sz w:val="18"/>
            <w:szCs w:val="18"/>
          </w:rPr>
          <w:t>5</w:t>
        </w:r>
        <w:r>
          <w:rPr>
            <w:rFonts w:ascii="Montserrat" w:hAnsi="Montserrat"/>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2CC77" w14:textId="77777777" w:rsidR="00657EC4" w:rsidRDefault="00657EC4">
      <w:r>
        <w:separator/>
      </w:r>
    </w:p>
  </w:footnote>
  <w:footnote w:type="continuationSeparator" w:id="0">
    <w:p w14:paraId="7CDD987A" w14:textId="77777777" w:rsidR="00657EC4" w:rsidRDefault="00657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B59DE"/>
    <w:multiLevelType w:val="multilevel"/>
    <w:tmpl w:val="DD1E6CB6"/>
    <w:lvl w:ilvl="0">
      <w:start w:val="1"/>
      <w:numFmt w:val="decimal"/>
      <w:lvlText w:val="%1."/>
      <w:lvlJc w:val="left"/>
      <w:pPr>
        <w:ind w:left="567" w:hanging="567"/>
      </w:pPr>
    </w:lvl>
    <w:lvl w:ilvl="1">
      <w:start w:val="1"/>
      <w:numFmt w:val="decimal"/>
      <w:lvlText w:val="%1.%2."/>
      <w:lvlJc w:val="left"/>
      <w:pPr>
        <w:ind w:left="567" w:hanging="567"/>
      </w:pPr>
      <w:rPr>
        <w:sz w:val="18"/>
        <w:szCs w:val="18"/>
      </w:rPr>
    </w:lvl>
    <w:lvl w:ilvl="2">
      <w:start w:val="1"/>
      <w:numFmt w:val="lowerLetter"/>
      <w:lvlText w:val="%3)"/>
      <w:lvlJc w:val="left"/>
      <w:pPr>
        <w:ind w:left="1134" w:hanging="567"/>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5856B48"/>
    <w:multiLevelType w:val="multilevel"/>
    <w:tmpl w:val="D2D4B0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6730999">
    <w:abstractNumId w:val="0"/>
  </w:num>
  <w:num w:numId="2" w16cid:durableId="694430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F63"/>
    <w:rsid w:val="00397F63"/>
    <w:rsid w:val="00657EC4"/>
    <w:rsid w:val="00BF107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DB89"/>
  <w15:docId w15:val="{AD0D8A59-1312-4018-9194-A0AD2880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77D1C"/>
    <w:rPr>
      <w:sz w:val="24"/>
      <w:szCs w:val="24"/>
    </w:rPr>
  </w:style>
  <w:style w:type="paragraph" w:styleId="Nadpis1">
    <w:name w:val="heading 1"/>
    <w:basedOn w:val="Normln"/>
    <w:next w:val="Normln"/>
    <w:qFormat/>
    <w:rsid w:val="00A77D1C"/>
    <w:pPr>
      <w:keepNext/>
      <w:jc w:val="center"/>
      <w:outlineLvl w:val="0"/>
    </w:pPr>
    <w:rPr>
      <w:b/>
      <w:bCs/>
      <w:sz w:val="28"/>
    </w:rPr>
  </w:style>
  <w:style w:type="paragraph" w:styleId="Nadpis2">
    <w:name w:val="heading 2"/>
    <w:basedOn w:val="Normln"/>
    <w:next w:val="Normln"/>
    <w:qFormat/>
    <w:rsid w:val="00A77D1C"/>
    <w:pPr>
      <w:keepNext/>
      <w:outlineLvl w:val="1"/>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link w:val="Textbubliny"/>
    <w:qFormat/>
    <w:rsid w:val="00B119F5"/>
    <w:rPr>
      <w:rFonts w:ascii="Segoe UI" w:hAnsi="Segoe UI" w:cs="Segoe UI"/>
      <w:sz w:val="18"/>
      <w:szCs w:val="18"/>
    </w:rPr>
  </w:style>
  <w:style w:type="character" w:customStyle="1" w:styleId="ZhlavChar">
    <w:name w:val="Záhlaví Char"/>
    <w:link w:val="Zhlav"/>
    <w:uiPriority w:val="99"/>
    <w:qFormat/>
    <w:rsid w:val="0084517F"/>
    <w:rPr>
      <w:sz w:val="24"/>
      <w:szCs w:val="24"/>
    </w:rPr>
  </w:style>
  <w:style w:type="character" w:customStyle="1" w:styleId="ZpatChar">
    <w:name w:val="Zápatí Char"/>
    <w:link w:val="Zpat"/>
    <w:uiPriority w:val="99"/>
    <w:qFormat/>
    <w:rsid w:val="0084517F"/>
    <w:rPr>
      <w:sz w:val="24"/>
      <w:szCs w:val="24"/>
    </w:rPr>
  </w:style>
  <w:style w:type="character" w:styleId="Odkaznakoment">
    <w:name w:val="annotation reference"/>
    <w:basedOn w:val="Standardnpsmoodstavce"/>
    <w:uiPriority w:val="99"/>
    <w:semiHidden/>
    <w:unhideWhenUsed/>
    <w:qFormat/>
    <w:rsid w:val="00366E45"/>
    <w:rPr>
      <w:sz w:val="16"/>
      <w:szCs w:val="16"/>
    </w:rPr>
  </w:style>
  <w:style w:type="character" w:customStyle="1" w:styleId="TextkomenteChar">
    <w:name w:val="Text komentáře Char"/>
    <w:basedOn w:val="Standardnpsmoodstavce"/>
    <w:link w:val="Textkomente"/>
    <w:uiPriority w:val="99"/>
    <w:qFormat/>
    <w:rsid w:val="00C06F47"/>
  </w:style>
  <w:style w:type="character" w:customStyle="1" w:styleId="PedmtkomenteChar">
    <w:name w:val="Předmět komentáře Char"/>
    <w:basedOn w:val="TextkomenteChar"/>
    <w:link w:val="Pedmtkomente"/>
    <w:semiHidden/>
    <w:qFormat/>
    <w:rsid w:val="00366E45"/>
    <w:rPr>
      <w:b/>
      <w:bCs/>
    </w:rPr>
  </w:style>
  <w:style w:type="character" w:customStyle="1" w:styleId="Zkladntextodsazen2Char">
    <w:name w:val="Základní text odsazený 2 Char"/>
    <w:basedOn w:val="Standardnpsmoodstavce"/>
    <w:link w:val="Zkladntextodsazen2"/>
    <w:semiHidden/>
    <w:qFormat/>
    <w:rsid w:val="00811E92"/>
    <w:rPr>
      <w:sz w:val="24"/>
      <w:szCs w:val="24"/>
    </w:rPr>
  </w:style>
  <w:style w:type="character" w:customStyle="1" w:styleId="OdstavecseseznamemChar">
    <w:name w:val="Odstavec se seznamem Char"/>
    <w:link w:val="Odstavecseseznamem"/>
    <w:uiPriority w:val="34"/>
    <w:qFormat/>
    <w:locked/>
    <w:rsid w:val="00F14A18"/>
    <w:rPr>
      <w:sz w:val="24"/>
      <w:szCs w:val="24"/>
    </w:rPr>
  </w:style>
  <w:style w:type="character" w:customStyle="1" w:styleId="rove1Char">
    <w:name w:val="Úroveň 1 Char"/>
    <w:basedOn w:val="Standardnpsmoodstavce"/>
    <w:qFormat/>
    <w:rsid w:val="000518EC"/>
    <w:rPr>
      <w:rFonts w:ascii="Montserrat" w:eastAsiaTheme="minorHAnsi" w:hAnsi="Montserrat" w:cstheme="minorBidi"/>
      <w:b/>
      <w:bCs/>
      <w:caps/>
      <w:kern w:val="2"/>
      <w:sz w:val="18"/>
      <w:szCs w:val="18"/>
      <w:lang w:eastAsia="en-US"/>
      <w14:ligatures w14:val="standardContextual"/>
    </w:rPr>
  </w:style>
  <w:style w:type="character" w:customStyle="1" w:styleId="rove2Char">
    <w:name w:val="Úroveň 2 Char"/>
    <w:basedOn w:val="rove1Char"/>
    <w:qFormat/>
    <w:rsid w:val="000518EC"/>
    <w:rPr>
      <w:rFonts w:ascii="Montserrat" w:eastAsiaTheme="minorHAnsi" w:hAnsi="Montserrat" w:cstheme="minorBidi"/>
      <w:b w:val="0"/>
      <w:bCs w:val="0"/>
      <w:caps w:val="0"/>
      <w:smallCaps w:val="0"/>
      <w:kern w:val="2"/>
      <w:sz w:val="18"/>
      <w:szCs w:val="18"/>
      <w:lang w:eastAsia="en-US"/>
      <w14:ligatures w14:val="standardContextual"/>
    </w:rPr>
  </w:style>
  <w:style w:type="character" w:customStyle="1" w:styleId="PreambuleChar">
    <w:name w:val="Preambule Char"/>
    <w:basedOn w:val="Standardnpsmoodstavce"/>
    <w:link w:val="Preambule"/>
    <w:qFormat/>
    <w:rsid w:val="000518EC"/>
    <w:rPr>
      <w:rFonts w:ascii="Montserrat" w:eastAsiaTheme="minorHAnsi" w:hAnsi="Montserrat" w:cstheme="minorBidi"/>
      <w:kern w:val="2"/>
      <w:sz w:val="18"/>
      <w:szCs w:val="18"/>
      <w:lang w:eastAsia="en-US"/>
      <w14:ligatures w14:val="standardContextual"/>
    </w:rPr>
  </w:style>
  <w:style w:type="character" w:customStyle="1" w:styleId="HlavikaChar">
    <w:name w:val="Hlavička Char"/>
    <w:basedOn w:val="Standardnpsmoodstavce"/>
    <w:link w:val="Hlavika"/>
    <w:qFormat/>
    <w:rsid w:val="000518EC"/>
    <w:rPr>
      <w:rFonts w:ascii="Montserrat" w:eastAsiaTheme="minorHAnsi" w:hAnsi="Montserrat" w:cstheme="minorBidi"/>
      <w:kern w:val="2"/>
      <w:sz w:val="18"/>
      <w:szCs w:val="18"/>
      <w:lang w:eastAsia="en-US"/>
      <w14:ligatures w14:val="standardContextual"/>
    </w:rPr>
  </w:style>
  <w:style w:type="character" w:customStyle="1" w:styleId="PlohaChar">
    <w:name w:val="Příloha Char"/>
    <w:basedOn w:val="Standardnpsmoodstavce"/>
    <w:link w:val="Ploha"/>
    <w:qFormat/>
    <w:rsid w:val="000518EC"/>
    <w:rPr>
      <w:rFonts w:asciiTheme="minorHAnsi" w:eastAsiaTheme="minorHAnsi" w:hAnsiTheme="minorHAnsi" w:cstheme="minorBidi"/>
      <w:caps/>
      <w:kern w:val="2"/>
      <w:sz w:val="22"/>
      <w:szCs w:val="22"/>
      <w:lang w:eastAsia="en-US"/>
      <w14:ligatures w14:val="standardContextual"/>
    </w:rPr>
  </w:style>
  <w:style w:type="character" w:customStyle="1" w:styleId="OdsazenChar">
    <w:name w:val="Odsazení Char"/>
    <w:basedOn w:val="HlavikaChar"/>
    <w:link w:val="Odsazen"/>
    <w:qFormat/>
    <w:rsid w:val="000518EC"/>
    <w:rPr>
      <w:rFonts w:ascii="Montserrat" w:eastAsiaTheme="minorHAnsi" w:hAnsi="Montserrat" w:cstheme="minorBidi"/>
      <w:kern w:val="2"/>
      <w:sz w:val="18"/>
      <w:szCs w:val="18"/>
      <w:lang w:eastAsia="en-US"/>
      <w14:ligatures w14:val="standardContextual"/>
    </w:rPr>
  </w:style>
  <w:style w:type="character" w:customStyle="1" w:styleId="Internetovodkaz">
    <w:name w:val="Internetový odkaz"/>
    <w:basedOn w:val="Standardnpsmoodstavce"/>
    <w:unhideWhenUsed/>
    <w:rsid w:val="00CE3490"/>
    <w:rPr>
      <w:color w:val="0000FF" w:themeColor="hyperlink"/>
      <w:u w:val="single"/>
    </w:rPr>
  </w:style>
  <w:style w:type="character" w:customStyle="1" w:styleId="Nevyeenzmnka1">
    <w:name w:val="Nevyřešená zmínka1"/>
    <w:basedOn w:val="Standardnpsmoodstavce"/>
    <w:uiPriority w:val="99"/>
    <w:semiHidden/>
    <w:unhideWhenUsed/>
    <w:qFormat/>
    <w:rsid w:val="00CE3490"/>
    <w:rPr>
      <w:color w:val="605E5C"/>
      <w:shd w:val="clear" w:color="auto" w:fill="E1DFDD"/>
    </w:rPr>
  </w:style>
  <w:style w:type="character" w:styleId="Siln">
    <w:name w:val="Strong"/>
    <w:basedOn w:val="Standardnpsmoodstavce"/>
    <w:uiPriority w:val="22"/>
    <w:qFormat/>
    <w:rsid w:val="00CE3490"/>
    <w:rPr>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rsid w:val="00A77D1C"/>
    <w:pPr>
      <w:spacing w:before="120"/>
      <w:jc w:val="both"/>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kladntext3">
    <w:name w:val="Body Text 3"/>
    <w:basedOn w:val="Normln"/>
    <w:qFormat/>
    <w:rsid w:val="00A77D1C"/>
    <w:pPr>
      <w:ind w:right="180"/>
      <w:jc w:val="both"/>
    </w:pPr>
  </w:style>
  <w:style w:type="paragraph" w:customStyle="1" w:styleId="Zhlavazpat">
    <w:name w:val="Záhlaví a zápatí"/>
    <w:basedOn w:val="Normln"/>
    <w:qFormat/>
  </w:style>
  <w:style w:type="paragraph" w:styleId="Zhlav">
    <w:name w:val="header"/>
    <w:basedOn w:val="Normln"/>
    <w:link w:val="ZhlavChar"/>
    <w:rsid w:val="00A77D1C"/>
    <w:pPr>
      <w:tabs>
        <w:tab w:val="center" w:pos="4536"/>
        <w:tab w:val="right" w:pos="9072"/>
      </w:tabs>
    </w:pPr>
  </w:style>
  <w:style w:type="paragraph" w:styleId="Zpat">
    <w:name w:val="footer"/>
    <w:basedOn w:val="Normln"/>
    <w:link w:val="ZpatChar"/>
    <w:uiPriority w:val="99"/>
    <w:rsid w:val="00A77D1C"/>
    <w:pPr>
      <w:tabs>
        <w:tab w:val="center" w:pos="4536"/>
        <w:tab w:val="right" w:pos="9072"/>
      </w:tabs>
    </w:pPr>
  </w:style>
  <w:style w:type="paragraph" w:styleId="Zkladntextodsazen">
    <w:name w:val="Body Text Indent"/>
    <w:basedOn w:val="Normln"/>
    <w:rsid w:val="00A77D1C"/>
    <w:pPr>
      <w:ind w:left="360" w:hanging="360"/>
      <w:jc w:val="both"/>
    </w:pPr>
    <w:rPr>
      <w:rFonts w:ascii="RotisSansSerif" w:hAnsi="RotisSansSerif"/>
    </w:rPr>
  </w:style>
  <w:style w:type="paragraph" w:styleId="Textbubliny">
    <w:name w:val="Balloon Text"/>
    <w:basedOn w:val="Normln"/>
    <w:link w:val="TextbublinyChar"/>
    <w:qFormat/>
    <w:rsid w:val="00B119F5"/>
    <w:rPr>
      <w:rFonts w:ascii="Segoe UI" w:hAnsi="Segoe UI"/>
      <w:sz w:val="18"/>
      <w:szCs w:val="18"/>
    </w:rPr>
  </w:style>
  <w:style w:type="paragraph" w:styleId="Odstavecseseznamem">
    <w:name w:val="List Paragraph"/>
    <w:basedOn w:val="Normln"/>
    <w:link w:val="OdstavecseseznamemChar"/>
    <w:uiPriority w:val="34"/>
    <w:qFormat/>
    <w:rsid w:val="006D3DE6"/>
    <w:pPr>
      <w:ind w:left="708"/>
    </w:pPr>
  </w:style>
  <w:style w:type="paragraph" w:styleId="Textkomente">
    <w:name w:val="annotation text"/>
    <w:basedOn w:val="Normln"/>
    <w:link w:val="TextkomenteChar"/>
    <w:uiPriority w:val="99"/>
    <w:unhideWhenUsed/>
    <w:qFormat/>
    <w:rsid w:val="00C06F47"/>
    <w:pPr>
      <w:jc w:val="both"/>
    </w:pPr>
    <w:rPr>
      <w:sz w:val="20"/>
      <w:szCs w:val="20"/>
    </w:rPr>
  </w:style>
  <w:style w:type="paragraph" w:styleId="Pedmtkomente">
    <w:name w:val="annotation subject"/>
    <w:basedOn w:val="Textkomente"/>
    <w:next w:val="Textkomente"/>
    <w:link w:val="PedmtkomenteChar"/>
    <w:semiHidden/>
    <w:unhideWhenUsed/>
    <w:qFormat/>
    <w:rsid w:val="00366E45"/>
    <w:rPr>
      <w:b/>
      <w:bCs/>
    </w:rPr>
  </w:style>
  <w:style w:type="paragraph" w:styleId="Zkladntextodsazen2">
    <w:name w:val="Body Text Indent 2"/>
    <w:basedOn w:val="Normln"/>
    <w:link w:val="Zkladntextodsazen2Char"/>
    <w:semiHidden/>
    <w:unhideWhenUsed/>
    <w:qFormat/>
    <w:rsid w:val="00811E92"/>
    <w:pPr>
      <w:spacing w:after="120" w:line="480" w:lineRule="auto"/>
      <w:ind w:left="283"/>
    </w:pPr>
  </w:style>
  <w:style w:type="paragraph" w:customStyle="1" w:styleId="Normalstodsazen">
    <w:name w:val="Normal část. odsazený"/>
    <w:basedOn w:val="Normln"/>
    <w:qFormat/>
    <w:rsid w:val="00811E92"/>
    <w:pPr>
      <w:spacing w:after="120"/>
      <w:jc w:val="both"/>
    </w:pPr>
    <w:rPr>
      <w:sz w:val="22"/>
      <w:szCs w:val="22"/>
    </w:rPr>
  </w:style>
  <w:style w:type="paragraph" w:styleId="Revize">
    <w:name w:val="Revision"/>
    <w:uiPriority w:val="71"/>
    <w:semiHidden/>
    <w:qFormat/>
    <w:rsid w:val="003100E3"/>
    <w:rPr>
      <w:sz w:val="24"/>
      <w:szCs w:val="24"/>
    </w:rPr>
  </w:style>
  <w:style w:type="paragraph" w:customStyle="1" w:styleId="rove1">
    <w:name w:val="Úroveň 1"/>
    <w:basedOn w:val="Odstavecseseznamem"/>
    <w:qFormat/>
    <w:rsid w:val="000518EC"/>
    <w:pPr>
      <w:keepNext/>
      <w:spacing w:before="240" w:after="120" w:line="276" w:lineRule="auto"/>
      <w:contextualSpacing/>
    </w:pPr>
    <w:rPr>
      <w:rFonts w:ascii="Montserrat" w:eastAsiaTheme="minorHAnsi" w:hAnsi="Montserrat" w:cstheme="minorBidi"/>
      <w:b/>
      <w:bCs/>
      <w:caps/>
      <w:kern w:val="2"/>
      <w:sz w:val="18"/>
      <w:szCs w:val="18"/>
      <w:lang w:eastAsia="en-US"/>
      <w14:ligatures w14:val="standardContextual"/>
    </w:rPr>
  </w:style>
  <w:style w:type="paragraph" w:customStyle="1" w:styleId="rove2">
    <w:name w:val="Úroveň 2"/>
    <w:basedOn w:val="rove1"/>
    <w:qFormat/>
    <w:rsid w:val="000518EC"/>
    <w:pPr>
      <w:keepNext w:val="0"/>
      <w:spacing w:before="0"/>
      <w:jc w:val="both"/>
    </w:pPr>
    <w:rPr>
      <w:b w:val="0"/>
      <w:bCs w:val="0"/>
      <w:caps w:val="0"/>
    </w:rPr>
  </w:style>
  <w:style w:type="paragraph" w:customStyle="1" w:styleId="rove3">
    <w:name w:val="Úroveň 3"/>
    <w:basedOn w:val="rove2"/>
    <w:qFormat/>
    <w:rsid w:val="004E2C49"/>
  </w:style>
  <w:style w:type="paragraph" w:customStyle="1" w:styleId="Preambule">
    <w:name w:val="Preambule"/>
    <w:basedOn w:val="Odstavecseseznamem"/>
    <w:link w:val="PreambuleChar"/>
    <w:qFormat/>
    <w:rsid w:val="000518EC"/>
    <w:pPr>
      <w:spacing w:after="120" w:line="276" w:lineRule="auto"/>
      <w:jc w:val="both"/>
    </w:pPr>
    <w:rPr>
      <w:rFonts w:ascii="Montserrat" w:eastAsiaTheme="minorHAnsi" w:hAnsi="Montserrat" w:cstheme="minorBidi"/>
      <w:kern w:val="2"/>
      <w:sz w:val="18"/>
      <w:szCs w:val="18"/>
      <w:lang w:eastAsia="en-US"/>
      <w14:ligatures w14:val="standardContextual"/>
    </w:rPr>
  </w:style>
  <w:style w:type="paragraph" w:customStyle="1" w:styleId="Hlavika">
    <w:name w:val="Hlavička"/>
    <w:basedOn w:val="Normln"/>
    <w:link w:val="HlavikaChar"/>
    <w:qFormat/>
    <w:rsid w:val="000518EC"/>
    <w:pPr>
      <w:spacing w:line="276" w:lineRule="auto"/>
      <w:jc w:val="both"/>
    </w:pPr>
    <w:rPr>
      <w:rFonts w:ascii="Montserrat" w:eastAsiaTheme="minorHAnsi" w:hAnsi="Montserrat" w:cstheme="minorBidi"/>
      <w:kern w:val="2"/>
      <w:sz w:val="18"/>
      <w:szCs w:val="18"/>
      <w:lang w:eastAsia="en-US"/>
      <w14:ligatures w14:val="standardContextual"/>
    </w:rPr>
  </w:style>
  <w:style w:type="paragraph" w:customStyle="1" w:styleId="Ploha">
    <w:name w:val="Příloha"/>
    <w:basedOn w:val="Odstavecseseznamem"/>
    <w:link w:val="PlohaChar"/>
    <w:qFormat/>
    <w:rsid w:val="000518EC"/>
    <w:pPr>
      <w:spacing w:after="160" w:line="259" w:lineRule="auto"/>
      <w:contextualSpacing/>
    </w:pPr>
    <w:rPr>
      <w:rFonts w:asciiTheme="minorHAnsi" w:eastAsiaTheme="minorHAnsi" w:hAnsiTheme="minorHAnsi" w:cstheme="minorBidi"/>
      <w:caps/>
      <w:kern w:val="2"/>
      <w:sz w:val="22"/>
      <w:szCs w:val="22"/>
      <w:lang w:eastAsia="en-US"/>
      <w14:ligatures w14:val="standardContextual"/>
    </w:rPr>
  </w:style>
  <w:style w:type="paragraph" w:customStyle="1" w:styleId="Odsazen">
    <w:name w:val="Odsazení"/>
    <w:basedOn w:val="Hlavika"/>
    <w:link w:val="OdsazenChar"/>
    <w:qFormat/>
    <w:rsid w:val="000518EC"/>
    <w:pPr>
      <w:spacing w:before="120" w:after="120"/>
    </w:pPr>
  </w:style>
  <w:style w:type="paragraph" w:styleId="Normlnweb">
    <w:name w:val="Normal (Web)"/>
    <w:basedOn w:val="Normln"/>
    <w:uiPriority w:val="99"/>
    <w:semiHidden/>
    <w:unhideWhenUsed/>
    <w:qFormat/>
    <w:rsid w:val="00CE3490"/>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F465A-05FA-4188-86E8-58F7BF79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1344</Words>
  <Characters>7936</Characters>
  <Application>Microsoft Office Word</Application>
  <DocSecurity>4</DocSecurity>
  <Lines>66</Lines>
  <Paragraphs>18</Paragraphs>
  <ScaleCrop>false</ScaleCrop>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dc:description/>
  <cp:lastModifiedBy>Andršová Eva – DS Mikuláškovo Brno</cp:lastModifiedBy>
  <cp:revision>2</cp:revision>
  <dcterms:created xsi:type="dcterms:W3CDTF">2024-12-18T06:13:00Z</dcterms:created>
  <dcterms:modified xsi:type="dcterms:W3CDTF">2024-12-18T06:13:00Z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GrammarlyDocumentId">
    <vt:lpwstr>8dc97daedd36887b07c60ed32a81453a968b82a654a2f46118a63e4b364bd437</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