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61E5" w14:textId="77777777" w:rsidR="001D686F" w:rsidRDefault="00CC67B9">
      <w:pPr>
        <w:pStyle w:val="Nadpis1"/>
        <w:jc w:val="center"/>
        <w:rPr>
          <w:b/>
          <w:sz w:val="32"/>
        </w:rPr>
      </w:pPr>
      <w:r>
        <w:rPr>
          <w:b/>
          <w:sz w:val="32"/>
        </w:rPr>
        <w:t>Příkazní smlouva</w:t>
      </w:r>
    </w:p>
    <w:p w14:paraId="4A37573F" w14:textId="77777777" w:rsidR="001D686F" w:rsidRDefault="00CC67B9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2430 a násl. občanského zákoníku v platném znění uzavřená mezi smluvními stranami</w:t>
      </w:r>
    </w:p>
    <w:p w14:paraId="481AE98C" w14:textId="77777777" w:rsidR="001D686F" w:rsidRDefault="001D686F">
      <w:pPr>
        <w:rPr>
          <w:sz w:val="22"/>
          <w:szCs w:val="22"/>
        </w:rPr>
      </w:pPr>
    </w:p>
    <w:p w14:paraId="4B7E7BA5" w14:textId="45E8AFFA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firmou:</w:t>
      </w:r>
      <w:r>
        <w:rPr>
          <w:sz w:val="22"/>
          <w:szCs w:val="22"/>
        </w:rPr>
        <w:tab/>
      </w:r>
      <w:r w:rsidR="00DC63F3">
        <w:rPr>
          <w:sz w:val="22"/>
          <w:szCs w:val="22"/>
        </w:rPr>
        <w:tab/>
      </w:r>
      <w:r>
        <w:rPr>
          <w:sz w:val="22"/>
          <w:szCs w:val="22"/>
        </w:rPr>
        <w:t xml:space="preserve">Lenka </w:t>
      </w:r>
      <w:proofErr w:type="spellStart"/>
      <w:r>
        <w:rPr>
          <w:sz w:val="22"/>
          <w:szCs w:val="22"/>
        </w:rPr>
        <w:t>Fikartová</w:t>
      </w:r>
      <w:proofErr w:type="spellEnd"/>
    </w:p>
    <w:p w14:paraId="4E5A5656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Zbečno </w:t>
      </w:r>
      <w:proofErr w:type="spellStart"/>
      <w:r>
        <w:rPr>
          <w:sz w:val="22"/>
          <w:szCs w:val="22"/>
        </w:rPr>
        <w:t>xxx</w:t>
      </w:r>
      <w:proofErr w:type="spellEnd"/>
    </w:p>
    <w:p w14:paraId="7AAF0292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43782957</w:t>
      </w:r>
    </w:p>
    <w:p w14:paraId="2702995F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C28E94" w14:textId="77777777" w:rsidR="001D686F" w:rsidRDefault="001D686F">
      <w:pPr>
        <w:spacing w:after="0"/>
        <w:ind w:firstLine="0"/>
        <w:rPr>
          <w:sz w:val="22"/>
          <w:szCs w:val="22"/>
        </w:rPr>
      </w:pPr>
    </w:p>
    <w:p w14:paraId="27E49F08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dále jen „příkazník“</w:t>
      </w:r>
    </w:p>
    <w:p w14:paraId="08B5B287" w14:textId="77777777" w:rsidR="001D686F" w:rsidRDefault="00CC67B9">
      <w:pPr>
        <w:spacing w:after="0" w:line="36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D8E967F" w14:textId="15206B4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organizací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Mateřská škola </w:t>
      </w:r>
      <w:r>
        <w:rPr>
          <w:sz w:val="22"/>
          <w:szCs w:val="22"/>
        </w:rPr>
        <w:t>Klicperova Rakovník</w:t>
      </w:r>
      <w:r>
        <w:rPr>
          <w:sz w:val="22"/>
          <w:szCs w:val="22"/>
        </w:rPr>
        <w:tab/>
      </w:r>
    </w:p>
    <w:p w14:paraId="22305B7B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>Klicperova 1904, 269 01 Rakovník</w:t>
      </w:r>
    </w:p>
    <w:p w14:paraId="34325341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47014008</w:t>
      </w:r>
    </w:p>
    <w:p w14:paraId="09B0A8BA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459F51" w14:textId="17C04375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zastoupená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Ivana Vágnerová, ředitelka školy</w:t>
      </w:r>
    </w:p>
    <w:p w14:paraId="5EFDC5A8" w14:textId="77777777" w:rsidR="001D686F" w:rsidRDefault="001D686F">
      <w:pPr>
        <w:spacing w:after="0"/>
        <w:ind w:firstLine="0"/>
        <w:rPr>
          <w:sz w:val="22"/>
          <w:szCs w:val="22"/>
        </w:rPr>
      </w:pPr>
    </w:p>
    <w:p w14:paraId="4894B910" w14:textId="77777777" w:rsidR="001D686F" w:rsidRDefault="00CC67B9">
      <w:pPr>
        <w:spacing w:after="0"/>
        <w:ind w:firstLine="0"/>
        <w:rPr>
          <w:sz w:val="22"/>
          <w:szCs w:val="22"/>
        </w:rPr>
      </w:pPr>
      <w:r>
        <w:rPr>
          <w:sz w:val="22"/>
          <w:szCs w:val="22"/>
        </w:rPr>
        <w:t>dále jen „příkazce“</w:t>
      </w:r>
    </w:p>
    <w:p w14:paraId="0C8C7E65" w14:textId="77777777" w:rsidR="001D686F" w:rsidRDefault="001D686F">
      <w:pPr>
        <w:pStyle w:val="slolnku"/>
        <w:rPr>
          <w:sz w:val="22"/>
          <w:szCs w:val="22"/>
        </w:rPr>
      </w:pPr>
    </w:p>
    <w:p w14:paraId="04D9AB88" w14:textId="77777777" w:rsidR="001D686F" w:rsidRDefault="00CC67B9">
      <w:pPr>
        <w:pStyle w:val="Nzevlnku"/>
        <w:rPr>
          <w:sz w:val="22"/>
          <w:szCs w:val="22"/>
        </w:rPr>
      </w:pPr>
      <w:r>
        <w:rPr>
          <w:sz w:val="22"/>
          <w:szCs w:val="22"/>
        </w:rPr>
        <w:t>Předmět smlouvy</w:t>
      </w:r>
    </w:p>
    <w:p w14:paraId="2D9634C8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Příkazník se touto smlouvou zavazuje obstarat pro příkazce níže uvedené odborné činnosti:</w:t>
      </w:r>
    </w:p>
    <w:p w14:paraId="7673B538" w14:textId="77777777" w:rsidR="001D686F" w:rsidRDefault="00CC67B9">
      <w:pPr>
        <w:numPr>
          <w:ilvl w:val="0"/>
          <w:numId w:val="2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Zpracování agendy účetnictví</w:t>
      </w:r>
    </w:p>
    <w:p w14:paraId="4FFC1A02" w14:textId="77777777" w:rsidR="001D686F" w:rsidRDefault="00CC67B9">
      <w:pPr>
        <w:numPr>
          <w:ilvl w:val="0"/>
          <w:numId w:val="2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Zpracování daňových přiznání </w:t>
      </w:r>
    </w:p>
    <w:p w14:paraId="157E9186" w14:textId="77777777" w:rsidR="001D686F" w:rsidRDefault="00CC67B9">
      <w:pPr>
        <w:numPr>
          <w:ilvl w:val="0"/>
          <w:numId w:val="2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Zpracování ročních a mimořádných uzávěrek</w:t>
      </w:r>
    </w:p>
    <w:p w14:paraId="33A19081" w14:textId="77777777" w:rsidR="001D686F" w:rsidRDefault="00CC67B9">
      <w:pPr>
        <w:numPr>
          <w:ilvl w:val="0"/>
          <w:numId w:val="2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Zastupování příkazce při kontrolách z úřadu správy sociálního zabezpečení nebo zdravotních pojišťoven</w:t>
      </w:r>
    </w:p>
    <w:p w14:paraId="583181FF" w14:textId="77777777" w:rsidR="001D686F" w:rsidRDefault="001D686F">
      <w:pPr>
        <w:rPr>
          <w:sz w:val="22"/>
          <w:szCs w:val="22"/>
        </w:rPr>
      </w:pPr>
    </w:p>
    <w:p w14:paraId="7E550B5E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Položky zde nevyjmenované nejsou </w:t>
      </w:r>
      <w:r>
        <w:rPr>
          <w:sz w:val="22"/>
          <w:szCs w:val="22"/>
        </w:rPr>
        <w:t>předmětem této smlouvy a mohou být řešeny pomocí dodatku ke smlouvě nebo jednorázovou objednávkou.</w:t>
      </w:r>
    </w:p>
    <w:p w14:paraId="1FA21F65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Zpracování prvotních účetních dokladů a ostatní činnosti dle čl. I provádí příkazník v místě své kanceláře, pokud není dohodnuto jinak.</w:t>
      </w:r>
    </w:p>
    <w:p w14:paraId="299B1E1D" w14:textId="77777777" w:rsidR="001D686F" w:rsidRDefault="001D686F">
      <w:pPr>
        <w:pStyle w:val="slolnku"/>
        <w:rPr>
          <w:sz w:val="22"/>
          <w:szCs w:val="22"/>
        </w:rPr>
      </w:pPr>
    </w:p>
    <w:p w14:paraId="3EDF0FC2" w14:textId="77777777" w:rsidR="001D686F" w:rsidRDefault="00CC67B9">
      <w:pPr>
        <w:pStyle w:val="Nzevlnku"/>
        <w:rPr>
          <w:sz w:val="22"/>
          <w:szCs w:val="22"/>
        </w:rPr>
      </w:pPr>
      <w:r>
        <w:rPr>
          <w:sz w:val="22"/>
          <w:szCs w:val="22"/>
        </w:rPr>
        <w:t>Povinnosti příkazníka</w:t>
      </w:r>
    </w:p>
    <w:p w14:paraId="0E6C5B6C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Příkazník plní příkaz poctivě a pečlivě podle svých schopností; použije přitom každého prostředku, kterého vyžaduje povaha obstarávané záležitosti, jakož i takového, který se shoduje s vůlí příkazce. Od příkazcových pokynů se příkazník může odchýlit, pokud to je nezbytné v zájmu příkazce a pokud nemůže včas obdržet jeho souhlas.</w:t>
      </w:r>
    </w:p>
    <w:p w14:paraId="6DFBFED2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Příkazník je povinen včas upozornit příkazce na věcné nedostatky a nesprávnosti v předaných dokladech. Takové doklady má právo příkazci vrátit k doplnění nebo opravě nezaúčtované. Dále je povinen upozornit příkazce na zřejmou nevhodnost jeho pokynů, které by mohly mít za následek vznik škody. V případě, že příkazce i přes upozornění příkazníka na splnění pokynů trvá, neodpovídá příkazník za škodu takto vzniklou. </w:t>
      </w:r>
    </w:p>
    <w:p w14:paraId="776BAE27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Příkazník je povinen předat příkazci řádně zpracované výsledky své práce nejpozději v dohodnutých nebo zákonných termínech.</w:t>
      </w:r>
    </w:p>
    <w:p w14:paraId="790515B6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Příkazník se zavazuje, že všechny předané dokumenty a poskytované informace zachová v tajnosti a bude zachovávat mlčenlivost o podnikatelských a finančních záležitostech příkazce.</w:t>
      </w:r>
    </w:p>
    <w:p w14:paraId="531ED795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Příkazník odpovídá příkazci za škodu vyplývající z chybného nebo opožděného podání daňových přiznání, které byly způsobeny z viny příkazníka (za škodu se považuje pokuta podle § 250, penále podle § 251 a úrok z prodlení podle § 252 zákona. č. 280/2009 Sb., daňový řád). Příkazník se odpovědnosti zprostí, prokáže-li, že škodě nemohlo být zabráněno ani při vynaložení veškerého úsilí.</w:t>
      </w:r>
    </w:p>
    <w:p w14:paraId="614161B1" w14:textId="77777777" w:rsidR="001D686F" w:rsidRDefault="001D686F">
      <w:pPr>
        <w:pStyle w:val="slolnku"/>
        <w:rPr>
          <w:sz w:val="22"/>
          <w:szCs w:val="22"/>
        </w:rPr>
      </w:pPr>
    </w:p>
    <w:p w14:paraId="244DB917" w14:textId="77777777" w:rsidR="001D686F" w:rsidRDefault="00CC67B9">
      <w:pPr>
        <w:pStyle w:val="Nzevlnku"/>
        <w:rPr>
          <w:sz w:val="22"/>
          <w:szCs w:val="22"/>
        </w:rPr>
      </w:pPr>
      <w:r>
        <w:rPr>
          <w:sz w:val="22"/>
          <w:szCs w:val="22"/>
        </w:rPr>
        <w:t>Povinnosti příkazce</w:t>
      </w:r>
    </w:p>
    <w:p w14:paraId="54C26F83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Příkazce je povinen poskytovat příkazníku součinnost při plnění předmětu smlouvy, tj. předávat včas a bez vyzvání příkazníku veškeré nezbytné podklady a informace, které mají, nebo dle názoru příkazníka mohou mít vliv na plnění předmětu smlouvy. Na žádost příkazníka je povinen podklady doplnit nebo upřesnit. </w:t>
      </w:r>
    </w:p>
    <w:p w14:paraId="423CCB5B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Příkazce odpovídá za věcnou náplň a náležitosti účetních dokladů, za jejich časovou příslušnost a za vyloučení duplicity předaných dokladů. Zavazuje se poskytovat pouze takové doklady, na nichž uvedené údaje proběhly ve skutečnosti tak, jak jsou na nich zachyceny a mají bezprostřední souvislost jen s jeho podnikatelskou činností, která je předmětem zdanění.</w:t>
      </w:r>
    </w:p>
    <w:p w14:paraId="315248F0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Podklady pro zpracování přiznání k dani z přidané hodnoty je příkazce povinen předat nejpozději do 20. kalendářního dne po skončení zdaňovacího období, pro zpracování mezd za daný měsíc nejpozději do 6. kalendářního dne následujícího měsíce. V případě nedodržení těchto termínů příkazník nepřebírá zodpovědnost za případné pozdní vypracování a předání výstupů příslušným úřadům. </w:t>
      </w:r>
    </w:p>
    <w:p w14:paraId="3CC4E1B9" w14:textId="77777777" w:rsidR="001D686F" w:rsidRDefault="001D686F">
      <w:pPr>
        <w:pStyle w:val="slolnku"/>
        <w:rPr>
          <w:sz w:val="22"/>
          <w:szCs w:val="22"/>
        </w:rPr>
      </w:pPr>
    </w:p>
    <w:p w14:paraId="68145B6F" w14:textId="77777777" w:rsidR="001D686F" w:rsidRDefault="00CC67B9">
      <w:pPr>
        <w:pStyle w:val="Nzevlnku"/>
        <w:rPr>
          <w:sz w:val="22"/>
          <w:szCs w:val="22"/>
        </w:rPr>
      </w:pPr>
      <w:r>
        <w:rPr>
          <w:sz w:val="22"/>
          <w:szCs w:val="22"/>
        </w:rPr>
        <w:t>Cenové ujednání</w:t>
      </w:r>
    </w:p>
    <w:p w14:paraId="70049A5F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Příkazníku za jeho činnost přísluší odměna. Odměna je splatná na účet příkazníka na základě vystavené faktury. Cena za služby v rámci této smlouvy je stanovena takto:</w:t>
      </w:r>
    </w:p>
    <w:p w14:paraId="7BA321AC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 Měsíční paušální částka 8 000,-Kč</w:t>
      </w:r>
    </w:p>
    <w:p w14:paraId="3C4FCABB" w14:textId="77777777" w:rsidR="001D686F" w:rsidRDefault="001D686F">
      <w:pPr>
        <w:spacing w:after="0"/>
        <w:jc w:val="left"/>
        <w:rPr>
          <w:sz w:val="22"/>
          <w:szCs w:val="22"/>
        </w:rPr>
      </w:pPr>
    </w:p>
    <w:p w14:paraId="5C213C87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Sjednaná cena může být změněna na základě oboustranné dohody při změně rozsahu vedených činností, a to od kalendářního měsíce následujícím po měsíci, v němž změna rozsahu požadovaných činností nastala. Změna ceny se sjednává písemným dodatkem k této smlouvě.</w:t>
      </w:r>
    </w:p>
    <w:p w14:paraId="021BE3A9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Cena služeb pro další účetní období bude upravena podle míry inflace vyjádřené přírůstkem průměrného ročního indexu spotřebitelských cen a zveřejněné Českým statistickým úřadem.</w:t>
      </w:r>
    </w:p>
    <w:p w14:paraId="02F96AFE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Je-li příkazce v prodlení s placením, vzniká právo vyúčtovat úroky z prodlení. Výši zákonných úroků z prodlení stanoví nařízení vlády č. </w:t>
      </w:r>
      <w:hyperlink r:id="rId10">
        <w:r>
          <w:rPr>
            <w:sz w:val="22"/>
            <w:szCs w:val="22"/>
          </w:rPr>
          <w:t>351/2013</w:t>
        </w:r>
      </w:hyperlink>
      <w:r>
        <w:rPr>
          <w:sz w:val="22"/>
          <w:szCs w:val="22"/>
        </w:rPr>
        <w:t xml:space="preserve"> Sb. Výše úroku z prodlení odpovídá ročně výši </w:t>
      </w:r>
      <w:proofErr w:type="spellStart"/>
      <w:r>
        <w:rPr>
          <w:sz w:val="22"/>
          <w:szCs w:val="22"/>
        </w:rPr>
        <w:t>repo</w:t>
      </w:r>
      <w:proofErr w:type="spellEnd"/>
      <w:r>
        <w:rPr>
          <w:sz w:val="22"/>
          <w:szCs w:val="22"/>
        </w:rPr>
        <w:t xml:space="preserve"> sazby stanovené Českou národní bankou pro první den kalendářního pololetí, v němž došlo k prodlení, zvýšené o 8 procentních bodů. V případě uplatnění a vyúčtování těchto úroků z prodlení je příkazce zavázán je uhradit.</w:t>
      </w:r>
    </w:p>
    <w:p w14:paraId="358A4647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Příkazník je oprávněn, je-li příkazce v prodlení s úhradou jednotlivých plateb, pozastavit další práce do okamžiku jejich úhrady.</w:t>
      </w:r>
    </w:p>
    <w:p w14:paraId="14B6DE85" w14:textId="77777777" w:rsidR="001D686F" w:rsidRDefault="001D686F">
      <w:pPr>
        <w:pStyle w:val="slolnku"/>
        <w:rPr>
          <w:sz w:val="22"/>
          <w:szCs w:val="22"/>
        </w:rPr>
      </w:pPr>
    </w:p>
    <w:p w14:paraId="46834026" w14:textId="77777777" w:rsidR="001D686F" w:rsidRDefault="00CC67B9">
      <w:pPr>
        <w:pStyle w:val="Nzevlnku"/>
        <w:rPr>
          <w:sz w:val="22"/>
          <w:szCs w:val="22"/>
        </w:rPr>
      </w:pPr>
      <w:r>
        <w:rPr>
          <w:sz w:val="22"/>
          <w:szCs w:val="22"/>
        </w:rPr>
        <w:t>Výpověď</w:t>
      </w:r>
    </w:p>
    <w:p w14:paraId="3440D59C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Příkazník může příkaz vypovědět nejdříve ke konci měsíce následujícího po měsíci, v němž byla výpověď doručena.</w:t>
      </w:r>
    </w:p>
    <w:p w14:paraId="364F996A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Příkazce může příkaz kdykoliv odvolat, nahradí však příkazníkovi náklady, které do té doby </w:t>
      </w:r>
      <w:r>
        <w:rPr>
          <w:sz w:val="22"/>
          <w:szCs w:val="22"/>
        </w:rPr>
        <w:t>měl, a škodu, pokud ji utrpěl, jakož i část odměny přiměřenou vynaložené námaze příkazníka.</w:t>
      </w:r>
    </w:p>
    <w:p w14:paraId="26BD45E2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 xml:space="preserve">Pokud jedna ze smluvních stran závažně nebo opakovaně poruší ustanovení této smlouvy, je druhá strana oprávněna smluvní vztah okamžitě ukončit </w:t>
      </w:r>
      <w:r>
        <w:rPr>
          <w:sz w:val="22"/>
          <w:szCs w:val="22"/>
        </w:rPr>
        <w:t xml:space="preserve">jednostranným písemným prohlášením o </w:t>
      </w:r>
      <w:r>
        <w:rPr>
          <w:sz w:val="22"/>
          <w:szCs w:val="22"/>
        </w:rPr>
        <w:lastRenderedPageBreak/>
        <w:t>odstoupení od smlouvy. Platnost smlouvy pak končí dnem následujícím po doručení prohlášení druhé smluvní straně.</w:t>
      </w:r>
    </w:p>
    <w:p w14:paraId="462EC8CA" w14:textId="77777777" w:rsidR="001D686F" w:rsidRDefault="001D686F">
      <w:pPr>
        <w:pStyle w:val="slolnku"/>
        <w:rPr>
          <w:sz w:val="22"/>
          <w:szCs w:val="22"/>
        </w:rPr>
      </w:pPr>
    </w:p>
    <w:p w14:paraId="0BD9D77C" w14:textId="77777777" w:rsidR="001D686F" w:rsidRDefault="00CC67B9">
      <w:pPr>
        <w:pStyle w:val="Nzevlnku"/>
        <w:rPr>
          <w:sz w:val="22"/>
          <w:szCs w:val="22"/>
        </w:rPr>
      </w:pPr>
      <w:r>
        <w:rPr>
          <w:sz w:val="22"/>
          <w:szCs w:val="22"/>
        </w:rPr>
        <w:t>Doba plnění</w:t>
      </w:r>
    </w:p>
    <w:p w14:paraId="3F2C6B51" w14:textId="2C07E7F3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Tato smlouva se vztahuje na účetní období od 1.</w:t>
      </w:r>
      <w:r w:rsidR="00BC02B0">
        <w:rPr>
          <w:sz w:val="22"/>
          <w:szCs w:val="22"/>
        </w:rPr>
        <w:t xml:space="preserve"> 3</w:t>
      </w:r>
      <w:r>
        <w:rPr>
          <w:sz w:val="22"/>
          <w:szCs w:val="22"/>
        </w:rPr>
        <w:t>.</w:t>
      </w:r>
      <w:r w:rsidR="00BC02B0">
        <w:rPr>
          <w:sz w:val="22"/>
          <w:szCs w:val="22"/>
        </w:rPr>
        <w:t xml:space="preserve"> </w:t>
      </w:r>
      <w:r>
        <w:rPr>
          <w:sz w:val="22"/>
          <w:szCs w:val="22"/>
        </w:rPr>
        <w:t>2025 na dobu neurčitou.</w:t>
      </w:r>
    </w:p>
    <w:p w14:paraId="261DCFE7" w14:textId="77777777" w:rsidR="001D686F" w:rsidRDefault="001D686F">
      <w:pPr>
        <w:pStyle w:val="slolnku"/>
        <w:rPr>
          <w:sz w:val="22"/>
          <w:szCs w:val="22"/>
        </w:rPr>
      </w:pPr>
    </w:p>
    <w:p w14:paraId="60BDA3B6" w14:textId="77777777" w:rsidR="001D686F" w:rsidRDefault="00CC67B9">
      <w:pPr>
        <w:pStyle w:val="Nzevlnku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14:paraId="663E724E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Smlouvu je možné měnit pouze číslovanými dodatky s podpisy obou smluvních stran.</w:t>
      </w:r>
    </w:p>
    <w:p w14:paraId="04B3F77A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Ve všech ostatních náležitostech neupravených touto smlouvou se vzájemný vztah obou smluvních stran řídí příslušnými ustanoveními občanského zákoníku v platném znění a právním řádem České republiky.</w:t>
      </w:r>
    </w:p>
    <w:p w14:paraId="0729AE55" w14:textId="77777777" w:rsidR="001D686F" w:rsidRDefault="00CC67B9">
      <w:pPr>
        <w:rPr>
          <w:sz w:val="22"/>
          <w:szCs w:val="22"/>
        </w:rPr>
      </w:pPr>
      <w:r>
        <w:rPr>
          <w:sz w:val="22"/>
          <w:szCs w:val="22"/>
        </w:rPr>
        <w:t>Smlouva se vyhotovuje ve dvou stejnopisech, z nichž oba mají stejnou platnost, a každá strana obdrží po jednom. Obě smluvní strany potvrzují svým podpisem, že souhlasí se zněním smlouvy.</w:t>
      </w:r>
    </w:p>
    <w:p w14:paraId="6511B065" w14:textId="77777777" w:rsidR="001D686F" w:rsidRDefault="00CC67B9">
      <w:pPr>
        <w:ind w:firstLine="0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Tato smlouva nabývá platnosti dnem připojení podpisu obou smluvních stran a účinnosti okamžikem zveřejnění v registru smluv podle zákona č. 340/2015 Sb., zvláštních podmínkách účinnost některých smluv, uveřejňování těchto smluv a o registru smluv (zákon o registru smluv), ve znění pozdějších předpisů, je-li tímto zákonem zveřejnění smlouvy vyžadováno, jinak dnem podpisu smluvních stran. Zveřejnění smlouvy v registru zajistí příkazce. Smluvní strany prohlašují, že výslovně souhlasí se zveřejněním smlouvy v p</w:t>
      </w:r>
      <w:r>
        <w:rPr>
          <w:sz w:val="22"/>
          <w:szCs w:val="22"/>
        </w:rPr>
        <w:t>lném rozsahu</w:t>
      </w:r>
    </w:p>
    <w:p w14:paraId="72A8F166" w14:textId="77777777" w:rsidR="001D686F" w:rsidRDefault="001D686F">
      <w:pPr>
        <w:ind w:firstLine="0"/>
        <w:rPr>
          <w:sz w:val="22"/>
          <w:szCs w:val="22"/>
        </w:rPr>
      </w:pPr>
    </w:p>
    <w:p w14:paraId="5641C6AC" w14:textId="57B7EEE3" w:rsidR="001D686F" w:rsidRDefault="00CC67B9">
      <w:pPr>
        <w:rPr>
          <w:sz w:val="22"/>
          <w:szCs w:val="22"/>
        </w:rPr>
      </w:pPr>
      <w:bookmarkStart w:id="0" w:name="_Hlk191379941"/>
      <w:r>
        <w:rPr>
          <w:sz w:val="22"/>
          <w:szCs w:val="22"/>
        </w:rPr>
        <w:t xml:space="preserve">V Rakovníku dne </w:t>
      </w:r>
      <w:r w:rsidR="00BC02B0">
        <w:rPr>
          <w:sz w:val="22"/>
          <w:szCs w:val="22"/>
        </w:rPr>
        <w:t xml:space="preserve">25. 2. </w:t>
      </w:r>
      <w:r>
        <w:rPr>
          <w:sz w:val="22"/>
          <w:szCs w:val="22"/>
        </w:rPr>
        <w:t>2025</w:t>
      </w:r>
    </w:p>
    <w:p w14:paraId="346F8EA0" w14:textId="77777777" w:rsidR="001D686F" w:rsidRDefault="001D686F">
      <w:pPr>
        <w:ind w:firstLine="0"/>
        <w:rPr>
          <w:sz w:val="22"/>
          <w:szCs w:val="22"/>
        </w:rPr>
      </w:pPr>
    </w:p>
    <w:p w14:paraId="36BF574F" w14:textId="77777777" w:rsidR="001D686F" w:rsidRDefault="001D686F">
      <w:pPr>
        <w:ind w:firstLine="0"/>
        <w:rPr>
          <w:sz w:val="22"/>
          <w:szCs w:val="22"/>
        </w:rPr>
      </w:pPr>
    </w:p>
    <w:p w14:paraId="13527BBD" w14:textId="77777777" w:rsidR="00CC67B9" w:rsidRDefault="00CC67B9">
      <w:pPr>
        <w:ind w:firstLine="0"/>
        <w:rPr>
          <w:sz w:val="22"/>
          <w:szCs w:val="22"/>
        </w:rPr>
      </w:pPr>
    </w:p>
    <w:p w14:paraId="65D92C9A" w14:textId="77777777" w:rsidR="00CC67B9" w:rsidRDefault="00CC67B9">
      <w:pPr>
        <w:ind w:firstLine="0"/>
        <w:rPr>
          <w:sz w:val="22"/>
          <w:szCs w:val="22"/>
        </w:rPr>
      </w:pPr>
    </w:p>
    <w:p w14:paraId="6D79B4C9" w14:textId="64E229DD" w:rsidR="00CC67B9" w:rsidRDefault="00CC67B9">
      <w:pPr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  <w:t>podpis příkazníka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příkazce</w:t>
      </w:r>
      <w:bookmarkEnd w:id="0"/>
    </w:p>
    <w:sectPr w:rsidR="00CC67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946" w14:textId="77777777" w:rsidR="00CC67B9" w:rsidRDefault="00CC67B9">
      <w:pPr>
        <w:spacing w:after="0"/>
      </w:pPr>
      <w:r>
        <w:separator/>
      </w:r>
    </w:p>
  </w:endnote>
  <w:endnote w:type="continuationSeparator" w:id="0">
    <w:p w14:paraId="4C960356" w14:textId="77777777" w:rsidR="00CC67B9" w:rsidRDefault="00CC67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D7C7" w14:textId="77777777" w:rsidR="001D686F" w:rsidRDefault="001D68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F3AC" w14:textId="77777777" w:rsidR="001D686F" w:rsidRDefault="00CC67B9">
    <w:pPr>
      <w:pStyle w:val="Zpat"/>
      <w:pBdr>
        <w:top w:val="single" w:sz="4" w:space="1" w:color="000000"/>
      </w:pBdr>
      <w:ind w:firstLine="0"/>
      <w:jc w:val="left"/>
      <w:rPr>
        <w:sz w:val="20"/>
      </w:rPr>
    </w:pPr>
    <w:r>
      <w:rPr>
        <w:rStyle w:val="slostrnky"/>
        <w:sz w:val="20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sz w:val="20"/>
      </w:rPr>
      <w:t>3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ze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sz w:val="20"/>
      </w:rPr>
      <w:t>3</w:t>
    </w:r>
    <w:r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56A7" w14:textId="77777777" w:rsidR="001D686F" w:rsidRDefault="00CC67B9">
    <w:pPr>
      <w:pStyle w:val="Zpat"/>
      <w:pBdr>
        <w:top w:val="single" w:sz="4" w:space="1" w:color="000000"/>
      </w:pBdr>
      <w:ind w:firstLine="0"/>
      <w:jc w:val="left"/>
      <w:rPr>
        <w:sz w:val="20"/>
      </w:rPr>
    </w:pPr>
    <w:r>
      <w:rPr>
        <w:rStyle w:val="slostrnky"/>
        <w:sz w:val="20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sz w:val="20"/>
      </w:rPr>
      <w:t>3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ze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sz w:val="20"/>
      </w:rPr>
      <w:t>3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25F3" w14:textId="77777777" w:rsidR="00CC67B9" w:rsidRDefault="00CC67B9">
      <w:pPr>
        <w:spacing w:after="0"/>
      </w:pPr>
      <w:r>
        <w:separator/>
      </w:r>
    </w:p>
  </w:footnote>
  <w:footnote w:type="continuationSeparator" w:id="0">
    <w:p w14:paraId="2993DBC6" w14:textId="77777777" w:rsidR="00CC67B9" w:rsidRDefault="00CC67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3A94" w14:textId="77777777" w:rsidR="001D686F" w:rsidRDefault="001D6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0B4F" w14:textId="77777777" w:rsidR="001D686F" w:rsidRDefault="001D68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F35" w14:textId="77777777" w:rsidR="001D686F" w:rsidRDefault="001D68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FC1"/>
    <w:multiLevelType w:val="multilevel"/>
    <w:tmpl w:val="33627D90"/>
    <w:lvl w:ilvl="0">
      <w:start w:val="1"/>
      <w:numFmt w:val="upperRoman"/>
      <w:pStyle w:val="slolnku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73177F"/>
    <w:multiLevelType w:val="multilevel"/>
    <w:tmpl w:val="33022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D46F06"/>
    <w:multiLevelType w:val="multilevel"/>
    <w:tmpl w:val="1B6091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840006275">
    <w:abstractNumId w:val="0"/>
  </w:num>
  <w:num w:numId="2" w16cid:durableId="1993294878">
    <w:abstractNumId w:val="2"/>
  </w:num>
  <w:num w:numId="3" w16cid:durableId="29499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6F"/>
    <w:rsid w:val="001D686F"/>
    <w:rsid w:val="009A2860"/>
    <w:rsid w:val="00BC02B0"/>
    <w:rsid w:val="00CC67B9"/>
    <w:rsid w:val="00D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739B"/>
  <w15:docId w15:val="{AFE3CF42-BCA1-4984-9713-08C3E23E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4497"/>
    <w:pPr>
      <w:spacing w:after="120"/>
      <w:ind w:firstLine="708"/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i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B47D3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jc w:val="center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qFormat/>
  </w:style>
  <w:style w:type="paragraph" w:styleId="Zkladntextodsazen">
    <w:name w:val="Body Text Indent"/>
    <w:basedOn w:val="Normln"/>
    <w:pPr>
      <w:ind w:firstLine="709"/>
    </w:pPr>
  </w:style>
  <w:style w:type="paragraph" w:styleId="Textbubliny">
    <w:name w:val="Balloon Text"/>
    <w:basedOn w:val="Normln"/>
    <w:semiHidden/>
    <w:qFormat/>
    <w:rsid w:val="0058416E"/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ln"/>
    <w:next w:val="Normln"/>
    <w:qFormat/>
    <w:rsid w:val="00AF3BCC"/>
  </w:style>
  <w:style w:type="paragraph" w:customStyle="1" w:styleId="slolnku">
    <w:name w:val="Číslo článku"/>
    <w:basedOn w:val="slovanseznam"/>
    <w:next w:val="Nzevlnku"/>
    <w:qFormat/>
    <w:rsid w:val="005D05B3"/>
    <w:pPr>
      <w:keepNext/>
      <w:numPr>
        <w:numId w:val="1"/>
      </w:numPr>
      <w:spacing w:before="360" w:after="0"/>
      <w:jc w:val="center"/>
    </w:pPr>
    <w:rPr>
      <w:b/>
      <w:szCs w:val="24"/>
    </w:rPr>
  </w:style>
  <w:style w:type="paragraph" w:styleId="slovanseznam">
    <w:name w:val="List Number"/>
    <w:basedOn w:val="Normln"/>
    <w:rsid w:val="00DE0AB4"/>
  </w:style>
  <w:style w:type="paragraph" w:customStyle="1" w:styleId="Nzevlnku">
    <w:name w:val="Název článku"/>
    <w:next w:val="Normln"/>
    <w:qFormat/>
    <w:rsid w:val="00DE0AB4"/>
    <w:pPr>
      <w:spacing w:after="120"/>
      <w:jc w:val="center"/>
    </w:pPr>
    <w:rPr>
      <w:b/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CB47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47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060E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pravo.cz/top/zakony/sbirka-zakonu/narizeni-vlady-ze-dne-16-rijna-2013-kterym-se-urcuje-vyse-uroku-z-prodleni-a-nakladu-spojenych-s-uplatnenim-pohledavky-urcuje-odmena-likvidatora-likvidacniho-spravce-a-clena-organu-pravnicke-osoby-jmenovaneho-soudem-a-upravuji-nektere-otazky-obchodniho-vestniku-a-verejnych-rejstriku-pravnickych-a-fyzickych-osob-19805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9D90BD06B364BA4F08288E0A5C2C4" ma:contentTypeVersion="6" ma:contentTypeDescription="Vytvoří nový dokument" ma:contentTypeScope="" ma:versionID="8d93bdb233c002f67c7eecc3926049f1">
  <xsd:schema xmlns:xsd="http://www.w3.org/2001/XMLSchema" xmlns:xs="http://www.w3.org/2001/XMLSchema" xmlns:p="http://schemas.microsoft.com/office/2006/metadata/properties" xmlns:ns3="e7514c41-1ce2-44af-b63b-d2902072690c" targetNamespace="http://schemas.microsoft.com/office/2006/metadata/properties" ma:root="true" ma:fieldsID="d8d7bf50fd877563a883b01555374bf3" ns3:_="">
    <xsd:import namespace="e7514c41-1ce2-44af-b63b-d290207269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14c41-1ce2-44af-b63b-d29020726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14c41-1ce2-44af-b63b-d2902072690c" xsi:nil="true"/>
  </documentManagement>
</p:properties>
</file>

<file path=customXml/itemProps1.xml><?xml version="1.0" encoding="utf-8"?>
<ds:datastoreItem xmlns:ds="http://schemas.openxmlformats.org/officeDocument/2006/customXml" ds:itemID="{89AD627D-6091-4114-AA44-BE3017159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629C2-B3FF-4589-B740-384C071F4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14c41-1ce2-44af-b63b-d29020726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45F97-BF2C-4B36-96E3-A8903B705301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7514c41-1ce2-44af-b63b-d2902072690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1004</Words>
  <Characters>5925</Characters>
  <Application>Microsoft Office Word</Application>
  <DocSecurity>0</DocSecurity>
  <Lines>49</Lines>
  <Paragraphs>13</Paragraphs>
  <ScaleCrop>false</ScaleCrop>
  <Company> 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</dc:title>
  <dc:subject/>
  <dc:creator>Benetax s.r.o.</dc:creator>
  <dc:description/>
  <cp:lastModifiedBy>Vondráčková Ingrid</cp:lastModifiedBy>
  <cp:revision>7</cp:revision>
  <cp:lastPrinted>2020-01-17T12:47:00Z</cp:lastPrinted>
  <dcterms:created xsi:type="dcterms:W3CDTF">2025-02-19T10:03:00Z</dcterms:created>
  <dcterms:modified xsi:type="dcterms:W3CDTF">2025-02-25T11:45:00Z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0x0101006469D90BD06B364BA4F08288E0A5C2C4</vt:lpwstr>
  </property>
</Properties>
</file>