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62E" w:rsidRPr="00743644" w:rsidRDefault="00F3762E" w:rsidP="00F3762E">
      <w:pPr>
        <w:pStyle w:val="Nadpis1"/>
        <w:rPr>
          <w:rFonts w:asciiTheme="minorHAnsi" w:hAnsiTheme="minorHAnsi" w:cs="Times New Roman"/>
          <w:bCs w:val="0"/>
          <w:smallCaps w:val="0"/>
          <w:snapToGrid w:val="0"/>
          <w:color w:val="000000"/>
          <w:kern w:val="0"/>
          <w:sz w:val="22"/>
          <w:szCs w:val="22"/>
        </w:rPr>
      </w:pPr>
      <w:bookmarkStart w:id="0" w:name="_GoBack"/>
      <w:bookmarkEnd w:id="0"/>
      <w:r w:rsidRPr="00743644">
        <w:rPr>
          <w:rFonts w:asciiTheme="minorHAnsi" w:hAnsiTheme="minorHAnsi" w:cs="Times New Roman"/>
          <w:bCs w:val="0"/>
          <w:smallCaps w:val="0"/>
          <w:snapToGrid w:val="0"/>
          <w:color w:val="000000"/>
          <w:kern w:val="0"/>
          <w:sz w:val="22"/>
          <w:szCs w:val="22"/>
        </w:rPr>
        <w:t>Stanovení finančních oprav pro konkrétní pochybení v rámci veřejných zakázek</w:t>
      </w:r>
    </w:p>
    <w:p w:rsidR="00F3762E" w:rsidRPr="00743644" w:rsidRDefault="00F3762E" w:rsidP="00F3762E">
      <w:pPr>
        <w:pStyle w:val="Nadpis3"/>
        <w:rPr>
          <w:rFonts w:asciiTheme="minorHAnsi" w:hAnsiTheme="minorHAnsi" w:cs="Times New Roman"/>
          <w:bCs w:val="0"/>
          <w:smallCaps w:val="0"/>
          <w:snapToGrid w:val="0"/>
          <w:color w:val="000000"/>
          <w:sz w:val="22"/>
          <w:szCs w:val="22"/>
        </w:rPr>
      </w:pPr>
      <w:r w:rsidRPr="00743644">
        <w:rPr>
          <w:rFonts w:asciiTheme="minorHAnsi" w:hAnsiTheme="minorHAnsi" w:cs="Times New Roman"/>
          <w:bCs w:val="0"/>
          <w:smallCaps w:val="0"/>
          <w:snapToGrid w:val="0"/>
          <w:color w:val="000000"/>
          <w:sz w:val="22"/>
          <w:szCs w:val="22"/>
        </w:rPr>
        <w:t>Oznámení o zakázce a zadávací podmínky</w:t>
      </w:r>
    </w:p>
    <w:tbl>
      <w:tblPr>
        <w:tblW w:w="0" w:type="auto"/>
        <w:tblInd w:w="-5" w:type="dxa"/>
        <w:tblLook w:val="0000" w:firstRow="0" w:lastRow="0" w:firstColumn="0" w:lastColumn="0" w:noHBand="0" w:noVBand="0"/>
      </w:tblPr>
      <w:tblGrid>
        <w:gridCol w:w="495"/>
        <w:gridCol w:w="1859"/>
        <w:gridCol w:w="4111"/>
        <w:gridCol w:w="2801"/>
      </w:tblGrid>
      <w:tr w:rsidR="00F3762E" w:rsidRPr="00743644" w:rsidTr="00300841">
        <w:trPr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Č.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Typ porušení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Popis porušení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Sazba finanční opravy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Povinnosti v oblasti uveřejňování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pStyle w:val="Odstavecseseznamem"/>
              <w:numPr>
                <w:ilvl w:val="0"/>
                <w:numId w:val="2"/>
              </w:numPr>
              <w:tabs>
                <w:tab w:val="left" w:pos="438"/>
              </w:tabs>
              <w:autoSpaceDE w:val="0"/>
              <w:autoSpaceDN w:val="0"/>
              <w:adjustRightInd w:val="0"/>
              <w:ind w:left="155" w:hanging="2"/>
              <w:jc w:val="left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Zakázka byla zadána, aniž by bylo odesláno Oznámení o zahájení zadávacího řízení nebo výzva o zahájení zadávacího řízení k uveřejnění. Vztahuje se i na případy, kdy nebylo vůbec provedeno zadávací řízení, nebo byla smlouva uzavřena s uchazečem, který se zadávacího řízení neúčastnil.</w:t>
            </w:r>
          </w:p>
          <w:p w:rsidR="00F3762E" w:rsidRPr="00743644" w:rsidRDefault="00F3762E" w:rsidP="00300841">
            <w:pPr>
              <w:pStyle w:val="Odstavecseseznamem"/>
              <w:autoSpaceDE w:val="0"/>
              <w:autoSpaceDN w:val="0"/>
              <w:adjustRightInd w:val="0"/>
              <w:ind w:left="155"/>
              <w:jc w:val="left"/>
              <w:rPr>
                <w:rFonts w:asciiTheme="minorHAnsi" w:hAnsiTheme="minorHAnsi" w:cs="Times New Roman"/>
                <w:snapToGrid w:val="0"/>
                <w:color w:val="000000"/>
              </w:rPr>
            </w:pPr>
          </w:p>
          <w:p w:rsidR="00F3762E" w:rsidRPr="00743644" w:rsidRDefault="00F3762E" w:rsidP="00300841">
            <w:pPr>
              <w:pStyle w:val="Odstavecseseznamem"/>
              <w:autoSpaceDE w:val="0"/>
              <w:autoSpaceDN w:val="0"/>
              <w:adjustRightInd w:val="0"/>
              <w:ind w:left="155"/>
              <w:jc w:val="left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B) Marginální porušení (např. neuveřejnění oznámení o uzavření smlouvy)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A) 100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pokud byla dodržena určitá míra uveřejnění, která umožnila dodavatelům přístup k zadávané zakázce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B) 2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%, v případě, že se jedná pouze o formální porušení 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Neoprávněné rozdělení předmětu veřejné zakázky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Předmět veřejné zakázky je rozdělen tak, aby došlo ke snížení předpokládané hodnoty pod zákonné limity.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100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% 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% pokud byla dodržena určitá míra uveřejnění, která umožnila dodavatelům </w:t>
            </w:r>
            <w:r w:rsidR="00FC1AE1">
              <w:rPr>
                <w:rFonts w:asciiTheme="minorHAnsi" w:hAnsiTheme="minorHAnsi" w:cs="Times New Roman"/>
                <w:snapToGrid w:val="0"/>
                <w:color w:val="000000"/>
              </w:rPr>
              <w:br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 jiného členského státu přístup k zadávané zakázce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Nedodržení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- Minimální délky lhůty pro podání nabídek;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Nebo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- Minimální délky lhůty pro podání žádostí o účast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 Porušení povinnosti stanovit lhůtu pro podání nabídek/ žádostí o účast v  délce stanovené v ZVZ.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%, pokud zkrácení lhůty je vyšší nebo rovno 50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% minimální zákonné délky, 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10 %, pokud zkrácení lhůty je vyšší nebo rovno 30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minimální zákonné délky,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%, zkrácení lhůty nedosahuje 30 % minimální zákonné délky 2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%, </w:t>
            </w:r>
            <w:r w:rsidR="00FC1AE1">
              <w:rPr>
                <w:rFonts w:asciiTheme="minorHAnsi" w:hAnsiTheme="minorHAnsi" w:cs="Times New Roman"/>
                <w:snapToGrid w:val="0"/>
                <w:color w:val="000000"/>
              </w:rPr>
              <w:br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u marginálních zkrácení lhůty.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Nedostatečná doba pro získání zadávací dokumentace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Doba, ve které mohou dodavatelé získat zadávací dokumentaci je příliš krátká, čímž vytváří neodůvodněnou překážku pro účast v zadávacím řízení.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%, pokud je doba, </w:t>
            </w:r>
            <w:r w:rsidR="00FC1AE1">
              <w:rPr>
                <w:rFonts w:asciiTheme="minorHAnsi" w:hAnsiTheme="minorHAnsi" w:cs="Times New Roman"/>
                <w:snapToGrid w:val="0"/>
                <w:color w:val="000000"/>
              </w:rPr>
              <w:br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ve které mohou dodavatelé získat zadávací dokumentaci kratší než 50 % lhůty pro podání nabídek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%, pokud je doba, </w:t>
            </w:r>
            <w:r w:rsidR="00FC1AE1">
              <w:rPr>
                <w:rFonts w:asciiTheme="minorHAnsi" w:hAnsiTheme="minorHAnsi" w:cs="Times New Roman"/>
                <w:snapToGrid w:val="0"/>
                <w:color w:val="000000"/>
              </w:rPr>
              <w:br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ve které mohou dodavatelé získat zadávací dokumentaci kratší než 60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lhůty pro podání nabídek,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%, pokud je doba, ve které mohou dodavatelé získat zadávací dokumentaci kratší než 80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lhůty pro podání nabídek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Neuveřejnění informací o 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- Prodloužení lhůty pro podání nabídek;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Nebo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- Lhůty pro podání žádostí o účast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Došlo k prodloužení lhůty pro podání nabídek nebo lhůty pro podání žádostí o účast, ale toto prodloužení nebylo zákonným způsobem uveřejněno.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Korekce může být snížena na 5% s ohledem na nižší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Použití jednacího řízení s uveřejněním bez zákonného důvodu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Zadání veřejné zakázky v jednacím řízení s uveřejněním v případě, kdy tento postup není umožněn příslušnými zákonnými ustanoveními.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tabs>
                <w:tab w:val="center" w:pos="4153"/>
                <w:tab w:val="right" w:pos="8306"/>
              </w:tabs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Korekce 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Zadání veřejné zakázky v oblasti obrany nebo bezpečnosti bez zadávacího řízení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Zadání veřejné zakázky v oblasti obrany nebo bezpečnosti bez zadávacího řízení v případě, kdy tento postup není umožněn příslušným zákonným ustanovením.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tabs>
                <w:tab w:val="center" w:pos="4153"/>
                <w:tab w:val="right" w:pos="8306"/>
              </w:tabs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100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tabs>
                <w:tab w:val="center" w:pos="4153"/>
                <w:tab w:val="right" w:pos="8306"/>
              </w:tabs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Korekce může být snížena na 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%,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porušení.</w:t>
            </w:r>
          </w:p>
        </w:tc>
      </w:tr>
      <w:tr w:rsidR="00F3762E" w:rsidRPr="00743644" w:rsidTr="00300841">
        <w:trPr>
          <w:trHeight w:val="35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Neuvedení kvalifikačních předpokladů nebo hodnotících kritérií v Oznámení o zakázce nebo v zadávacích podmínkách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Kvalifikační předpoklady nejsou uvedeny v uveřejnění. Hodnotící kritéria nejsou uvedena v Oznámení o zakázce, ani v zadávacích podmínkách.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Korekce 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pokud kvalifikační předpoklady/hodnotící kritéria byly uvedeny, ale nebyly uvedeny dostatečně jasným a detailním způsobem.</w:t>
            </w:r>
          </w:p>
        </w:tc>
      </w:tr>
      <w:tr w:rsidR="00F3762E" w:rsidRPr="00743644" w:rsidTr="00300841">
        <w:trPr>
          <w:trHeight w:val="103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Nezákonné kvalifikační předpoklady nebo hodnotící kritéria nebo jiné požadavky zadavatele na plnění veřejné zakázky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Stanovení nezákonných, zpravidla diskriminačních kvalifikačních předpokladů nebo hodnotících kritérií nebo jiných požadavků zadavatele na plnění veřejné zakázky.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.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Například: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br/>
              <w:t>- Povinnost mít provozovnu nebo zástupce v dané zemi nebo regionu;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- Povinnost uchazečů mít zkušenosti v dané zemi nebo regionu;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Korekce 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Stanovení nepřiměřených kvalifikačních předpokladů či neodpovídajících předmětu veřejné zakázky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Stanovení kvalifikačních předpokladů, které neodpovídají předmětu zadávané veřejné zakázky, či nepřiměřeně vysokých požadavků, které vytvářejí neoprávněné překážky účasti v zadávacím řízení.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Korekce 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Diskriminační vymezení předmětu zakázky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Předmět plnění zakázky je v zadávacích podmínkách vymezen způsobem, který nezajišťuje rovný přístup jednotlivých dodavatelů, resp. někteří dodavatelé jsou takto vymezeným předmětem zakázky zvýhodněni.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Korekce 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% s ohledem na malou závažnost porušení </w:t>
            </w:r>
          </w:p>
        </w:tc>
      </w:tr>
      <w:tr w:rsidR="00F3762E" w:rsidRPr="00743644" w:rsidTr="00300841">
        <w:trPr>
          <w:trHeight w:val="103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Nedostatečné vymezení předmětu zakázky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Předmět zakázky je v zadávacích podmínkách vymezen nedostatečně tak, že neobsahuje veškeré informace podstatné pro zpracování nabídky.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Korekce může být snížena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porušení.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V případě, že část předmětu veřejné zakázky nebyla součástí uveřejnění zakázky, bude korekce odpovídat 100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hodnoty této části.</w:t>
            </w:r>
          </w:p>
        </w:tc>
      </w:tr>
    </w:tbl>
    <w:p w:rsidR="00F3762E" w:rsidRDefault="00F3762E" w:rsidP="00F3762E">
      <w:pPr>
        <w:suppressAutoHyphens/>
        <w:rPr>
          <w:rFonts w:asciiTheme="minorHAnsi" w:hAnsiTheme="minorHAnsi" w:cs="Times New Roman"/>
          <w:snapToGrid w:val="0"/>
          <w:color w:val="000000"/>
        </w:rPr>
      </w:pPr>
    </w:p>
    <w:p w:rsidR="00743644" w:rsidRDefault="00743644" w:rsidP="00F3762E">
      <w:pPr>
        <w:suppressAutoHyphens/>
        <w:rPr>
          <w:rFonts w:asciiTheme="minorHAnsi" w:hAnsiTheme="minorHAnsi" w:cs="Times New Roman"/>
          <w:snapToGrid w:val="0"/>
          <w:color w:val="000000"/>
        </w:rPr>
      </w:pPr>
    </w:p>
    <w:p w:rsidR="00743644" w:rsidRDefault="00743644" w:rsidP="00F3762E">
      <w:pPr>
        <w:suppressAutoHyphens/>
        <w:rPr>
          <w:rFonts w:asciiTheme="minorHAnsi" w:hAnsiTheme="minorHAnsi" w:cs="Times New Roman"/>
          <w:snapToGrid w:val="0"/>
          <w:color w:val="000000"/>
        </w:rPr>
      </w:pPr>
    </w:p>
    <w:p w:rsidR="00743644" w:rsidRDefault="00743644" w:rsidP="00F3762E">
      <w:pPr>
        <w:suppressAutoHyphens/>
        <w:rPr>
          <w:rFonts w:asciiTheme="minorHAnsi" w:hAnsiTheme="minorHAnsi" w:cs="Times New Roman"/>
          <w:snapToGrid w:val="0"/>
          <w:color w:val="000000"/>
        </w:rPr>
      </w:pPr>
    </w:p>
    <w:p w:rsidR="00743644" w:rsidRDefault="00743644" w:rsidP="00F3762E">
      <w:pPr>
        <w:suppressAutoHyphens/>
        <w:rPr>
          <w:rFonts w:asciiTheme="minorHAnsi" w:hAnsiTheme="minorHAnsi" w:cs="Times New Roman"/>
          <w:snapToGrid w:val="0"/>
          <w:color w:val="000000"/>
        </w:rPr>
      </w:pPr>
    </w:p>
    <w:p w:rsidR="00743644" w:rsidRPr="00743644" w:rsidRDefault="00743644" w:rsidP="00F3762E">
      <w:pPr>
        <w:suppressAutoHyphens/>
        <w:rPr>
          <w:rFonts w:asciiTheme="minorHAnsi" w:hAnsiTheme="minorHAnsi" w:cs="Times New Roman"/>
          <w:snapToGrid w:val="0"/>
          <w:color w:val="000000"/>
        </w:rPr>
      </w:pPr>
    </w:p>
    <w:p w:rsidR="00F3762E" w:rsidRPr="00743644" w:rsidRDefault="00F3762E" w:rsidP="00F3762E">
      <w:pPr>
        <w:pStyle w:val="Nadpis3"/>
        <w:rPr>
          <w:rFonts w:asciiTheme="minorHAnsi" w:hAnsiTheme="minorHAnsi" w:cs="Times New Roman"/>
          <w:bCs w:val="0"/>
          <w:smallCaps w:val="0"/>
          <w:snapToGrid w:val="0"/>
          <w:color w:val="000000"/>
          <w:sz w:val="22"/>
          <w:szCs w:val="22"/>
        </w:rPr>
      </w:pPr>
      <w:r w:rsidRPr="00743644">
        <w:rPr>
          <w:rFonts w:asciiTheme="minorHAnsi" w:hAnsiTheme="minorHAnsi" w:cs="Times New Roman"/>
          <w:bCs w:val="0"/>
          <w:smallCaps w:val="0"/>
          <w:snapToGrid w:val="0"/>
          <w:color w:val="000000"/>
          <w:sz w:val="22"/>
          <w:szCs w:val="22"/>
        </w:rPr>
        <w:lastRenderedPageBreak/>
        <w:t>Posouzení a hodnocení nabídek</w:t>
      </w:r>
    </w:p>
    <w:tbl>
      <w:tblPr>
        <w:tblW w:w="0" w:type="auto"/>
        <w:tblInd w:w="-5" w:type="dxa"/>
        <w:tblLook w:val="0000" w:firstRow="0" w:lastRow="0" w:firstColumn="0" w:lastColumn="0" w:noHBand="0" w:noVBand="0"/>
      </w:tblPr>
      <w:tblGrid>
        <w:gridCol w:w="495"/>
        <w:gridCol w:w="1859"/>
        <w:gridCol w:w="4111"/>
        <w:gridCol w:w="2801"/>
      </w:tblGrid>
      <w:tr w:rsidR="00F3762E" w:rsidRPr="00743644" w:rsidTr="00300841">
        <w:trPr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Č.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Typ porušení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Popis porušení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Sazba finanční opravy</w:t>
            </w:r>
          </w:p>
        </w:tc>
      </w:tr>
      <w:tr w:rsidR="00F3762E" w:rsidRPr="00743644" w:rsidTr="00300841">
        <w:trPr>
          <w:trHeight w:val="35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Změna kvalifikačních předpokladů po otevření obálek s nabídkami nebo žádostmi o účast vedoucí k neoprávněnému přijetí nabídek.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Kvalifikační předpoklady byly změněny ve fázi posouzení kvalifikace, což má vliv na splnění kvalifikace jednotlivými dodavateli - splnění kvalifikace dodavateli, kteří by ji dle zadávacích podmínek nesplňovali.</w:t>
            </w:r>
          </w:p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Vztahuje se i na případy, kdy zadavatel nevyloučí uchazeče, který měl být dle zadávacích podmínek vyloučen.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Korekce 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Změna kvalifikačních předpokladů po otevření obálek s nabídkami nebo žádostmi o účast vedoucí k neoprávněnému vyloučení nabídek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Kvalifikační předpokladů byly změněny ve fázi posouzení kvalifikace, což má vliv na splnění kvalifikace jednotlivými dodavateli - nesplnění kvalifikace dodavateli, kteří by ji dle zadávacích podmínek splňovali.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Korekce 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Posuzování kvalifikace či hodnocení nabídek podle jiných kvalifikačních předpokladů či hodnotících kritérií, než byly uvedeny v zadávacích podmínkách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Při hodnocení nabídek byla použita jiná hodnotící kritéria (případně sub-kritéria nebo jejich váhy), než byla uvedena v zadávacích podmínkách.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Korekce 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Nezákonné nebo netransparentní posouzení a/nebo hodnocení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nabídek, či nerovný přístup k uchazečům.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 xml:space="preserve">Dokumentace o průběhu zadávacího řízení neexistuje nebo neobsahuje všechny náležitosti vyžadované ZVZ. Nebo způsob posouzení a hodnocení nabídek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neodpovídal zákonným ustanovením (např. neustanovení hodnotící komise).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Korekce 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% s ohledem na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malou závažnost porušení</w:t>
            </w:r>
          </w:p>
        </w:tc>
      </w:tr>
      <w:tr w:rsidR="00F3762E" w:rsidRPr="00743644" w:rsidTr="00300841">
        <w:trPr>
          <w:trHeight w:val="88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Úprava nabídky po jejím otevření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Zadavatel umožní uchazeči upravit nabídku po jejím otevření.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Korekce 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Jednání o nabídkách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Zadavatel v otevřeném nebo užším řízení jedná s uchazečem o nabídce způsobem, který není v souladu s původními zadávacími podmínkami. 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Korekce 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Podstatná změna zadávacích podmínek v jednacím řízení s uveřejněním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Zadavatel v jednacím řízení s uveřejněním v průběhu jednání o nabídkách podstatně změní původní zadávací podmínky.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Korekce 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Vyřazení nabídky obsahující mimořádně nízkou nabídkovou cenu bez umožnění jejího zdůvodnění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Vyřazení nabídky obsahující mimořádně nízkou nabídkovou cenu bez umožnění jejího zdůvodnění.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</w:tc>
      </w:tr>
      <w:tr w:rsidR="00F3762E" w:rsidRPr="00743644" w:rsidTr="00300841">
        <w:trPr>
          <w:trHeight w:val="6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tabs>
                <w:tab w:val="center" w:pos="4153"/>
                <w:tab w:val="right" w:pos="8306"/>
              </w:tabs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Střet zájmů či zvýhodnění některého dodavatele nebo některých dodavatelů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pStyle w:val="Odstavecseseznamem"/>
              <w:numPr>
                <w:ilvl w:val="0"/>
                <w:numId w:val="1"/>
              </w:numPr>
              <w:tabs>
                <w:tab w:val="center" w:pos="340"/>
                <w:tab w:val="right" w:pos="8306"/>
              </w:tabs>
              <w:suppressAutoHyphens/>
              <w:spacing w:after="240"/>
              <w:ind w:left="57" w:firstLine="2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Pokud je střet zájmu shledán pravomocným rozhodnutím soudu.</w:t>
            </w:r>
          </w:p>
          <w:p w:rsidR="00F3762E" w:rsidRPr="00743644" w:rsidRDefault="00F3762E" w:rsidP="00300841">
            <w:pPr>
              <w:pStyle w:val="Odstavecseseznamem"/>
              <w:tabs>
                <w:tab w:val="center" w:pos="4153"/>
                <w:tab w:val="right" w:pos="8306"/>
              </w:tabs>
              <w:suppressAutoHyphens/>
              <w:spacing w:after="240"/>
              <w:ind w:left="57" w:firstLine="20"/>
              <w:rPr>
                <w:rFonts w:asciiTheme="minorHAnsi" w:hAnsiTheme="minorHAnsi" w:cs="Times New Roman"/>
                <w:snapToGrid w:val="0"/>
                <w:color w:val="000000"/>
              </w:rPr>
            </w:pPr>
          </w:p>
          <w:p w:rsidR="00F3762E" w:rsidRPr="00743644" w:rsidRDefault="00F3762E" w:rsidP="00300841">
            <w:pPr>
              <w:pStyle w:val="Odstavecseseznamem"/>
              <w:numPr>
                <w:ilvl w:val="0"/>
                <w:numId w:val="1"/>
              </w:numPr>
              <w:tabs>
                <w:tab w:val="center" w:pos="340"/>
                <w:tab w:val="right" w:pos="8306"/>
              </w:tabs>
              <w:suppressAutoHyphens/>
              <w:spacing w:after="240"/>
              <w:ind w:left="57" w:firstLine="2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Pokud jsou v průběhu zadávacích podmínek některému dodavateli nebo některým dodavatelům poskytnuty informace, které nejsou poskytnuty jiným, případně jsou některý dodavatel nebo někteří dodavatelé jiným způsobem zvýhodněni a tyto skutečnosti mohou mít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vliv na výběr nejvhodnější nabídky.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A) 100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v případě střetu zájmů.</w:t>
            </w:r>
          </w:p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</w:p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B) 100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v případě zvýhodnění některého z uchazečů s možností snížení na 25% s ohledem na nižší závažnost porušení.</w:t>
            </w:r>
          </w:p>
        </w:tc>
      </w:tr>
    </w:tbl>
    <w:p w:rsidR="00F3762E" w:rsidRPr="00743644" w:rsidRDefault="00F3762E" w:rsidP="00F3762E">
      <w:pPr>
        <w:suppressAutoHyphens/>
        <w:spacing w:after="240"/>
        <w:rPr>
          <w:rFonts w:asciiTheme="minorHAnsi" w:hAnsiTheme="minorHAnsi" w:cs="Times New Roman"/>
          <w:snapToGrid w:val="0"/>
          <w:color w:val="000000"/>
        </w:rPr>
      </w:pPr>
    </w:p>
    <w:p w:rsidR="00F3762E" w:rsidRPr="00743644" w:rsidRDefault="00F3762E" w:rsidP="00F3762E">
      <w:pPr>
        <w:pStyle w:val="Nadpis3"/>
        <w:rPr>
          <w:rFonts w:asciiTheme="minorHAnsi" w:hAnsiTheme="minorHAnsi" w:cs="Times New Roman"/>
          <w:bCs w:val="0"/>
          <w:smallCaps w:val="0"/>
          <w:snapToGrid w:val="0"/>
          <w:color w:val="000000"/>
          <w:sz w:val="22"/>
          <w:szCs w:val="22"/>
        </w:rPr>
      </w:pPr>
      <w:r w:rsidRPr="00743644">
        <w:rPr>
          <w:rFonts w:asciiTheme="minorHAnsi" w:hAnsiTheme="minorHAnsi" w:cs="Times New Roman"/>
          <w:bCs w:val="0"/>
          <w:smallCaps w:val="0"/>
          <w:snapToGrid w:val="0"/>
          <w:color w:val="000000"/>
          <w:sz w:val="22"/>
          <w:szCs w:val="22"/>
        </w:rPr>
        <w:t>Plnění zakázky</w:t>
      </w:r>
    </w:p>
    <w:tbl>
      <w:tblPr>
        <w:tblW w:w="0" w:type="auto"/>
        <w:tblInd w:w="-5" w:type="dxa"/>
        <w:tblLook w:val="0000" w:firstRow="0" w:lastRow="0" w:firstColumn="0" w:lastColumn="0" w:noHBand="0" w:noVBand="0"/>
      </w:tblPr>
      <w:tblGrid>
        <w:gridCol w:w="495"/>
        <w:gridCol w:w="1905"/>
        <w:gridCol w:w="4099"/>
        <w:gridCol w:w="2794"/>
      </w:tblGrid>
      <w:tr w:rsidR="00F3762E" w:rsidRPr="00743644" w:rsidTr="00300841">
        <w:trPr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Č.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Typ porušení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Popis porušení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Sazba finanční opravy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Podstatná změna smlouvy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tabs>
                <w:tab w:val="num" w:pos="720"/>
                <w:tab w:val="num" w:pos="1440"/>
              </w:tabs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Podstatná změna smlouvy ve smyslu ZVZ.</w:t>
            </w:r>
          </w:p>
          <w:p w:rsidR="00F3762E" w:rsidRPr="00743644" w:rsidRDefault="00F3762E" w:rsidP="00300841">
            <w:pPr>
              <w:tabs>
                <w:tab w:val="num" w:pos="720"/>
                <w:tab w:val="num" w:pos="1440"/>
              </w:tabs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z hodnoty zakázky,</w:t>
            </w:r>
          </w:p>
          <w:p w:rsidR="00F3762E" w:rsidRPr="00743644" w:rsidRDefault="00F3762E" w:rsidP="00FC1AE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a zároveň</w:t>
            </w:r>
            <w:r w:rsidR="00FC1AE1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celá hodnota případného navýšení zakázky, které bylo podstatnou změnou smlouvy provedeno.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762E" w:rsidRPr="00743644" w:rsidRDefault="00F3762E" w:rsidP="00300841">
            <w:pPr>
              <w:tabs>
                <w:tab w:val="left" w:pos="2302"/>
              </w:tabs>
              <w:suppressAutoHyphens/>
              <w:snapToGrid w:val="0"/>
              <w:spacing w:after="240"/>
              <w:jc w:val="left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Snížení rozsahu smlouvy na plnění veřejné zakázky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762E" w:rsidRPr="00743644" w:rsidRDefault="00F3762E" w:rsidP="00300841">
            <w:pPr>
              <w:tabs>
                <w:tab w:val="num" w:pos="720"/>
                <w:tab w:val="num" w:pos="1440"/>
              </w:tabs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Snížení rozsahu smlouvy na plnění veřejné zakázky, které by mohlo mít vliv na výběr nejvhodnější nabídky.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Celou částku, o kterou byla snížena hodnota veřejné zakázky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ootnoteReference w:id="1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,</w:t>
            </w:r>
          </w:p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a zároveň</w:t>
            </w:r>
          </w:p>
          <w:p w:rsidR="00F3762E" w:rsidRPr="00743644" w:rsidRDefault="00F3762E" w:rsidP="00E747E1">
            <w:pPr>
              <w:tabs>
                <w:tab w:val="left" w:pos="2302"/>
              </w:tabs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konečné hodnoty veřejné zakázky v případě, že změna hodnoty veřejné zakázky je podstatnou změnou smlouvy.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Zadání dodatečných stavebních prací nebo služeb při nesplnění podmínky objektivní nepředvídatelnosti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tabs>
                <w:tab w:val="left" w:pos="2302"/>
              </w:tabs>
              <w:suppressAutoHyphens/>
              <w:snapToGrid w:val="0"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Původní veřejná zakázka byla zadána v souladu se ZVZ, ale dodatečné stavební práce nebo služby byly zadány, aniž by byla naplněna podmínka objektivní nepředvídatelnosti prací. 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tabs>
                <w:tab w:val="left" w:pos="2302"/>
              </w:tabs>
              <w:suppressAutoHyphens/>
              <w:snapToGrid w:val="0"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100</w:t>
            </w:r>
            <w:r w:rsidR="00E747E1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z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> 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hodnoty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dodatečných prací.</w:t>
            </w:r>
          </w:p>
          <w:p w:rsidR="00F3762E" w:rsidRPr="00743644" w:rsidRDefault="00F3762E" w:rsidP="00300841">
            <w:pPr>
              <w:tabs>
                <w:tab w:val="left" w:pos="2302"/>
              </w:tabs>
              <w:suppressAutoHyphens/>
              <w:snapToGrid w:val="0"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V případě, že dodatečné práce nepřekročí prahovou hodnotu pro nadlimitní veřejnou zakázku, a zároveň 50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z hodnoty původní zakázky, může být korekce snížena na 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%.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Zadání dodatečných stavebních prací nebo služeb ve vyšším rozsahu než 30% původní zakázky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Původní veřejná zakázka byla zadána v souladu se ZVZ, ale rozsah dodatečných stavebních prací nebo služeb překročil zákonný limit.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100 % z částky přesahující 50 % hodnoty původní zakázky</w:t>
            </w:r>
          </w:p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25 % z částky přesahující zákonný limit až do 50 % hodnoty původní veřejné zakázky. </w:t>
            </w:r>
          </w:p>
        </w:tc>
      </w:tr>
    </w:tbl>
    <w:p w:rsidR="00F3762E" w:rsidRDefault="00F3762E" w:rsidP="00F3762E">
      <w:pPr>
        <w:spacing w:line="240" w:lineRule="auto"/>
        <w:jc w:val="left"/>
        <w:rPr>
          <w:rFonts w:ascii="Times New Roman" w:hAnsi="Times New Roman" w:cs="Times New Roman"/>
          <w:snapToGrid w:val="0"/>
          <w:sz w:val="24"/>
          <w:szCs w:val="24"/>
        </w:rPr>
      </w:pPr>
    </w:p>
    <w:p w:rsidR="00F3762E" w:rsidRPr="009F6C9F" w:rsidRDefault="00F3762E" w:rsidP="00F3762E">
      <w:pPr>
        <w:pStyle w:val="Nadpis3"/>
        <w:rPr>
          <w:rFonts w:asciiTheme="minorHAnsi" w:hAnsiTheme="minorHAnsi" w:cs="Times New Roman"/>
          <w:bCs w:val="0"/>
          <w:smallCaps w:val="0"/>
          <w:snapToGrid w:val="0"/>
          <w:sz w:val="22"/>
          <w:szCs w:val="22"/>
        </w:rPr>
      </w:pPr>
      <w:r w:rsidRPr="009F6C9F">
        <w:rPr>
          <w:rFonts w:asciiTheme="minorHAnsi" w:hAnsiTheme="minorHAnsi" w:cs="Times New Roman"/>
          <w:bCs w:val="0"/>
          <w:smallCaps w:val="0"/>
          <w:snapToGrid w:val="0"/>
          <w:sz w:val="22"/>
          <w:szCs w:val="22"/>
        </w:rPr>
        <w:t>Další pochybení</w:t>
      </w:r>
    </w:p>
    <w:tbl>
      <w:tblPr>
        <w:tblW w:w="0" w:type="auto"/>
        <w:tblInd w:w="-5" w:type="dxa"/>
        <w:tblLook w:val="0000" w:firstRow="0" w:lastRow="0" w:firstColumn="0" w:lastColumn="0" w:noHBand="0" w:noVBand="0"/>
      </w:tblPr>
      <w:tblGrid>
        <w:gridCol w:w="495"/>
        <w:gridCol w:w="1859"/>
        <w:gridCol w:w="4111"/>
        <w:gridCol w:w="2801"/>
      </w:tblGrid>
      <w:tr w:rsidR="00F3762E" w:rsidRPr="009F6C9F" w:rsidTr="00300841">
        <w:trPr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9F6C9F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Č.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9F6C9F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Typ porušení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9F6C9F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Popis porušení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9F6C9F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Sazba finanční opravy</w:t>
            </w:r>
          </w:p>
        </w:tc>
      </w:tr>
      <w:tr w:rsidR="00F3762E" w:rsidRPr="009F6C9F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9F6C9F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fldChar w:fldCharType="begin"/>
            </w:r>
            <w:r w:rsidRPr="009F6C9F">
              <w:rPr>
                <w:rFonts w:asciiTheme="minorHAnsi" w:hAnsiTheme="minorHAnsi" w:cs="Times New Roman"/>
                <w:snapToGrid w:val="0"/>
              </w:rPr>
              <w:instrText xml:space="preserve"> AUTONUM  \* Arabic </w:instrText>
            </w:r>
            <w:r w:rsidRPr="009F6C9F">
              <w:rPr>
                <w:rFonts w:asciiTheme="minorHAnsi" w:hAnsiTheme="minorHAnsi" w:cs="Times New Roman"/>
                <w:snapToGrid w:val="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9F6C9F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Netransparentní omezení počtu zájemců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9F6C9F" w:rsidRDefault="00F3762E" w:rsidP="00300841">
            <w:pPr>
              <w:tabs>
                <w:tab w:val="num" w:pos="720"/>
                <w:tab w:val="num" w:pos="1440"/>
              </w:tabs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Omezení počtu zájemců nebylo provedeno transparentním způsobem.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9F6C9F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 xml:space="preserve">25 % s možností snížení na 10 %, nejedná-li se </w:t>
            </w:r>
            <w:r w:rsidR="00FC1AE1">
              <w:rPr>
                <w:rFonts w:asciiTheme="minorHAnsi" w:hAnsiTheme="minorHAnsi" w:cs="Times New Roman"/>
                <w:snapToGrid w:val="0"/>
              </w:rPr>
              <w:br/>
            </w:r>
            <w:r w:rsidRPr="009F6C9F">
              <w:rPr>
                <w:rFonts w:asciiTheme="minorHAnsi" w:hAnsiTheme="minorHAnsi" w:cs="Times New Roman"/>
                <w:snapToGrid w:val="0"/>
              </w:rPr>
              <w:t>o nadlimitní veřejnou zakázku.</w:t>
            </w:r>
          </w:p>
        </w:tc>
      </w:tr>
      <w:tr w:rsidR="00F3762E" w:rsidRPr="009F6C9F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762E" w:rsidRPr="009F6C9F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fldChar w:fldCharType="begin"/>
            </w:r>
            <w:r w:rsidRPr="009F6C9F">
              <w:rPr>
                <w:rFonts w:asciiTheme="minorHAnsi" w:hAnsiTheme="minorHAnsi" w:cs="Times New Roman"/>
                <w:snapToGrid w:val="0"/>
              </w:rPr>
              <w:instrText xml:space="preserve"> AUTONUM  \* Arabic </w:instrText>
            </w:r>
            <w:r w:rsidRPr="009F6C9F">
              <w:rPr>
                <w:rFonts w:asciiTheme="minorHAnsi" w:hAnsiTheme="minorHAnsi" w:cs="Times New Roman"/>
                <w:snapToGrid w:val="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762E" w:rsidRPr="009F6C9F" w:rsidRDefault="00F3762E" w:rsidP="00300841">
            <w:pPr>
              <w:tabs>
                <w:tab w:val="left" w:pos="2302"/>
              </w:tabs>
              <w:suppressAutoHyphens/>
              <w:snapToGrid w:val="0"/>
              <w:spacing w:after="240"/>
              <w:jc w:val="left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Další porušení ZVZ případně závazných požadavků poskytovatele dotace.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762E" w:rsidRPr="009F6C9F" w:rsidRDefault="00F3762E" w:rsidP="00300841">
            <w:pPr>
              <w:tabs>
                <w:tab w:val="num" w:pos="720"/>
                <w:tab w:val="num" w:pos="1440"/>
              </w:tabs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Další porušení ZVZ či závazných požadavků poskytovatele dotace (např. Závazné pokyny pro žadatele a příjemce podpory z OPŽP, doporučení poskytovatele dotace a dalších orgánů zapojených do implementace a kontroly OPŽP), které není specifikováno v žádném z výše uvedených bodů.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762E" w:rsidRPr="009F6C9F" w:rsidRDefault="00F3762E" w:rsidP="00FC1AE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</w:rPr>
              <w:t xml:space="preserve"> </w:t>
            </w:r>
            <w:r w:rsidRPr="009F6C9F">
              <w:rPr>
                <w:rFonts w:asciiTheme="minorHAnsi" w:hAnsiTheme="minorHAnsi" w:cs="Times New Roman"/>
                <w:snapToGrid w:val="0"/>
              </w:rPr>
              <w:t>%</w:t>
            </w:r>
          </w:p>
          <w:p w:rsidR="00F3762E" w:rsidRPr="009F6C9F" w:rsidRDefault="00F3762E" w:rsidP="00FC1AE1">
            <w:pPr>
              <w:tabs>
                <w:tab w:val="left" w:pos="2302"/>
              </w:tabs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Korekce může být snížena na 10</w:t>
            </w:r>
            <w:r w:rsidR="007109AC">
              <w:rPr>
                <w:rFonts w:asciiTheme="minorHAnsi" w:hAnsiTheme="minorHAnsi" w:cs="Times New Roman"/>
                <w:snapToGrid w:val="0"/>
              </w:rPr>
              <w:t xml:space="preserve"> </w:t>
            </w:r>
            <w:r w:rsidRPr="009F6C9F">
              <w:rPr>
                <w:rFonts w:asciiTheme="minorHAnsi" w:hAnsiTheme="minorHAnsi" w:cs="Times New Roman"/>
                <w:snapToGrid w:val="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</w:rPr>
              <w:t xml:space="preserve"> </w:t>
            </w:r>
            <w:r w:rsidRPr="009F6C9F">
              <w:rPr>
                <w:rFonts w:asciiTheme="minorHAnsi" w:hAnsiTheme="minorHAnsi" w:cs="Times New Roman"/>
                <w:snapToGrid w:val="0"/>
              </w:rPr>
              <w:t>% s ohledem na malou závažnost porušení</w:t>
            </w:r>
          </w:p>
        </w:tc>
      </w:tr>
    </w:tbl>
    <w:p w:rsidR="00F3762E" w:rsidRPr="00F63526" w:rsidRDefault="00F3762E" w:rsidP="00F3762E">
      <w:pPr>
        <w:spacing w:line="240" w:lineRule="auto"/>
        <w:jc w:val="left"/>
        <w:rPr>
          <w:rFonts w:ascii="Times New Roman" w:hAnsi="Times New Roman" w:cs="Times New Roman"/>
          <w:snapToGrid w:val="0"/>
          <w:sz w:val="24"/>
          <w:szCs w:val="24"/>
        </w:rPr>
      </w:pPr>
    </w:p>
    <w:p w:rsidR="007F4F79" w:rsidRDefault="007F4F79"/>
    <w:sectPr w:rsidR="007F4F7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34FC" w:rsidRDefault="002A34FC" w:rsidP="00F3762E">
      <w:pPr>
        <w:spacing w:line="240" w:lineRule="auto"/>
      </w:pPr>
      <w:r>
        <w:separator/>
      </w:r>
    </w:p>
  </w:endnote>
  <w:endnote w:type="continuationSeparator" w:id="0">
    <w:p w:rsidR="002A34FC" w:rsidRDefault="002A34FC" w:rsidP="00F376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1416277"/>
      <w:docPartObj>
        <w:docPartGallery w:val="Page Numbers (Bottom of Page)"/>
        <w:docPartUnique/>
      </w:docPartObj>
    </w:sdtPr>
    <w:sdtEndPr/>
    <w:sdtContent>
      <w:p w:rsidR="00325416" w:rsidRDefault="0032541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7CBD">
          <w:rPr>
            <w:noProof/>
          </w:rPr>
          <w:t>1</w:t>
        </w:r>
        <w:r>
          <w:fldChar w:fldCharType="end"/>
        </w:r>
      </w:p>
    </w:sdtContent>
  </w:sdt>
  <w:p w:rsidR="00325416" w:rsidRDefault="0032541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34FC" w:rsidRDefault="002A34FC" w:rsidP="00F3762E">
      <w:pPr>
        <w:spacing w:line="240" w:lineRule="auto"/>
      </w:pPr>
      <w:r>
        <w:separator/>
      </w:r>
    </w:p>
  </w:footnote>
  <w:footnote w:type="continuationSeparator" w:id="0">
    <w:p w:rsidR="002A34FC" w:rsidRDefault="002A34FC" w:rsidP="00F3762E">
      <w:pPr>
        <w:spacing w:line="240" w:lineRule="auto"/>
      </w:pPr>
      <w:r>
        <w:continuationSeparator/>
      </w:r>
    </w:p>
  </w:footnote>
  <w:footnote w:id="1">
    <w:p w:rsidR="00F3762E" w:rsidRPr="00743644" w:rsidRDefault="00F3762E" w:rsidP="00C14764">
      <w:pPr>
        <w:pStyle w:val="Textpoznpodarou"/>
        <w:ind w:left="142" w:hanging="142"/>
        <w:rPr>
          <w:rFonts w:asciiTheme="minorHAnsi" w:hAnsiTheme="minorHAnsi"/>
        </w:rPr>
      </w:pPr>
      <w:r>
        <w:rPr>
          <w:rStyle w:val="Znakapoznpodarou"/>
        </w:rPr>
        <w:footnoteRef/>
      </w:r>
      <w:r>
        <w:t xml:space="preserve"> </w:t>
      </w:r>
      <w:r w:rsidRPr="00A0610A">
        <w:rPr>
          <w:rFonts w:asciiTheme="minorHAnsi" w:hAnsiTheme="minorHAnsi"/>
          <w:sz w:val="20"/>
          <w:szCs w:val="20"/>
        </w:rPr>
        <w:t>Odvod části dotace, o kterou byla snížena hodnota veřejné zakázky, se neuplatní, pokud tato část dotace nebyla příjemci vyplacena.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0CC" w:rsidRPr="00743644" w:rsidRDefault="003430CC" w:rsidP="00743644">
    <w:pPr>
      <w:pStyle w:val="Zkladntext"/>
      <w:jc w:val="both"/>
      <w:rPr>
        <w:rFonts w:asciiTheme="minorHAnsi" w:hAnsiTheme="minorHAnsi"/>
        <w:sz w:val="22"/>
        <w:szCs w:val="22"/>
      </w:rPr>
    </w:pPr>
    <w:r w:rsidRPr="00743644">
      <w:rPr>
        <w:rFonts w:asciiTheme="minorHAnsi" w:hAnsiTheme="minorHAnsi"/>
        <w:sz w:val="22"/>
        <w:szCs w:val="22"/>
      </w:rPr>
      <w:t>Příloha č. 1</w:t>
    </w:r>
    <w:r w:rsidR="00743644" w:rsidRPr="00743644">
      <w:rPr>
        <w:rFonts w:asciiTheme="minorHAnsi" w:hAnsiTheme="minorHAnsi"/>
        <w:sz w:val="22"/>
        <w:szCs w:val="22"/>
      </w:rPr>
      <w:t xml:space="preserve"> - Smlouva o poskytnutí podpory</w:t>
    </w:r>
    <w:r w:rsidR="00743644">
      <w:rPr>
        <w:rFonts w:asciiTheme="minorHAnsi" w:hAnsiTheme="minorHAnsi"/>
        <w:sz w:val="22"/>
        <w:szCs w:val="22"/>
      </w:rPr>
      <w:t xml:space="preserve"> </w:t>
    </w:r>
    <w:r w:rsidR="00743644" w:rsidRPr="00743644">
      <w:rPr>
        <w:rFonts w:asciiTheme="minorHAnsi" w:hAnsiTheme="minorHAnsi"/>
        <w:sz w:val="22"/>
        <w:szCs w:val="22"/>
      </w:rPr>
      <w:t>ze Státního fondu životního prostředí České republiky</w:t>
    </w:r>
  </w:p>
  <w:p w:rsidR="003430CC" w:rsidRDefault="003430C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13262B"/>
    <w:multiLevelType w:val="hybridMultilevel"/>
    <w:tmpl w:val="36085BF4"/>
    <w:lvl w:ilvl="0" w:tplc="3E48D3D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6DA586C"/>
    <w:multiLevelType w:val="hybridMultilevel"/>
    <w:tmpl w:val="46C8F324"/>
    <w:lvl w:ilvl="0" w:tplc="3E48D3D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62E"/>
    <w:rsid w:val="000F7A22"/>
    <w:rsid w:val="002907C7"/>
    <w:rsid w:val="00295BA9"/>
    <w:rsid w:val="002A34FC"/>
    <w:rsid w:val="002B3D59"/>
    <w:rsid w:val="00325416"/>
    <w:rsid w:val="003430CC"/>
    <w:rsid w:val="004E174C"/>
    <w:rsid w:val="004F2735"/>
    <w:rsid w:val="006556EA"/>
    <w:rsid w:val="007109AC"/>
    <w:rsid w:val="00743644"/>
    <w:rsid w:val="007E3CC3"/>
    <w:rsid w:val="007F13F4"/>
    <w:rsid w:val="007F3928"/>
    <w:rsid w:val="007F4F79"/>
    <w:rsid w:val="00885357"/>
    <w:rsid w:val="009D107D"/>
    <w:rsid w:val="009F6C9F"/>
    <w:rsid w:val="00A0427B"/>
    <w:rsid w:val="00A0610A"/>
    <w:rsid w:val="00BA65E8"/>
    <w:rsid w:val="00C14764"/>
    <w:rsid w:val="00C46980"/>
    <w:rsid w:val="00D42991"/>
    <w:rsid w:val="00DA0F91"/>
    <w:rsid w:val="00E747E1"/>
    <w:rsid w:val="00EC7CBD"/>
    <w:rsid w:val="00F3762E"/>
    <w:rsid w:val="00FC1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3762E"/>
    <w:pPr>
      <w:spacing w:after="0" w:line="312" w:lineRule="auto"/>
      <w:jc w:val="both"/>
    </w:pPr>
    <w:rPr>
      <w:rFonts w:ascii="Arial" w:eastAsia="Times New Roman" w:hAnsi="Arial" w:cs="Arial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F3762E"/>
    <w:pPr>
      <w:keepNext/>
      <w:pBdr>
        <w:bottom w:val="single" w:sz="4" w:space="1" w:color="auto"/>
      </w:pBdr>
      <w:spacing w:before="240" w:after="60"/>
      <w:outlineLvl w:val="0"/>
    </w:pPr>
    <w:rPr>
      <w:b/>
      <w:bCs/>
      <w:smallCaps/>
      <w:kern w:val="32"/>
      <w:sz w:val="30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F3762E"/>
    <w:pPr>
      <w:keepNext/>
      <w:spacing w:before="240" w:after="60"/>
      <w:outlineLvl w:val="2"/>
    </w:pPr>
    <w:rPr>
      <w:b/>
      <w:bCs/>
      <w:smallCap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F3762E"/>
    <w:rPr>
      <w:rFonts w:ascii="Arial" w:eastAsia="Times New Roman" w:hAnsi="Arial" w:cs="Arial"/>
      <w:b/>
      <w:bCs/>
      <w:smallCaps/>
      <w:kern w:val="32"/>
      <w:sz w:val="30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F3762E"/>
    <w:rPr>
      <w:rFonts w:ascii="Arial" w:eastAsia="Times New Roman" w:hAnsi="Arial" w:cs="Arial"/>
      <w:b/>
      <w:bCs/>
      <w:smallCaps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rsid w:val="00F3762E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3762E"/>
    <w:rPr>
      <w:rFonts w:ascii="Arial" w:eastAsia="Times New Roman" w:hAnsi="Arial" w:cs="Arial"/>
      <w:lang w:eastAsia="cs-CZ"/>
    </w:rPr>
  </w:style>
  <w:style w:type="character" w:styleId="Znakapoznpodarou">
    <w:name w:val="footnote reference"/>
    <w:basedOn w:val="Standardnpsmoodstavce"/>
    <w:uiPriority w:val="99"/>
    <w:semiHidden/>
    <w:rsid w:val="00F3762E"/>
    <w:rPr>
      <w:rFonts w:cs="Times New Roman"/>
      <w:vertAlign w:val="superscript"/>
    </w:rPr>
  </w:style>
  <w:style w:type="paragraph" w:styleId="Odstavecseseznamem">
    <w:name w:val="List Paragraph"/>
    <w:basedOn w:val="Normln"/>
    <w:link w:val="OdstavecseseznamemChar"/>
    <w:uiPriority w:val="99"/>
    <w:qFormat/>
    <w:rsid w:val="00F3762E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F3762E"/>
    <w:rPr>
      <w:rFonts w:ascii="Arial" w:eastAsia="Times New Roman" w:hAnsi="Arial" w:cs="Arial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430C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430CC"/>
    <w:rPr>
      <w:rFonts w:ascii="Arial" w:eastAsia="Times New Roman" w:hAnsi="Arial" w:cs="Arial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430C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430CC"/>
    <w:rPr>
      <w:rFonts w:ascii="Arial" w:eastAsia="Times New Roman" w:hAnsi="Arial" w:cs="Arial"/>
      <w:lang w:eastAsia="cs-CZ"/>
    </w:rPr>
  </w:style>
  <w:style w:type="paragraph" w:styleId="Zkladntext">
    <w:name w:val="Body Text"/>
    <w:basedOn w:val="Normln"/>
    <w:link w:val="ZkladntextChar"/>
    <w:rsid w:val="00743644"/>
    <w:pPr>
      <w:widowControl w:val="0"/>
      <w:spacing w:line="240" w:lineRule="auto"/>
      <w:jc w:val="left"/>
    </w:pPr>
    <w:rPr>
      <w:rFonts w:ascii="Times New Roman" w:hAnsi="Times New Roman" w:cs="Times New Roman"/>
      <w:snapToGrid w:val="0"/>
      <w:color w:val="000000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743644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character" w:styleId="Hypertextovodkaz">
    <w:name w:val="Hyperlink"/>
    <w:basedOn w:val="Standardnpsmoodstavce"/>
    <w:rsid w:val="00743644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A0F9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0F91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3762E"/>
    <w:pPr>
      <w:spacing w:after="0" w:line="312" w:lineRule="auto"/>
      <w:jc w:val="both"/>
    </w:pPr>
    <w:rPr>
      <w:rFonts w:ascii="Arial" w:eastAsia="Times New Roman" w:hAnsi="Arial" w:cs="Arial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F3762E"/>
    <w:pPr>
      <w:keepNext/>
      <w:pBdr>
        <w:bottom w:val="single" w:sz="4" w:space="1" w:color="auto"/>
      </w:pBdr>
      <w:spacing w:before="240" w:after="60"/>
      <w:outlineLvl w:val="0"/>
    </w:pPr>
    <w:rPr>
      <w:b/>
      <w:bCs/>
      <w:smallCaps/>
      <w:kern w:val="32"/>
      <w:sz w:val="30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F3762E"/>
    <w:pPr>
      <w:keepNext/>
      <w:spacing w:before="240" w:after="60"/>
      <w:outlineLvl w:val="2"/>
    </w:pPr>
    <w:rPr>
      <w:b/>
      <w:bCs/>
      <w:smallCap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F3762E"/>
    <w:rPr>
      <w:rFonts w:ascii="Arial" w:eastAsia="Times New Roman" w:hAnsi="Arial" w:cs="Arial"/>
      <w:b/>
      <w:bCs/>
      <w:smallCaps/>
      <w:kern w:val="32"/>
      <w:sz w:val="30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F3762E"/>
    <w:rPr>
      <w:rFonts w:ascii="Arial" w:eastAsia="Times New Roman" w:hAnsi="Arial" w:cs="Arial"/>
      <w:b/>
      <w:bCs/>
      <w:smallCaps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rsid w:val="00F3762E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3762E"/>
    <w:rPr>
      <w:rFonts w:ascii="Arial" w:eastAsia="Times New Roman" w:hAnsi="Arial" w:cs="Arial"/>
      <w:lang w:eastAsia="cs-CZ"/>
    </w:rPr>
  </w:style>
  <w:style w:type="character" w:styleId="Znakapoznpodarou">
    <w:name w:val="footnote reference"/>
    <w:basedOn w:val="Standardnpsmoodstavce"/>
    <w:uiPriority w:val="99"/>
    <w:semiHidden/>
    <w:rsid w:val="00F3762E"/>
    <w:rPr>
      <w:rFonts w:cs="Times New Roman"/>
      <w:vertAlign w:val="superscript"/>
    </w:rPr>
  </w:style>
  <w:style w:type="paragraph" w:styleId="Odstavecseseznamem">
    <w:name w:val="List Paragraph"/>
    <w:basedOn w:val="Normln"/>
    <w:link w:val="OdstavecseseznamemChar"/>
    <w:uiPriority w:val="99"/>
    <w:qFormat/>
    <w:rsid w:val="00F3762E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F3762E"/>
    <w:rPr>
      <w:rFonts w:ascii="Arial" w:eastAsia="Times New Roman" w:hAnsi="Arial" w:cs="Arial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430C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430CC"/>
    <w:rPr>
      <w:rFonts w:ascii="Arial" w:eastAsia="Times New Roman" w:hAnsi="Arial" w:cs="Arial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430C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430CC"/>
    <w:rPr>
      <w:rFonts w:ascii="Arial" w:eastAsia="Times New Roman" w:hAnsi="Arial" w:cs="Arial"/>
      <w:lang w:eastAsia="cs-CZ"/>
    </w:rPr>
  </w:style>
  <w:style w:type="paragraph" w:styleId="Zkladntext">
    <w:name w:val="Body Text"/>
    <w:basedOn w:val="Normln"/>
    <w:link w:val="ZkladntextChar"/>
    <w:rsid w:val="00743644"/>
    <w:pPr>
      <w:widowControl w:val="0"/>
      <w:spacing w:line="240" w:lineRule="auto"/>
      <w:jc w:val="left"/>
    </w:pPr>
    <w:rPr>
      <w:rFonts w:ascii="Times New Roman" w:hAnsi="Times New Roman" w:cs="Times New Roman"/>
      <w:snapToGrid w:val="0"/>
      <w:color w:val="000000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743644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character" w:styleId="Hypertextovodkaz">
    <w:name w:val="Hyperlink"/>
    <w:basedOn w:val="Standardnpsmoodstavce"/>
    <w:rsid w:val="00743644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A0F9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0F91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1590</Words>
  <Characters>9385</Characters>
  <Application>Microsoft Office Word</Application>
  <DocSecurity>0</DocSecurity>
  <Lines>78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SFZP</Company>
  <LinksUpToDate>false</LinksUpToDate>
  <CharactersWithSpaces>10954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Tomankova Lucie</dc:creator>
  <cp:lastModifiedBy>Borkova Ruth</cp:lastModifiedBy>
  <cp:revision>2</cp:revision>
  <cp:lastPrinted>2016-03-09T09:39:00Z</cp:lastPrinted>
  <dcterms:created xsi:type="dcterms:W3CDTF">2017-08-07T13:45:00Z</dcterms:created>
  <dcterms:modified xsi:type="dcterms:W3CDTF">2017-08-07T13:45:00Z</dcterms:modified>
</cp:coreProperties>
</file>