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67" w:rsidRPr="0097536A" w:rsidRDefault="002559BC" w:rsidP="00114867">
      <w:pPr>
        <w:rPr>
          <w:rFonts w:ascii="IBM Plex Sans Light" w:hAnsi="IBM Plex Sans Light"/>
          <w:noProof/>
          <w:lang w:eastAsia="cs-CZ"/>
        </w:rPr>
      </w:pPr>
      <w:r w:rsidRPr="0097536A">
        <w:rPr>
          <w:rFonts w:ascii="IBM Plex Sans Light" w:hAnsi="IBM Plex Sans Light"/>
          <w:noProof/>
          <w:lang w:eastAsia="cs-CZ"/>
        </w:rPr>
        <w:drawing>
          <wp:anchor distT="0" distB="0" distL="114300" distR="114300" simplePos="0" relativeHeight="251653120" behindDoc="0" locked="0" layoutInCell="1" allowOverlap="1" wp14:anchorId="369D1EAD" wp14:editId="33759840">
            <wp:simplePos x="0" y="0"/>
            <wp:positionH relativeFrom="column">
              <wp:posOffset>-313595</wp:posOffset>
            </wp:positionH>
            <wp:positionV relativeFrom="paragraph">
              <wp:posOffset>0</wp:posOffset>
            </wp:positionV>
            <wp:extent cx="3826510" cy="1086485"/>
            <wp:effectExtent l="0" t="0" r="2540" b="0"/>
            <wp:wrapSquare wrapText="bothSides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b_infis_logo_v1_0_CMYK_horizontal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497" w:rsidRPr="0097536A" w:rsidRDefault="008D5497" w:rsidP="008D5497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</w:pPr>
    </w:p>
    <w:p w:rsidR="008D5497" w:rsidRPr="0097536A" w:rsidRDefault="008D5497" w:rsidP="008D5497">
      <w:pPr>
        <w:rPr>
          <w:rFonts w:ascii="IBM Plex Sans Light" w:hAnsi="IBM Plex Sans Light"/>
          <w:lang w:eastAsia="cs-CZ"/>
        </w:rPr>
      </w:pPr>
    </w:p>
    <w:p w:rsidR="002559BC" w:rsidRPr="0097536A" w:rsidRDefault="002559BC" w:rsidP="0019785F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</w:pPr>
    </w:p>
    <w:p w:rsidR="002559BC" w:rsidRPr="0097536A" w:rsidRDefault="002559BC" w:rsidP="0019785F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</w:pPr>
    </w:p>
    <w:p w:rsidR="002559BC" w:rsidRPr="0097536A" w:rsidRDefault="002559BC" w:rsidP="0019785F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</w:pPr>
    </w:p>
    <w:p w:rsidR="0080375A" w:rsidRPr="0097536A" w:rsidRDefault="00B42D50" w:rsidP="0080375A">
      <w:pPr>
        <w:rPr>
          <w:rFonts w:ascii="IBM Plex Sans Light" w:hAnsi="IBM Plex Sans Light"/>
          <w:lang w:eastAsia="cs-CZ"/>
        </w:rPr>
      </w:pPr>
      <w:r w:rsidRPr="0097536A">
        <w:rPr>
          <w:rFonts w:ascii="IBM Plex Sans Light" w:hAnsi="IBM Plex Sans Light"/>
          <w:lang w:eastAsia="cs-CZ"/>
        </w:rPr>
        <w:t>čj. SŠINFIS/</w:t>
      </w:r>
      <w:r w:rsidR="007C6FD1">
        <w:rPr>
          <w:rFonts w:ascii="IBM Plex Sans Light" w:hAnsi="IBM Plex Sans Light"/>
          <w:lang w:eastAsia="cs-CZ"/>
        </w:rPr>
        <w:t>187</w:t>
      </w:r>
      <w:r w:rsidRPr="0097536A">
        <w:rPr>
          <w:rFonts w:ascii="IBM Plex Sans Light" w:hAnsi="IBM Plex Sans Light"/>
          <w:lang w:eastAsia="cs-CZ"/>
        </w:rPr>
        <w:t>/2</w:t>
      </w:r>
      <w:r w:rsidR="007C6FD1">
        <w:rPr>
          <w:rFonts w:ascii="IBM Plex Sans Light" w:hAnsi="IBM Plex Sans Light"/>
          <w:lang w:eastAsia="cs-CZ"/>
        </w:rPr>
        <w:t>5</w:t>
      </w:r>
    </w:p>
    <w:p w:rsidR="0080375A" w:rsidRPr="0097536A" w:rsidRDefault="0080375A" w:rsidP="0080375A">
      <w:pPr>
        <w:rPr>
          <w:rFonts w:ascii="IBM Plex Sans Light" w:hAnsi="IBM Plex Sans Light"/>
          <w:lang w:eastAsia="cs-CZ"/>
        </w:rPr>
      </w:pPr>
    </w:p>
    <w:p w:rsidR="0080375A" w:rsidRPr="0097536A" w:rsidRDefault="009F7676" w:rsidP="00F415C8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</w:pPr>
      <w:r w:rsidRPr="0097536A">
        <w:rPr>
          <w:rFonts w:ascii="IBM Plex Sans Light" w:hAnsi="IBM Plex Sans Light" w:cs="Lato"/>
          <w:bCs w:val="0"/>
          <w:color w:val="1E46A0"/>
          <w:sz w:val="24"/>
          <w:szCs w:val="24"/>
          <w:lang w:eastAsia="cs-CZ"/>
        </w:rPr>
        <w:t xml:space="preserve">Smlouva o zajištění přepravních služeb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uzavřená podle § 1746 zákona č. 89/2012, Sb., občanský zákoník, v platném znění mezi smluvními stranami: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 xml:space="preserve">Střední škola informatiky a finančních služeb, Plzeň, Klatovská 200 G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Klatovská 200 G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 xml:space="preserve">301 00 Plzeň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IČO: 00574406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zastoupená Přemyslem Šmídlem, ředitelem školy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dále jen „Objednatel“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 xml:space="preserve">a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SEKO BUS Plzeň s.r.o.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Mikulášská třída 266/12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 xml:space="preserve">326 00 Plzeň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IČO: 26401177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B4127A">
        <w:rPr>
          <w:rFonts w:ascii="IBM Plex Sans Light" w:hAnsi="IBM Plex Sans Light" w:cs="Tahoma"/>
          <w:szCs w:val="20"/>
        </w:rPr>
        <w:t xml:space="preserve">zastoupená </w:t>
      </w:r>
      <w:r w:rsidR="00B4127A" w:rsidRPr="00B4127A">
        <w:rPr>
          <w:rFonts w:ascii="IBM Plex Sans Light" w:hAnsi="IBM Plex Sans Light" w:cs="Tahoma"/>
          <w:szCs w:val="20"/>
        </w:rPr>
        <w:t xml:space="preserve">Romanem Sedláčkem, jednatelem </w:t>
      </w: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 xml:space="preserve">dále jen „Poskytovatel“ </w:t>
      </w: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9F7676" w:rsidRPr="0097536A" w:rsidRDefault="009F7676" w:rsidP="009F7676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A/ Základní ustanovení </w:t>
      </w:r>
    </w:p>
    <w:p w:rsidR="009F7676" w:rsidRPr="0097536A" w:rsidRDefault="009F7676" w:rsidP="009F767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Smluvní strany prohlašují, že výše uvedené údaje o smluvních stranách jsou v souladu s právní skutečností v době uzavření smlouvy správné. Smluvní strany se zavazují, že změny dotčených údajů oznámí bez prodlení druhé smluvní straně. </w:t>
      </w:r>
    </w:p>
    <w:p w:rsidR="009F7676" w:rsidRPr="0097536A" w:rsidRDefault="008E3730" w:rsidP="0080375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>Smlouva je uzavřená na základě vyhlášené veřejné zakázky malého rozsahu, vyhlášené Objednatelem dne 17. října 2024.</w:t>
      </w:r>
    </w:p>
    <w:p w:rsidR="008E3730" w:rsidRDefault="008E3730" w:rsidP="0080375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>Poskytovatel prohlašuje</w:t>
      </w:r>
      <w:r w:rsidR="00C46658">
        <w:rPr>
          <w:rFonts w:ascii="IBM Plex Sans Light" w:hAnsi="IBM Plex Sans Light" w:cs="Tahoma"/>
          <w:color w:val="000000"/>
        </w:rPr>
        <w:t xml:space="preserve"> ohledně sjednaných </w:t>
      </w:r>
      <w:r w:rsidR="00C46658" w:rsidRPr="00C46658">
        <w:rPr>
          <w:rFonts w:ascii="IBM Plex Sans Light" w:hAnsi="IBM Plex Sans Light" w:cs="Tahoma"/>
          <w:b/>
          <w:color w:val="000000"/>
        </w:rPr>
        <w:t>pojištění</w:t>
      </w:r>
      <w:r w:rsidR="00C46658">
        <w:rPr>
          <w:rFonts w:ascii="IBM Plex Sans Light" w:hAnsi="IBM Plex Sans Light" w:cs="Tahoma"/>
          <w:color w:val="000000"/>
        </w:rPr>
        <w:t xml:space="preserve"> po celou dobu účinnost smlouvy: </w:t>
      </w:r>
    </w:p>
    <w:p w:rsidR="00C46658" w:rsidRPr="00C46658" w:rsidRDefault="00C46658" w:rsidP="00C46658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C46658">
        <w:rPr>
          <w:rFonts w:ascii="IBM Plex Sans Light" w:hAnsi="IBM Plex Sans Light" w:cs="Tahoma"/>
          <w:color w:val="000000"/>
        </w:rPr>
        <w:t>Společnost je pojištěna na „odpovědnost podnikatele a právnické osoby“, která kryje škody na majetku přepravovaných osob</w:t>
      </w:r>
    </w:p>
    <w:p w:rsidR="00C46658" w:rsidRPr="00C46658" w:rsidRDefault="00C46658" w:rsidP="00C46658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C46658">
        <w:rPr>
          <w:rFonts w:ascii="IBM Plex Sans Light" w:hAnsi="IBM Plex Sans Light" w:cs="Tahoma"/>
          <w:color w:val="000000"/>
        </w:rPr>
        <w:t>Všechna vozidla společnosti mají uzavřeno „Povinné ručení“, které kraje veškeré škody na životě a zdraví přepravovaných osob</w:t>
      </w:r>
    </w:p>
    <w:p w:rsidR="008E3730" w:rsidRPr="0097536A" w:rsidRDefault="008E3730" w:rsidP="0080375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>Po</w:t>
      </w:r>
      <w:r w:rsidR="00764194" w:rsidRPr="0097536A">
        <w:rPr>
          <w:rFonts w:ascii="IBM Plex Sans Light" w:hAnsi="IBM Plex Sans Light" w:cs="Tahoma"/>
          <w:color w:val="000000"/>
        </w:rPr>
        <w:t>s</w:t>
      </w:r>
      <w:r w:rsidRPr="0097536A">
        <w:rPr>
          <w:rFonts w:ascii="IBM Plex Sans Light" w:hAnsi="IBM Plex Sans Light" w:cs="Tahoma"/>
          <w:color w:val="000000"/>
        </w:rPr>
        <w:t xml:space="preserve">kytovatel prohlašuje, že je </w:t>
      </w:r>
      <w:r w:rsidRPr="00C46658">
        <w:rPr>
          <w:rFonts w:ascii="IBM Plex Sans Light" w:hAnsi="IBM Plex Sans Light" w:cs="Tahoma"/>
          <w:b/>
          <w:color w:val="000000"/>
        </w:rPr>
        <w:t>odborně způsobilý</w:t>
      </w:r>
      <w:r w:rsidRPr="0097536A">
        <w:rPr>
          <w:rFonts w:ascii="IBM Plex Sans Light" w:hAnsi="IBM Plex Sans Light" w:cs="Tahoma"/>
          <w:color w:val="000000"/>
        </w:rPr>
        <w:t xml:space="preserve"> k zajištění předmětu plnění podle této smlouvy, a to v celém jejím rozsahu.  </w:t>
      </w:r>
    </w:p>
    <w:p w:rsidR="00764194" w:rsidRPr="0097536A" w:rsidRDefault="00764194" w:rsidP="0080375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Předmětem této smlouvy je závazek Poskytovatele řádně a včas zajišťoval pro Objednatele autobusovou dopravu na základě dílčích objednávek. </w:t>
      </w: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B/ Předmět plnění </w:t>
      </w:r>
    </w:p>
    <w:p w:rsidR="00764194" w:rsidRPr="0097536A" w:rsidRDefault="00764194" w:rsidP="007641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Předmětem této Smlouvy je </w:t>
      </w:r>
      <w:r w:rsidRPr="00C46658">
        <w:rPr>
          <w:rFonts w:ascii="IBM Plex Sans Light" w:hAnsi="IBM Plex Sans Light" w:cs="Tahoma"/>
          <w:b/>
          <w:color w:val="000000"/>
        </w:rPr>
        <w:t>zajištění dopravy pro školu</w:t>
      </w:r>
      <w:r w:rsidRPr="0097536A">
        <w:rPr>
          <w:rFonts w:ascii="IBM Plex Sans Light" w:hAnsi="IBM Plex Sans Light" w:cs="Tahoma"/>
          <w:color w:val="000000"/>
        </w:rPr>
        <w:t xml:space="preserve"> na období od uzavření smlouvy do 30.6.2029. </w:t>
      </w:r>
    </w:p>
    <w:p w:rsidR="00764194" w:rsidRPr="0097536A" w:rsidRDefault="00764194" w:rsidP="007641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Doprava bude zajištěna dle dílčích objednávek Objednatele zaslaných na e-mail Poskytovatele </w:t>
      </w:r>
      <w:hyperlink r:id="rId12" w:history="1">
        <w:r w:rsidRPr="0097536A">
          <w:rPr>
            <w:rStyle w:val="Hypertextovodkaz"/>
            <w:rFonts w:ascii="IBM Plex Sans Light" w:hAnsi="IBM Plex Sans Light" w:cs="Tahoma"/>
          </w:rPr>
          <w:t>sekobus@sekobus.cz</w:t>
        </w:r>
      </w:hyperlink>
      <w:r w:rsidRPr="0097536A">
        <w:rPr>
          <w:rFonts w:ascii="IBM Plex Sans Light" w:hAnsi="IBM Plex Sans Light" w:cs="Tahoma"/>
          <w:color w:val="000000"/>
        </w:rPr>
        <w:t xml:space="preserve">. </w:t>
      </w:r>
    </w:p>
    <w:p w:rsidR="00764194" w:rsidRPr="0097536A" w:rsidRDefault="00764194" w:rsidP="007641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Poskytovatel objednávku potvrdí též na e-mail, ze kterého byla objednávka zaslána. </w:t>
      </w:r>
    </w:p>
    <w:p w:rsidR="00764194" w:rsidRPr="0097536A" w:rsidRDefault="00764194" w:rsidP="007641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V případě, že není možné dopravu v daný termín zajistit, zajistí službu od konkurenční firmy. </w:t>
      </w: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C/ Doba plnění </w:t>
      </w:r>
    </w:p>
    <w:p w:rsidR="00764194" w:rsidRPr="0097536A" w:rsidRDefault="00764194" w:rsidP="0076419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Plnění započne dnem uzavření smlouvy. </w:t>
      </w:r>
    </w:p>
    <w:p w:rsidR="00764194" w:rsidRPr="0097536A" w:rsidRDefault="00764194" w:rsidP="0076419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Smlouva se uzavírá na dobu určitou do 30.6.2029. </w:t>
      </w: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764194" w:rsidRPr="0097536A" w:rsidRDefault="00764194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D/ Cena služeb a platební podmínky </w:t>
      </w:r>
    </w:p>
    <w:p w:rsidR="00764194" w:rsidRPr="0097536A" w:rsidRDefault="00764194" w:rsidP="009753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>Na základě výběrového řízení byly vysoutěženy</w:t>
      </w:r>
      <w:r w:rsidR="0097536A" w:rsidRPr="0097536A">
        <w:rPr>
          <w:rFonts w:ascii="IBM Plex Sans Light" w:hAnsi="IBM Plex Sans Light" w:cs="Tahoma"/>
          <w:color w:val="000000"/>
        </w:rPr>
        <w:t xml:space="preserve"> </w:t>
      </w:r>
      <w:r w:rsidR="0097536A" w:rsidRPr="0097536A">
        <w:rPr>
          <w:rFonts w:ascii="IBM Plex Sans Light" w:hAnsi="IBM Plex Sans Light" w:cs="Tahoma"/>
          <w:b/>
          <w:color w:val="000000"/>
        </w:rPr>
        <w:t>smluvní</w:t>
      </w:r>
      <w:r w:rsidRPr="0097536A">
        <w:rPr>
          <w:rFonts w:ascii="IBM Plex Sans Light" w:hAnsi="IBM Plex Sans Light" w:cs="Tahoma"/>
          <w:b/>
          <w:color w:val="000000"/>
        </w:rPr>
        <w:t xml:space="preserve"> ceny</w:t>
      </w:r>
      <w:r w:rsidRPr="0097536A">
        <w:rPr>
          <w:rFonts w:ascii="IBM Plex Sans Light" w:hAnsi="IBM Plex Sans Light" w:cs="Tahoma"/>
          <w:color w:val="000000"/>
        </w:rPr>
        <w:t xml:space="preserve">: </w:t>
      </w:r>
    </w:p>
    <w:p w:rsidR="00764194" w:rsidRPr="0097536A" w:rsidRDefault="0097536A" w:rsidP="00764194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/>
          <w:noProof/>
          <w:lang w:eastAsia="cs-CZ"/>
        </w:rPr>
        <w:lastRenderedPageBreak/>
        <w:drawing>
          <wp:inline distT="0" distB="0" distL="0" distR="0" wp14:anchorId="4E032465" wp14:editId="69981A6B">
            <wp:extent cx="5572125" cy="2162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676" w:rsidRPr="0097536A" w:rsidRDefault="009F7676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97536A" w:rsidRPr="0097536A" w:rsidRDefault="0097536A" w:rsidP="009753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b/>
          <w:color w:val="000000"/>
        </w:rPr>
        <w:t>Mýtné</w:t>
      </w:r>
      <w:r w:rsidRPr="0097536A">
        <w:rPr>
          <w:rFonts w:ascii="IBM Plex Sans Light" w:hAnsi="IBM Plex Sans Light" w:cs="Tahoma"/>
          <w:color w:val="000000"/>
        </w:rPr>
        <w:t xml:space="preserve"> v jednotlivých zemích bude účtováno dle skutečnosti na základě faktur z mýtných systémů.</w:t>
      </w:r>
    </w:p>
    <w:p w:rsidR="0097536A" w:rsidRPr="0097536A" w:rsidRDefault="0097536A" w:rsidP="009753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color w:val="000000"/>
        </w:rPr>
        <w:t xml:space="preserve">Výpočet poměrné části </w:t>
      </w:r>
      <w:r w:rsidRPr="0097536A">
        <w:rPr>
          <w:rFonts w:ascii="IBM Plex Sans Light" w:hAnsi="IBM Plex Sans Light" w:cs="Tahoma"/>
          <w:b/>
          <w:color w:val="000000"/>
        </w:rPr>
        <w:t>daně z obratu</w:t>
      </w:r>
      <w:r w:rsidRPr="0097536A">
        <w:rPr>
          <w:rFonts w:ascii="IBM Plex Sans Light" w:hAnsi="IBM Plex Sans Light" w:cs="Tahoma"/>
          <w:color w:val="000000"/>
        </w:rPr>
        <w:t xml:space="preserve"> – DPH, pro přepravu na území zemí EU</w:t>
      </w:r>
    </w:p>
    <w:p w:rsidR="0097536A" w:rsidRPr="0097536A" w:rsidRDefault="0097536A" w:rsidP="0097536A">
      <w:pPr>
        <w:autoSpaceDE w:val="0"/>
        <w:autoSpaceDN w:val="0"/>
        <w:adjustRightInd w:val="0"/>
        <w:ind w:firstLine="708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Výše daně v jednotlivých zemích:</w:t>
      </w:r>
    </w:p>
    <w:p w:rsidR="0097536A" w:rsidRPr="0097536A" w:rsidRDefault="0097536A" w:rsidP="0097536A">
      <w:pPr>
        <w:rPr>
          <w:rFonts w:ascii="IBM Plex Sans Light" w:hAnsi="IBM Plex Sans Light"/>
        </w:rPr>
      </w:pP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Německo</w:t>
      </w:r>
      <w:r w:rsidRPr="0097536A">
        <w:rPr>
          <w:rFonts w:ascii="IBM Plex Sans Light" w:hAnsi="IBM Plex Sans Light"/>
        </w:rPr>
        <w:tab/>
        <w:t>19%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Rakousko</w:t>
      </w:r>
      <w:r w:rsidRPr="0097536A">
        <w:rPr>
          <w:rFonts w:ascii="IBM Plex Sans Light" w:hAnsi="IBM Plex Sans Light"/>
        </w:rPr>
        <w:tab/>
        <w:t>20%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Polsko</w:t>
      </w:r>
      <w:r w:rsidRPr="0097536A">
        <w:rPr>
          <w:rFonts w:ascii="IBM Plex Sans Light" w:hAnsi="IBM Plex Sans Light"/>
        </w:rPr>
        <w:tab/>
        <w:t>8%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Slovinsko</w:t>
      </w:r>
      <w:r w:rsidRPr="0097536A">
        <w:rPr>
          <w:rFonts w:ascii="IBM Plex Sans Light" w:hAnsi="IBM Plex Sans Light"/>
        </w:rPr>
        <w:tab/>
        <w:t>9,5%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Chorvatsko</w:t>
      </w:r>
      <w:r w:rsidRPr="0097536A">
        <w:rPr>
          <w:rFonts w:ascii="IBM Plex Sans Light" w:hAnsi="IBM Plex Sans Light"/>
        </w:rPr>
        <w:tab/>
        <w:t>25%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Belgie</w:t>
      </w:r>
      <w:r w:rsidRPr="0097536A">
        <w:rPr>
          <w:rFonts w:ascii="IBM Plex Sans Light" w:hAnsi="IBM Plex Sans Light"/>
        </w:rPr>
        <w:tab/>
        <w:t>6%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Holandsko</w:t>
      </w:r>
      <w:r w:rsidRPr="0097536A">
        <w:rPr>
          <w:rFonts w:ascii="IBM Plex Sans Light" w:hAnsi="IBM Plex Sans Light"/>
        </w:rPr>
        <w:tab/>
        <w:t>6%</w:t>
      </w:r>
    </w:p>
    <w:p w:rsidR="0097536A" w:rsidRPr="0097536A" w:rsidRDefault="0097536A" w:rsidP="0097536A">
      <w:pPr>
        <w:numPr>
          <w:ilvl w:val="0"/>
          <w:numId w:val="31"/>
        </w:numPr>
        <w:ind w:left="1068"/>
        <w:rPr>
          <w:rFonts w:ascii="IBM Plex Sans Light" w:hAnsi="IBM Plex Sans Light"/>
        </w:rPr>
      </w:pPr>
      <w:r w:rsidRPr="0097536A">
        <w:rPr>
          <w:rFonts w:ascii="IBM Plex Sans Light" w:hAnsi="IBM Plex Sans Light"/>
        </w:rPr>
        <w:t>Dánsko</w:t>
      </w:r>
      <w:r w:rsidRPr="0097536A">
        <w:rPr>
          <w:rFonts w:ascii="IBM Plex Sans Light" w:hAnsi="IBM Plex Sans Light"/>
        </w:rPr>
        <w:tab/>
        <w:t>25%</w:t>
      </w:r>
    </w:p>
    <w:p w:rsidR="0097536A" w:rsidRPr="0097536A" w:rsidRDefault="0097536A" w:rsidP="0097536A">
      <w:pPr>
        <w:ind w:left="708"/>
        <w:rPr>
          <w:rFonts w:ascii="IBM Plex Sans Light" w:hAnsi="IBM Plex Sans Light"/>
        </w:rPr>
      </w:pPr>
    </w:p>
    <w:p w:rsidR="0097536A" w:rsidRPr="0097536A" w:rsidRDefault="0097536A" w:rsidP="0097536A">
      <w:pPr>
        <w:pStyle w:val="Odstavecseseznamem"/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szCs w:val="20"/>
        </w:rPr>
        <w:t>Seznam členských států EU, ve kterých nepravidelná mezinárodní přeprava osob není</w:t>
      </w:r>
      <w:r w:rsidRPr="0097536A">
        <w:rPr>
          <w:rFonts w:ascii="IBM Plex Sans Light" w:hAnsi="IBM Plex Sans Light" w:cs="Tahoma"/>
          <w:color w:val="000000"/>
        </w:rPr>
        <w:t xml:space="preserve"> předmětem DPH, nebo zde existuje nulová sazba daně, popř. se daň neuplatňuje:</w:t>
      </w:r>
    </w:p>
    <w:tbl>
      <w:tblPr>
        <w:tblW w:w="6437" w:type="dxa"/>
        <w:tblInd w:w="1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810"/>
        <w:gridCol w:w="146"/>
        <w:gridCol w:w="960"/>
        <w:gridCol w:w="1141"/>
      </w:tblGrid>
      <w:tr w:rsidR="0097536A" w:rsidRPr="0097536A" w:rsidTr="0097536A">
        <w:trPr>
          <w:trHeight w:val="315"/>
        </w:trPr>
        <w:tc>
          <w:tcPr>
            <w:tcW w:w="142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  <w:r w:rsidRPr="0097536A">
              <w:rPr>
                <w:rFonts w:ascii="IBM Plex Sans Light" w:hAnsi="IBM Plex Sans Light"/>
              </w:rPr>
              <w:t>Dánsko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956" w:type="dxa"/>
            <w:gridSpan w:val="2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Lucembursko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Kypr</w:t>
            </w:r>
          </w:p>
        </w:tc>
      </w:tr>
      <w:tr w:rsidR="0097536A" w:rsidRPr="0097536A" w:rsidTr="0097536A">
        <w:trPr>
          <w:trHeight w:val="315"/>
        </w:trPr>
        <w:tc>
          <w:tcPr>
            <w:tcW w:w="142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  <w:r w:rsidRPr="0097536A">
              <w:rPr>
                <w:rFonts w:ascii="IBM Plex Sans Light" w:hAnsi="IBM Plex Sans Light"/>
              </w:rPr>
              <w:t>Estonsko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956" w:type="dxa"/>
            <w:gridSpan w:val="2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Maďarsko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Litva</w:t>
            </w:r>
          </w:p>
        </w:tc>
      </w:tr>
      <w:tr w:rsidR="0097536A" w:rsidRPr="0097536A" w:rsidTr="0097536A">
        <w:trPr>
          <w:trHeight w:val="315"/>
        </w:trPr>
        <w:tc>
          <w:tcPr>
            <w:tcW w:w="142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  <w:r w:rsidRPr="0097536A">
              <w:rPr>
                <w:rFonts w:ascii="IBM Plex Sans Light" w:hAnsi="IBM Plex Sans Light"/>
              </w:rPr>
              <w:t>Finsko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81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Malta</w:t>
            </w:r>
          </w:p>
        </w:tc>
        <w:tc>
          <w:tcPr>
            <w:tcW w:w="146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Cs w:val="20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Lotyšsko</w:t>
            </w:r>
          </w:p>
        </w:tc>
      </w:tr>
      <w:tr w:rsidR="0097536A" w:rsidRPr="0097536A" w:rsidTr="0097536A">
        <w:trPr>
          <w:trHeight w:val="315"/>
        </w:trPr>
        <w:tc>
          <w:tcPr>
            <w:tcW w:w="142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  <w:r w:rsidRPr="0097536A">
              <w:rPr>
                <w:rFonts w:ascii="IBM Plex Sans Light" w:hAnsi="IBM Plex Sans Light"/>
              </w:rPr>
              <w:t>Irsko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956" w:type="dxa"/>
            <w:gridSpan w:val="2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Portugalsko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Slovensko</w:t>
            </w:r>
          </w:p>
        </w:tc>
      </w:tr>
      <w:tr w:rsidR="0097536A" w:rsidRPr="0097536A" w:rsidTr="0097536A">
        <w:trPr>
          <w:trHeight w:val="315"/>
        </w:trPr>
        <w:tc>
          <w:tcPr>
            <w:tcW w:w="142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  <w:r w:rsidRPr="0097536A">
              <w:rPr>
                <w:rFonts w:ascii="IBM Plex Sans Light" w:hAnsi="IBM Plex Sans Light"/>
              </w:rPr>
              <w:t>Itálie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956" w:type="dxa"/>
            <w:gridSpan w:val="2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Rumunsko</w:t>
            </w:r>
          </w:p>
        </w:tc>
        <w:tc>
          <w:tcPr>
            <w:tcW w:w="960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97536A" w:rsidRPr="0097536A" w:rsidRDefault="0097536A" w:rsidP="0097536A">
            <w:pPr>
              <w:rPr>
                <w:rFonts w:ascii="IBM Plex Sans Light" w:hAnsi="IBM Plex Sans Light"/>
                <w:sz w:val="24"/>
                <w:szCs w:val="24"/>
              </w:rPr>
            </w:pPr>
            <w:r w:rsidRPr="0097536A">
              <w:rPr>
                <w:rFonts w:ascii="IBM Plex Sans Light" w:hAnsi="IBM Plex Sans Light"/>
              </w:rPr>
              <w:t>Švédsko</w:t>
            </w:r>
          </w:p>
        </w:tc>
      </w:tr>
    </w:tbl>
    <w:p w:rsidR="0097536A" w:rsidRPr="0097536A" w:rsidRDefault="0097536A" w:rsidP="0097536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9F7676" w:rsidRDefault="0097536A" w:rsidP="0080375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b/>
          <w:color w:val="000000"/>
        </w:rPr>
        <w:t>Výpočet diet.</w:t>
      </w:r>
      <w:r>
        <w:rPr>
          <w:rFonts w:ascii="IBM Plex Sans Light" w:hAnsi="IBM Plex Sans Light" w:cs="Tahoma"/>
          <w:color w:val="000000"/>
        </w:rPr>
        <w:t xml:space="preserve"> </w:t>
      </w:r>
      <w:r w:rsidRPr="0097536A">
        <w:rPr>
          <w:rFonts w:ascii="IBM Plex Sans Light" w:hAnsi="IBM Plex Sans Light" w:cs="Tahoma"/>
          <w:color w:val="000000"/>
        </w:rPr>
        <w:t>Diety budou účtovány dle skutečnosti a platných zákonných norem</w:t>
      </w:r>
      <w:r>
        <w:rPr>
          <w:rFonts w:ascii="IBM Plex Sans Light" w:hAnsi="IBM Plex Sans Light" w:cs="Tahoma"/>
          <w:color w:val="000000"/>
        </w:rPr>
        <w:t>.</w:t>
      </w:r>
    </w:p>
    <w:p w:rsidR="00C46658" w:rsidRDefault="00C46658" w:rsidP="0080375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b/>
          <w:color w:val="000000"/>
        </w:rPr>
        <w:t>Fakturace.</w:t>
      </w:r>
      <w:r>
        <w:rPr>
          <w:rFonts w:ascii="IBM Plex Sans Light" w:hAnsi="IBM Plex Sans Light" w:cs="Tahoma"/>
          <w:color w:val="000000"/>
        </w:rPr>
        <w:t xml:space="preserve"> Poskytovatel vystaví na základě objednávky a realizované dopravy fakturu do 14 dnů od poskytnutí plnění. Na faktuře uvede případně větu, jejíž formulaci případně uvede na dílčí objednávce (pro případ účtování v rámci projektů, do kterých je škola zapojena). Splatnost faktury bude min. 14 dnů. </w:t>
      </w:r>
    </w:p>
    <w:p w:rsidR="00C46658" w:rsidRDefault="00C46658" w:rsidP="00C46658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C46658" w:rsidRDefault="00C46658" w:rsidP="00C46658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E/ Závěrečná ustanovení </w:t>
      </w:r>
    </w:p>
    <w:p w:rsidR="00C46658" w:rsidRDefault="00C46658" w:rsidP="00C4665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>Tato Smlouva nabývá platnosti dnem podpisu posledním účastníkem.</w:t>
      </w:r>
    </w:p>
    <w:p w:rsidR="00C46658" w:rsidRDefault="00C46658" w:rsidP="00C4665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Tato Smlouva nabývá účinnosti dnem jejího podpisu posledním účastníkem. </w:t>
      </w:r>
    </w:p>
    <w:p w:rsidR="00C46658" w:rsidRDefault="00C46658" w:rsidP="00C4665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Tato Smlouva může být měněna pouze oboustranně odsouhlasenými podepsanými písemnými dodatky. </w:t>
      </w:r>
    </w:p>
    <w:p w:rsidR="00E54605" w:rsidRDefault="00E54605" w:rsidP="00C4665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Obě strany prohlašují, že jakékoliv osobní nebo důvěrné informace, které se dozvěděly v souvislosti s plněním předmětu smlouvy, neposkytnou třetím stranám. </w:t>
      </w:r>
    </w:p>
    <w:p w:rsidR="00E54605" w:rsidRPr="00C46658" w:rsidRDefault="00E54605" w:rsidP="00C4665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Smlouvu do registru smluv vkládá objednatel. </w:t>
      </w:r>
    </w:p>
    <w:p w:rsidR="0080375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9C75D7" w:rsidRDefault="009C75D7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>
        <w:rPr>
          <w:rFonts w:ascii="IBM Plex Sans Light" w:hAnsi="IBM Plex Sans Light" w:cs="Tahoma"/>
          <w:color w:val="000000"/>
        </w:rPr>
        <w:t xml:space="preserve">V Plzni dne </w:t>
      </w:r>
      <w:r w:rsidR="007C6FD1">
        <w:rPr>
          <w:rFonts w:ascii="IBM Plex Sans Light" w:hAnsi="IBM Plex Sans Light" w:cs="Tahoma"/>
          <w:color w:val="000000"/>
        </w:rPr>
        <w:t>19. 2. 2025</w:t>
      </w:r>
      <w:r>
        <w:rPr>
          <w:rFonts w:ascii="IBM Plex Sans Light" w:hAnsi="IBM Plex Sans Light" w:cs="Tahoma"/>
          <w:color w:val="000000"/>
        </w:rPr>
        <w:t xml:space="preserve"> </w:t>
      </w:r>
    </w:p>
    <w:p w:rsidR="00E54605" w:rsidRPr="0097536A" w:rsidRDefault="00E54605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szCs w:val="20"/>
        </w:rPr>
      </w:pPr>
      <w:r w:rsidRPr="0097536A">
        <w:rPr>
          <w:rFonts w:ascii="IBM Plex Sans Light" w:hAnsi="IBM Plex Sans Light" w:cs="Tahoma"/>
          <w:szCs w:val="20"/>
        </w:rPr>
        <w:t>Ing. Přemysl Šmídl</w:t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bookmarkStart w:id="0" w:name="_GoBack"/>
      <w:bookmarkEnd w:id="0"/>
      <w:r w:rsidR="007C6FD1">
        <w:rPr>
          <w:rFonts w:ascii="IBM Plex Sans Light" w:hAnsi="IBM Plex Sans Light" w:cs="Tahoma"/>
          <w:szCs w:val="20"/>
        </w:rPr>
        <w:t>Roman Sedláček</w:t>
      </w: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  <w:r w:rsidRPr="0097536A">
        <w:rPr>
          <w:rFonts w:ascii="IBM Plex Sans Light" w:hAnsi="IBM Plex Sans Light" w:cs="Tahoma"/>
          <w:szCs w:val="20"/>
        </w:rPr>
        <w:t>ředitel</w:t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</w:r>
      <w:r w:rsidR="00E54605">
        <w:rPr>
          <w:rFonts w:ascii="IBM Plex Sans Light" w:hAnsi="IBM Plex Sans Light" w:cs="Tahoma"/>
          <w:szCs w:val="20"/>
        </w:rPr>
        <w:tab/>
        <w:t xml:space="preserve">jednatel </w:t>
      </w: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i/>
          <w:szCs w:val="20"/>
          <w:lang w:eastAsia="cs-CZ"/>
        </w:rPr>
      </w:pPr>
      <w:r w:rsidRPr="0097536A">
        <w:rPr>
          <w:rFonts w:ascii="IBM Plex Sans Light" w:hAnsi="IBM Plex Sans Light" w:cs="Tahoma"/>
          <w:i/>
          <w:szCs w:val="20"/>
          <w:lang w:eastAsia="cs-CZ"/>
        </w:rPr>
        <w:t xml:space="preserve">Střední škola informatiky a finančních služeb, Plzeň, </w:t>
      </w:r>
      <w:r w:rsidR="00E54605">
        <w:rPr>
          <w:rFonts w:ascii="IBM Plex Sans Light" w:hAnsi="IBM Plex Sans Light" w:cs="Tahoma"/>
          <w:i/>
          <w:szCs w:val="20"/>
          <w:lang w:eastAsia="cs-CZ"/>
        </w:rPr>
        <w:tab/>
      </w:r>
      <w:r w:rsidR="00E54605">
        <w:rPr>
          <w:rFonts w:ascii="IBM Plex Sans Light" w:hAnsi="IBM Plex Sans Light" w:cs="Tahoma"/>
          <w:i/>
          <w:szCs w:val="20"/>
          <w:lang w:eastAsia="cs-CZ"/>
        </w:rPr>
        <w:tab/>
        <w:t xml:space="preserve">Seko Bus Plzeň s.r.o. </w:t>
      </w: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i/>
          <w:szCs w:val="20"/>
          <w:lang w:eastAsia="cs-CZ"/>
        </w:rPr>
      </w:pPr>
      <w:r w:rsidRPr="0097536A">
        <w:rPr>
          <w:rFonts w:ascii="IBM Plex Sans Light" w:hAnsi="IBM Plex Sans Light" w:cs="Tahoma"/>
          <w:i/>
          <w:szCs w:val="20"/>
          <w:lang w:eastAsia="cs-CZ"/>
        </w:rPr>
        <w:t>Klatovská 2778/200</w:t>
      </w:r>
      <w:r w:rsidR="000B7163" w:rsidRPr="0097536A">
        <w:rPr>
          <w:rFonts w:ascii="IBM Plex Sans Light" w:hAnsi="IBM Plex Sans Light" w:cs="Tahoma"/>
          <w:i/>
          <w:szCs w:val="20"/>
          <w:lang w:eastAsia="cs-CZ"/>
        </w:rPr>
        <w:t>G</w:t>
      </w:r>
      <w:r w:rsidRPr="0097536A">
        <w:rPr>
          <w:rFonts w:ascii="IBM Plex Sans Light" w:hAnsi="IBM Plex Sans Light" w:cs="Tahoma"/>
          <w:i/>
          <w:szCs w:val="20"/>
          <w:lang w:eastAsia="cs-CZ"/>
        </w:rPr>
        <w:t>, 301</w:t>
      </w:r>
      <w:r w:rsidR="000B7163" w:rsidRPr="0097536A">
        <w:rPr>
          <w:rFonts w:ascii="IBM Plex Sans Light" w:hAnsi="IBM Plex Sans Light" w:cs="Tahoma"/>
          <w:i/>
          <w:szCs w:val="20"/>
          <w:lang w:eastAsia="cs-CZ"/>
        </w:rPr>
        <w:t xml:space="preserve"> </w:t>
      </w:r>
      <w:r w:rsidRPr="0097536A">
        <w:rPr>
          <w:rFonts w:ascii="IBM Plex Sans Light" w:hAnsi="IBM Plex Sans Light" w:cs="Tahoma"/>
          <w:i/>
          <w:szCs w:val="20"/>
          <w:lang w:eastAsia="cs-CZ"/>
        </w:rPr>
        <w:t>00 Plzeň</w:t>
      </w:r>
    </w:p>
    <w:p w:rsidR="0080375A" w:rsidRPr="0097536A" w:rsidRDefault="0080375A" w:rsidP="0080375A">
      <w:pPr>
        <w:autoSpaceDE w:val="0"/>
        <w:autoSpaceDN w:val="0"/>
        <w:adjustRightInd w:val="0"/>
        <w:rPr>
          <w:rFonts w:ascii="IBM Plex Sans Light" w:hAnsi="IBM Plex Sans Light" w:cs="Tahoma"/>
          <w:color w:val="000000"/>
        </w:rPr>
      </w:pPr>
    </w:p>
    <w:p w:rsidR="000B4A93" w:rsidRPr="0097536A" w:rsidRDefault="000B4A93" w:rsidP="006A2D31">
      <w:pPr>
        <w:pStyle w:val="Nadpis1"/>
        <w:keepNext w:val="0"/>
        <w:keepLines w:val="0"/>
        <w:spacing w:before="0"/>
        <w:jc w:val="left"/>
        <w:rPr>
          <w:rFonts w:ascii="IBM Plex Sans Light" w:hAnsi="IBM Plex Sans Light" w:cs="Lato"/>
          <w:bCs w:val="0"/>
          <w:color w:val="1E46A0"/>
          <w:sz w:val="16"/>
          <w:szCs w:val="16"/>
          <w:lang w:eastAsia="cs-CZ"/>
        </w:rPr>
      </w:pPr>
    </w:p>
    <w:sectPr w:rsidR="000B4A93" w:rsidRPr="0097536A" w:rsidSect="00E70B1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DF" w:rsidRDefault="005B00DF" w:rsidP="00C25D72">
      <w:r>
        <w:separator/>
      </w:r>
    </w:p>
  </w:endnote>
  <w:endnote w:type="continuationSeparator" w:id="0">
    <w:p w:rsidR="005B00DF" w:rsidRDefault="005B00DF" w:rsidP="00C2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Light">
    <w:panose1 w:val="020B04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DF" w:rsidRDefault="005B00DF" w:rsidP="00C25D72">
      <w:r>
        <w:separator/>
      </w:r>
    </w:p>
  </w:footnote>
  <w:footnote w:type="continuationSeparator" w:id="0">
    <w:p w:rsidR="005B00DF" w:rsidRDefault="005B00DF" w:rsidP="00C2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A09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D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AA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8EA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E9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EF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24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323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121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083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</w:abstractNum>
  <w:abstractNum w:abstractNumId="11" w15:restartNumberingAfterBreak="0">
    <w:nsid w:val="006C67E1"/>
    <w:multiLevelType w:val="hybridMultilevel"/>
    <w:tmpl w:val="74C6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4245B"/>
    <w:multiLevelType w:val="hybridMultilevel"/>
    <w:tmpl w:val="5F6AD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B7A25"/>
    <w:multiLevelType w:val="hybridMultilevel"/>
    <w:tmpl w:val="979E1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82493A"/>
    <w:multiLevelType w:val="hybridMultilevel"/>
    <w:tmpl w:val="EB84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22F9"/>
    <w:multiLevelType w:val="hybridMultilevel"/>
    <w:tmpl w:val="FC6C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850CD"/>
    <w:multiLevelType w:val="hybridMultilevel"/>
    <w:tmpl w:val="5388F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B1B33"/>
    <w:multiLevelType w:val="hybridMultilevel"/>
    <w:tmpl w:val="684A7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A7B"/>
    <w:multiLevelType w:val="hybridMultilevel"/>
    <w:tmpl w:val="4C6C4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E93B73"/>
    <w:multiLevelType w:val="hybridMultilevel"/>
    <w:tmpl w:val="D5F263AE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66ECC"/>
    <w:multiLevelType w:val="hybridMultilevel"/>
    <w:tmpl w:val="726E7C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411CB6"/>
    <w:multiLevelType w:val="hybridMultilevel"/>
    <w:tmpl w:val="DB4CAC3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619E"/>
    <w:multiLevelType w:val="hybridMultilevel"/>
    <w:tmpl w:val="5964D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B77CE"/>
    <w:multiLevelType w:val="hybridMultilevel"/>
    <w:tmpl w:val="CCCC582A"/>
    <w:lvl w:ilvl="0" w:tplc="31A01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61CBC"/>
    <w:multiLevelType w:val="hybridMultilevel"/>
    <w:tmpl w:val="5F4AE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B6C65"/>
    <w:multiLevelType w:val="hybridMultilevel"/>
    <w:tmpl w:val="5B96D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07675"/>
    <w:multiLevelType w:val="hybridMultilevel"/>
    <w:tmpl w:val="D0B68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2492"/>
    <w:multiLevelType w:val="hybridMultilevel"/>
    <w:tmpl w:val="29C0F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42542"/>
    <w:multiLevelType w:val="hybridMultilevel"/>
    <w:tmpl w:val="A8F8B7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0F652E"/>
    <w:multiLevelType w:val="hybridMultilevel"/>
    <w:tmpl w:val="2EC8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C1004"/>
    <w:multiLevelType w:val="hybridMultilevel"/>
    <w:tmpl w:val="0C488810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476C"/>
    <w:multiLevelType w:val="hybridMultilevel"/>
    <w:tmpl w:val="796215C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8"/>
  </w:num>
  <w:num w:numId="4">
    <w:abstractNumId w:val="14"/>
  </w:num>
  <w:num w:numId="5">
    <w:abstractNumId w:val="13"/>
  </w:num>
  <w:num w:numId="6">
    <w:abstractNumId w:val="27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  <w:num w:numId="19">
    <w:abstractNumId w:val="10"/>
  </w:num>
  <w:num w:numId="20">
    <w:abstractNumId w:val="21"/>
  </w:num>
  <w:num w:numId="21">
    <w:abstractNumId w:val="31"/>
  </w:num>
  <w:num w:numId="22">
    <w:abstractNumId w:val="19"/>
  </w:num>
  <w:num w:numId="23">
    <w:abstractNumId w:val="17"/>
  </w:num>
  <w:num w:numId="24">
    <w:abstractNumId w:val="29"/>
  </w:num>
  <w:num w:numId="25">
    <w:abstractNumId w:val="24"/>
  </w:num>
  <w:num w:numId="26">
    <w:abstractNumId w:val="12"/>
  </w:num>
  <w:num w:numId="27">
    <w:abstractNumId w:val="25"/>
  </w:num>
  <w:num w:numId="28">
    <w:abstractNumId w:val="22"/>
  </w:num>
  <w:num w:numId="29">
    <w:abstractNumId w:val="26"/>
  </w:num>
  <w:num w:numId="3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E1"/>
    <w:rsid w:val="00001062"/>
    <w:rsid w:val="00004D73"/>
    <w:rsid w:val="000053EC"/>
    <w:rsid w:val="00024168"/>
    <w:rsid w:val="000439A0"/>
    <w:rsid w:val="00054C49"/>
    <w:rsid w:val="00067C43"/>
    <w:rsid w:val="000729A8"/>
    <w:rsid w:val="000731E3"/>
    <w:rsid w:val="00080240"/>
    <w:rsid w:val="00081CA4"/>
    <w:rsid w:val="00085C91"/>
    <w:rsid w:val="000942CF"/>
    <w:rsid w:val="00095C30"/>
    <w:rsid w:val="000A0373"/>
    <w:rsid w:val="000A0E13"/>
    <w:rsid w:val="000A0E61"/>
    <w:rsid w:val="000A72EC"/>
    <w:rsid w:val="000B1C86"/>
    <w:rsid w:val="000B2708"/>
    <w:rsid w:val="000B4A93"/>
    <w:rsid w:val="000B7163"/>
    <w:rsid w:val="000D3EF1"/>
    <w:rsid w:val="000E0FD5"/>
    <w:rsid w:val="000F5935"/>
    <w:rsid w:val="000F5D87"/>
    <w:rsid w:val="000F6C51"/>
    <w:rsid w:val="00106053"/>
    <w:rsid w:val="00113DCE"/>
    <w:rsid w:val="00114867"/>
    <w:rsid w:val="00121D5D"/>
    <w:rsid w:val="0013044F"/>
    <w:rsid w:val="00131C5C"/>
    <w:rsid w:val="00131FBA"/>
    <w:rsid w:val="00137134"/>
    <w:rsid w:val="00182CB6"/>
    <w:rsid w:val="001924A9"/>
    <w:rsid w:val="0019785F"/>
    <w:rsid w:val="001A0126"/>
    <w:rsid w:val="001A6AF0"/>
    <w:rsid w:val="001B376B"/>
    <w:rsid w:val="001B7D96"/>
    <w:rsid w:val="001C120D"/>
    <w:rsid w:val="001C4763"/>
    <w:rsid w:val="001D178E"/>
    <w:rsid w:val="001D18DA"/>
    <w:rsid w:val="001F3BF6"/>
    <w:rsid w:val="001F7F9C"/>
    <w:rsid w:val="002109DA"/>
    <w:rsid w:val="0022280E"/>
    <w:rsid w:val="00240A2E"/>
    <w:rsid w:val="00250447"/>
    <w:rsid w:val="00253003"/>
    <w:rsid w:val="002559BC"/>
    <w:rsid w:val="00263226"/>
    <w:rsid w:val="002651B6"/>
    <w:rsid w:val="0027510B"/>
    <w:rsid w:val="00275B8A"/>
    <w:rsid w:val="00275DD0"/>
    <w:rsid w:val="002A0A95"/>
    <w:rsid w:val="002B59E9"/>
    <w:rsid w:val="002E44B3"/>
    <w:rsid w:val="002F7EBB"/>
    <w:rsid w:val="00307726"/>
    <w:rsid w:val="00307761"/>
    <w:rsid w:val="00307AFF"/>
    <w:rsid w:val="00313DC6"/>
    <w:rsid w:val="00314191"/>
    <w:rsid w:val="0032293E"/>
    <w:rsid w:val="00325149"/>
    <w:rsid w:val="00333418"/>
    <w:rsid w:val="00335CA4"/>
    <w:rsid w:val="003368B6"/>
    <w:rsid w:val="00337174"/>
    <w:rsid w:val="00337910"/>
    <w:rsid w:val="00340F17"/>
    <w:rsid w:val="00343721"/>
    <w:rsid w:val="00344FD6"/>
    <w:rsid w:val="00345D5D"/>
    <w:rsid w:val="00351062"/>
    <w:rsid w:val="00355EC9"/>
    <w:rsid w:val="00366189"/>
    <w:rsid w:val="003761A5"/>
    <w:rsid w:val="00380A39"/>
    <w:rsid w:val="00381F19"/>
    <w:rsid w:val="003A1593"/>
    <w:rsid w:val="003B672F"/>
    <w:rsid w:val="003B719A"/>
    <w:rsid w:val="003C3ACF"/>
    <w:rsid w:val="003C470E"/>
    <w:rsid w:val="003E0911"/>
    <w:rsid w:val="003E34B4"/>
    <w:rsid w:val="003F4230"/>
    <w:rsid w:val="00401060"/>
    <w:rsid w:val="00407608"/>
    <w:rsid w:val="004112D2"/>
    <w:rsid w:val="00421916"/>
    <w:rsid w:val="00423DA6"/>
    <w:rsid w:val="00425AB8"/>
    <w:rsid w:val="0042611A"/>
    <w:rsid w:val="0042709B"/>
    <w:rsid w:val="0043638B"/>
    <w:rsid w:val="00443C2F"/>
    <w:rsid w:val="00460389"/>
    <w:rsid w:val="00466954"/>
    <w:rsid w:val="0047010C"/>
    <w:rsid w:val="00471F4B"/>
    <w:rsid w:val="00473828"/>
    <w:rsid w:val="004739AD"/>
    <w:rsid w:val="0049053A"/>
    <w:rsid w:val="004919BB"/>
    <w:rsid w:val="00495D12"/>
    <w:rsid w:val="004B0D71"/>
    <w:rsid w:val="004C08AF"/>
    <w:rsid w:val="004C3AE7"/>
    <w:rsid w:val="004C7E84"/>
    <w:rsid w:val="004D4B72"/>
    <w:rsid w:val="004D5471"/>
    <w:rsid w:val="004D6A1C"/>
    <w:rsid w:val="004E1EE1"/>
    <w:rsid w:val="004E441D"/>
    <w:rsid w:val="004E74CF"/>
    <w:rsid w:val="004E7773"/>
    <w:rsid w:val="004F4FAD"/>
    <w:rsid w:val="00501D8A"/>
    <w:rsid w:val="005145E9"/>
    <w:rsid w:val="005239C2"/>
    <w:rsid w:val="00527C2F"/>
    <w:rsid w:val="0053114B"/>
    <w:rsid w:val="005336CE"/>
    <w:rsid w:val="00540F3E"/>
    <w:rsid w:val="0054436B"/>
    <w:rsid w:val="00553861"/>
    <w:rsid w:val="0057185A"/>
    <w:rsid w:val="0058588A"/>
    <w:rsid w:val="005A3130"/>
    <w:rsid w:val="005B00DF"/>
    <w:rsid w:val="005B1CFE"/>
    <w:rsid w:val="005B3CE4"/>
    <w:rsid w:val="005B4434"/>
    <w:rsid w:val="005C2FF2"/>
    <w:rsid w:val="005D5D39"/>
    <w:rsid w:val="005D5F8A"/>
    <w:rsid w:val="005D757A"/>
    <w:rsid w:val="005E151B"/>
    <w:rsid w:val="005E74B0"/>
    <w:rsid w:val="006059FC"/>
    <w:rsid w:val="006119CE"/>
    <w:rsid w:val="00624A37"/>
    <w:rsid w:val="00624C66"/>
    <w:rsid w:val="00637361"/>
    <w:rsid w:val="00642684"/>
    <w:rsid w:val="006435F3"/>
    <w:rsid w:val="00660211"/>
    <w:rsid w:val="00661781"/>
    <w:rsid w:val="00676BF2"/>
    <w:rsid w:val="00691E99"/>
    <w:rsid w:val="006966B7"/>
    <w:rsid w:val="006A2D31"/>
    <w:rsid w:val="006B41D3"/>
    <w:rsid w:val="006B5075"/>
    <w:rsid w:val="006D2F54"/>
    <w:rsid w:val="006F260F"/>
    <w:rsid w:val="007040B8"/>
    <w:rsid w:val="00704F1B"/>
    <w:rsid w:val="0071112F"/>
    <w:rsid w:val="007357CF"/>
    <w:rsid w:val="0074302A"/>
    <w:rsid w:val="007455C4"/>
    <w:rsid w:val="0074784C"/>
    <w:rsid w:val="007478D9"/>
    <w:rsid w:val="00751E88"/>
    <w:rsid w:val="00760449"/>
    <w:rsid w:val="00764047"/>
    <w:rsid w:val="00764194"/>
    <w:rsid w:val="007744C1"/>
    <w:rsid w:val="007A0FDC"/>
    <w:rsid w:val="007A7F53"/>
    <w:rsid w:val="007B4212"/>
    <w:rsid w:val="007C2ADC"/>
    <w:rsid w:val="007C6FD1"/>
    <w:rsid w:val="007D0D2D"/>
    <w:rsid w:val="007D667A"/>
    <w:rsid w:val="007E25B6"/>
    <w:rsid w:val="007E5DA9"/>
    <w:rsid w:val="007E6D5E"/>
    <w:rsid w:val="007F7D85"/>
    <w:rsid w:val="00801223"/>
    <w:rsid w:val="0080375A"/>
    <w:rsid w:val="00820A24"/>
    <w:rsid w:val="0083629F"/>
    <w:rsid w:val="00841A8B"/>
    <w:rsid w:val="00854CFB"/>
    <w:rsid w:val="00882BE1"/>
    <w:rsid w:val="00885545"/>
    <w:rsid w:val="008877A7"/>
    <w:rsid w:val="008A4CDB"/>
    <w:rsid w:val="008A78B7"/>
    <w:rsid w:val="008B3C01"/>
    <w:rsid w:val="008D5497"/>
    <w:rsid w:val="008E3730"/>
    <w:rsid w:val="008F291F"/>
    <w:rsid w:val="008F40A5"/>
    <w:rsid w:val="008F5F64"/>
    <w:rsid w:val="008F7E4E"/>
    <w:rsid w:val="00902937"/>
    <w:rsid w:val="00906A42"/>
    <w:rsid w:val="00912AC8"/>
    <w:rsid w:val="00933B10"/>
    <w:rsid w:val="00934DB9"/>
    <w:rsid w:val="009429FF"/>
    <w:rsid w:val="009522A5"/>
    <w:rsid w:val="00963F20"/>
    <w:rsid w:val="00966DA9"/>
    <w:rsid w:val="00971178"/>
    <w:rsid w:val="0097536A"/>
    <w:rsid w:val="00996D7A"/>
    <w:rsid w:val="009C75D7"/>
    <w:rsid w:val="009E2BB5"/>
    <w:rsid w:val="009E5271"/>
    <w:rsid w:val="009F7676"/>
    <w:rsid w:val="00A0022E"/>
    <w:rsid w:val="00A03CF8"/>
    <w:rsid w:val="00A03FC9"/>
    <w:rsid w:val="00A04EA8"/>
    <w:rsid w:val="00A27EED"/>
    <w:rsid w:val="00A34029"/>
    <w:rsid w:val="00A53B02"/>
    <w:rsid w:val="00A60F76"/>
    <w:rsid w:val="00A62FB0"/>
    <w:rsid w:val="00A660A1"/>
    <w:rsid w:val="00A71D4C"/>
    <w:rsid w:val="00A737B1"/>
    <w:rsid w:val="00A74E96"/>
    <w:rsid w:val="00A814B3"/>
    <w:rsid w:val="00A90CE2"/>
    <w:rsid w:val="00A93C42"/>
    <w:rsid w:val="00AA752E"/>
    <w:rsid w:val="00AC058B"/>
    <w:rsid w:val="00AD0B72"/>
    <w:rsid w:val="00AE45AF"/>
    <w:rsid w:val="00AF5927"/>
    <w:rsid w:val="00B07E27"/>
    <w:rsid w:val="00B12F1B"/>
    <w:rsid w:val="00B14DAF"/>
    <w:rsid w:val="00B22D04"/>
    <w:rsid w:val="00B25818"/>
    <w:rsid w:val="00B30BA6"/>
    <w:rsid w:val="00B4127A"/>
    <w:rsid w:val="00B42D50"/>
    <w:rsid w:val="00B4476C"/>
    <w:rsid w:val="00B469F2"/>
    <w:rsid w:val="00B50597"/>
    <w:rsid w:val="00B50C25"/>
    <w:rsid w:val="00B52FDA"/>
    <w:rsid w:val="00B61C77"/>
    <w:rsid w:val="00B66EAE"/>
    <w:rsid w:val="00B74D78"/>
    <w:rsid w:val="00B92503"/>
    <w:rsid w:val="00B92C5E"/>
    <w:rsid w:val="00B95547"/>
    <w:rsid w:val="00B956D9"/>
    <w:rsid w:val="00BA521E"/>
    <w:rsid w:val="00BC163A"/>
    <w:rsid w:val="00BC7E3E"/>
    <w:rsid w:val="00BD6E3D"/>
    <w:rsid w:val="00BE3120"/>
    <w:rsid w:val="00BE3D5B"/>
    <w:rsid w:val="00BF0242"/>
    <w:rsid w:val="00BF1D04"/>
    <w:rsid w:val="00BF4BB4"/>
    <w:rsid w:val="00BF5CF7"/>
    <w:rsid w:val="00C05736"/>
    <w:rsid w:val="00C20767"/>
    <w:rsid w:val="00C22E28"/>
    <w:rsid w:val="00C25D72"/>
    <w:rsid w:val="00C302F5"/>
    <w:rsid w:val="00C337E1"/>
    <w:rsid w:val="00C35943"/>
    <w:rsid w:val="00C36BFA"/>
    <w:rsid w:val="00C4466B"/>
    <w:rsid w:val="00C46658"/>
    <w:rsid w:val="00C53B32"/>
    <w:rsid w:val="00C62CCD"/>
    <w:rsid w:val="00C6668C"/>
    <w:rsid w:val="00C732D4"/>
    <w:rsid w:val="00C732EC"/>
    <w:rsid w:val="00C83201"/>
    <w:rsid w:val="00C83419"/>
    <w:rsid w:val="00C85FA8"/>
    <w:rsid w:val="00C97CBD"/>
    <w:rsid w:val="00CA489B"/>
    <w:rsid w:val="00CA7F54"/>
    <w:rsid w:val="00CB0453"/>
    <w:rsid w:val="00CB3D7C"/>
    <w:rsid w:val="00CC55BD"/>
    <w:rsid w:val="00CC7293"/>
    <w:rsid w:val="00CD0BCE"/>
    <w:rsid w:val="00CD4308"/>
    <w:rsid w:val="00CE62DD"/>
    <w:rsid w:val="00CE70BD"/>
    <w:rsid w:val="00CE71B4"/>
    <w:rsid w:val="00CF133C"/>
    <w:rsid w:val="00CF29DC"/>
    <w:rsid w:val="00D02116"/>
    <w:rsid w:val="00D10325"/>
    <w:rsid w:val="00D13246"/>
    <w:rsid w:val="00D1745C"/>
    <w:rsid w:val="00D222BE"/>
    <w:rsid w:val="00D271BF"/>
    <w:rsid w:val="00D33129"/>
    <w:rsid w:val="00D352CE"/>
    <w:rsid w:val="00D453EB"/>
    <w:rsid w:val="00D45E20"/>
    <w:rsid w:val="00D5263B"/>
    <w:rsid w:val="00D61982"/>
    <w:rsid w:val="00D83E6C"/>
    <w:rsid w:val="00D85083"/>
    <w:rsid w:val="00D850AB"/>
    <w:rsid w:val="00D949C3"/>
    <w:rsid w:val="00DA3D2D"/>
    <w:rsid w:val="00DC4D52"/>
    <w:rsid w:val="00DD1BEC"/>
    <w:rsid w:val="00DD5334"/>
    <w:rsid w:val="00DD5CBD"/>
    <w:rsid w:val="00DE3F1A"/>
    <w:rsid w:val="00DE4F50"/>
    <w:rsid w:val="00DE50D2"/>
    <w:rsid w:val="00DE5851"/>
    <w:rsid w:val="00DE5F1E"/>
    <w:rsid w:val="00DF4AB6"/>
    <w:rsid w:val="00DF63DC"/>
    <w:rsid w:val="00E33646"/>
    <w:rsid w:val="00E34F23"/>
    <w:rsid w:val="00E353E3"/>
    <w:rsid w:val="00E42050"/>
    <w:rsid w:val="00E44458"/>
    <w:rsid w:val="00E50B57"/>
    <w:rsid w:val="00E54605"/>
    <w:rsid w:val="00E54D3F"/>
    <w:rsid w:val="00E60542"/>
    <w:rsid w:val="00E67D21"/>
    <w:rsid w:val="00E70B1C"/>
    <w:rsid w:val="00E80FEA"/>
    <w:rsid w:val="00E85F94"/>
    <w:rsid w:val="00E92B8C"/>
    <w:rsid w:val="00E95962"/>
    <w:rsid w:val="00EA05B8"/>
    <w:rsid w:val="00EA6A87"/>
    <w:rsid w:val="00EA7EBE"/>
    <w:rsid w:val="00EC323E"/>
    <w:rsid w:val="00ED3B3B"/>
    <w:rsid w:val="00EF2993"/>
    <w:rsid w:val="00F05FF9"/>
    <w:rsid w:val="00F0791D"/>
    <w:rsid w:val="00F240F1"/>
    <w:rsid w:val="00F36B6D"/>
    <w:rsid w:val="00F415C8"/>
    <w:rsid w:val="00F41D33"/>
    <w:rsid w:val="00F54A46"/>
    <w:rsid w:val="00F55C8F"/>
    <w:rsid w:val="00F57448"/>
    <w:rsid w:val="00F67A5F"/>
    <w:rsid w:val="00F91655"/>
    <w:rsid w:val="00F91F35"/>
    <w:rsid w:val="00F93354"/>
    <w:rsid w:val="00F96879"/>
    <w:rsid w:val="00FA3E00"/>
    <w:rsid w:val="00FB1FC8"/>
    <w:rsid w:val="00FC3CD2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E1383"/>
  <w15:chartTrackingRefBased/>
  <w15:docId w15:val="{DC8F664F-5BB4-4919-9467-B6AE00DE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D3F"/>
    <w:pPr>
      <w:jc w:val="both"/>
    </w:pPr>
    <w:rPr>
      <w:rFonts w:eastAsia="Times New Roman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82BE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B7D9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B7D9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82B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locked/>
    <w:rsid w:val="001B7D9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locked/>
    <w:rsid w:val="001B7D96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semiHidden/>
    <w:rsid w:val="0088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82BE1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B7D96"/>
    <w:pPr>
      <w:ind w:left="720"/>
      <w:contextualSpacing/>
    </w:pPr>
  </w:style>
  <w:style w:type="table" w:styleId="Mkatabulky">
    <w:name w:val="Table Grid"/>
    <w:basedOn w:val="Normlntabulka"/>
    <w:rsid w:val="001B7D9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443C2F"/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locked/>
    <w:rsid w:val="00443C2F"/>
    <w:rPr>
      <w:rFonts w:ascii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uiPriority w:val="22"/>
    <w:qFormat/>
    <w:locked/>
    <w:rsid w:val="00106053"/>
    <w:rPr>
      <w:rFonts w:ascii="Calibri" w:hAnsi="Calibri"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C25D72"/>
    <w:rPr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C25D72"/>
    <w:rPr>
      <w:rFonts w:cs="Times New Roman"/>
      <w:sz w:val="20"/>
      <w:szCs w:val="20"/>
      <w:lang w:val="x-none" w:eastAsia="en-US"/>
    </w:rPr>
  </w:style>
  <w:style w:type="character" w:styleId="Znakapoznpodarou">
    <w:name w:val="footnote reference"/>
    <w:semiHidden/>
    <w:rsid w:val="00C25D72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114867"/>
    <w:pPr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486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48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4CFB"/>
    <w:pPr>
      <w:ind w:left="720"/>
      <w:contextualSpacing/>
    </w:pPr>
  </w:style>
  <w:style w:type="character" w:styleId="Hypertextovodkaz">
    <w:name w:val="Hyperlink"/>
    <w:basedOn w:val="Standardnpsmoodstavce"/>
    <w:rsid w:val="000B716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obus@sekobu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_activity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F10A-B3CE-43D2-AFC6-27615043E1BA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936c800-56e0-4422-af01-52e1a0975456"/>
    <ds:schemaRef ds:uri="bcc0b828-da13-49d0-8a4f-74fa4551fbc8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A550BA-FFB6-4AE2-8CEE-47CD2559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14ADB-4AB9-49F2-8DC7-B58CB64C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CA5A-F1D7-4981-BFFE-6040AB00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INFIS Plzeň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smidl</dc:creator>
  <cp:keywords/>
  <dc:description/>
  <cp:lastModifiedBy>Marcel Man</cp:lastModifiedBy>
  <cp:revision>2</cp:revision>
  <cp:lastPrinted>2025-02-17T10:18:00Z</cp:lastPrinted>
  <dcterms:created xsi:type="dcterms:W3CDTF">2025-02-25T06:55:00Z</dcterms:created>
  <dcterms:modified xsi:type="dcterms:W3CDTF">2025-02-25T06:55:00Z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