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E9238" w14:textId="759768C7" w:rsidR="004A1A8A" w:rsidRDefault="0071236B">
      <w:pPr>
        <w:spacing w:after="0" w:line="24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Dodatek č.</w:t>
      </w:r>
      <w:r w:rsidR="0079524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1 ke Smlouvě o poskytnutí oprávnění k užití aplikace </w:t>
      </w:r>
      <w:r w:rsidR="00A866F5" w:rsidRPr="00795243">
        <w:rPr>
          <w:b/>
          <w:sz w:val="26"/>
          <w:szCs w:val="26"/>
        </w:rPr>
        <w:t>MONITORA</w:t>
      </w:r>
    </w:p>
    <w:p w14:paraId="710C49E7" w14:textId="77777777" w:rsidR="004A1A8A" w:rsidRDefault="0071236B">
      <w:pPr>
        <w:shd w:val="clear" w:color="auto" w:fill="FFFFFF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(dále jen „dodatek“) uzavřený mezi smluvními stranami</w:t>
      </w:r>
    </w:p>
    <w:p w14:paraId="7F7C21C5" w14:textId="77777777" w:rsidR="004A1A8A" w:rsidRDefault="004A1A8A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after="0" w:line="240" w:lineRule="auto"/>
        <w:jc w:val="center"/>
        <w:rPr>
          <w:sz w:val="20"/>
          <w:szCs w:val="20"/>
        </w:rPr>
      </w:pPr>
    </w:p>
    <w:p w14:paraId="58287056" w14:textId="77777777" w:rsidR="004A1A8A" w:rsidRDefault="0071236B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after="0" w:line="240" w:lineRule="auto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Smlouva č.: </w:t>
      </w:r>
      <w:r>
        <w:rPr>
          <w:sz w:val="20"/>
          <w:szCs w:val="20"/>
        </w:rPr>
        <w:t>152495</w:t>
      </w:r>
      <w:r>
        <w:rPr>
          <w:color w:val="000000"/>
          <w:sz w:val="20"/>
          <w:szCs w:val="20"/>
        </w:rPr>
        <w:t xml:space="preserve"> - </w:t>
      </w:r>
      <w:r>
        <w:rPr>
          <w:sz w:val="20"/>
          <w:szCs w:val="20"/>
        </w:rPr>
        <w:t>simona.hruskova@mediaboard.com</w:t>
      </w:r>
    </w:p>
    <w:p w14:paraId="226A7121" w14:textId="77777777" w:rsidR="004A1A8A" w:rsidRDefault="004A1A8A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after="0" w:line="240" w:lineRule="auto"/>
        <w:jc w:val="center"/>
        <w:rPr>
          <w:sz w:val="20"/>
          <w:szCs w:val="20"/>
        </w:rPr>
      </w:pPr>
    </w:p>
    <w:p w14:paraId="6882C951" w14:textId="77777777" w:rsidR="004A1A8A" w:rsidRDefault="0071236B">
      <w:pPr>
        <w:tabs>
          <w:tab w:val="left" w:pos="2835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Název: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Mediaboard</w:t>
      </w:r>
      <w:proofErr w:type="spellEnd"/>
      <w:r>
        <w:rPr>
          <w:sz w:val="20"/>
          <w:szCs w:val="20"/>
        </w:rPr>
        <w:t xml:space="preserve"> s.r.o. </w:t>
      </w:r>
    </w:p>
    <w:p w14:paraId="7C720974" w14:textId="77777777" w:rsidR="004A1A8A" w:rsidRDefault="0071236B">
      <w:pPr>
        <w:tabs>
          <w:tab w:val="left" w:pos="2835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Zápis v OR:</w:t>
      </w:r>
      <w:r>
        <w:rPr>
          <w:sz w:val="20"/>
          <w:szCs w:val="20"/>
        </w:rPr>
        <w:tab/>
        <w:t>Městský soud v Praze, oddíl C, vložka 240838</w:t>
      </w:r>
    </w:p>
    <w:p w14:paraId="3DE1AFF6" w14:textId="77777777" w:rsidR="004A1A8A" w:rsidRDefault="0071236B">
      <w:pPr>
        <w:tabs>
          <w:tab w:val="left" w:pos="2835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Sídlo:</w:t>
      </w:r>
      <w:r>
        <w:rPr>
          <w:sz w:val="20"/>
          <w:szCs w:val="20"/>
        </w:rPr>
        <w:tab/>
        <w:t xml:space="preserve">Nádražní 762/32, Praha </w:t>
      </w:r>
      <w:proofErr w:type="gramStart"/>
      <w:r>
        <w:rPr>
          <w:sz w:val="20"/>
          <w:szCs w:val="20"/>
        </w:rPr>
        <w:t>5,  PSČ</w:t>
      </w:r>
      <w:proofErr w:type="gramEnd"/>
      <w:r>
        <w:rPr>
          <w:sz w:val="20"/>
          <w:szCs w:val="20"/>
        </w:rPr>
        <w:t>: 150 00</w:t>
      </w:r>
    </w:p>
    <w:p w14:paraId="16283DC5" w14:textId="77777777" w:rsidR="004A1A8A" w:rsidRDefault="0071236B">
      <w:pPr>
        <w:tabs>
          <w:tab w:val="left" w:pos="2835"/>
        </w:tabs>
        <w:spacing w:after="0" w:line="24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IČ: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>03980481</w:t>
      </w:r>
    </w:p>
    <w:p w14:paraId="20D67A65" w14:textId="77777777" w:rsidR="004A1A8A" w:rsidRDefault="0071236B">
      <w:pPr>
        <w:tabs>
          <w:tab w:val="left" w:pos="2835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DIČ:</w:t>
      </w:r>
      <w:r>
        <w:rPr>
          <w:sz w:val="20"/>
          <w:szCs w:val="20"/>
        </w:rPr>
        <w:tab/>
        <w:t>CZ03980481</w:t>
      </w:r>
    </w:p>
    <w:p w14:paraId="5F2247A3" w14:textId="77777777" w:rsidR="004A1A8A" w:rsidRDefault="0071236B">
      <w:pPr>
        <w:tabs>
          <w:tab w:val="left" w:pos="2835"/>
        </w:tabs>
        <w:spacing w:after="0" w:line="24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Zastoupená:   </w:t>
      </w:r>
      <w:proofErr w:type="gramEnd"/>
      <w:r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ab/>
        <w:t>Tomáš Berger, jednatel</w:t>
      </w:r>
    </w:p>
    <w:p w14:paraId="412314FA" w14:textId="77777777" w:rsidR="004A1A8A" w:rsidRDefault="0071236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(dále jen „</w:t>
      </w:r>
      <w:r>
        <w:rPr>
          <w:b/>
          <w:sz w:val="20"/>
          <w:szCs w:val="20"/>
        </w:rPr>
        <w:t>Poskytovatel</w:t>
      </w:r>
      <w:r>
        <w:rPr>
          <w:sz w:val="20"/>
          <w:szCs w:val="20"/>
        </w:rPr>
        <w:t>“)</w:t>
      </w:r>
    </w:p>
    <w:p w14:paraId="79E88FB6" w14:textId="77777777" w:rsidR="004A1A8A" w:rsidRDefault="0071236B">
      <w:pPr>
        <w:spacing w:before="140" w:after="14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</w:p>
    <w:p w14:paraId="69DE319A" w14:textId="77777777" w:rsidR="004A1A8A" w:rsidRDefault="0071236B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 w:line="240" w:lineRule="auto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Název: </w:t>
      </w:r>
      <w:r>
        <w:rPr>
          <w:color w:val="000000"/>
          <w:sz w:val="20"/>
          <w:szCs w:val="20"/>
        </w:rPr>
        <w:tab/>
      </w:r>
      <w:r>
        <w:rPr>
          <w:b/>
          <w:sz w:val="20"/>
          <w:szCs w:val="20"/>
        </w:rPr>
        <w:t>Muzeum umění Olomouc</w:t>
      </w:r>
    </w:p>
    <w:p w14:paraId="0C21BDC9" w14:textId="77777777" w:rsidR="004A1A8A" w:rsidRDefault="0071236B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Zápis v OR: </w:t>
      </w:r>
      <w:r>
        <w:rPr>
          <w:color w:val="000000"/>
          <w:sz w:val="20"/>
          <w:szCs w:val="20"/>
        </w:rPr>
        <w:tab/>
      </w:r>
      <w:r>
        <w:rPr>
          <w:sz w:val="20"/>
          <w:szCs w:val="20"/>
        </w:rPr>
        <w:t xml:space="preserve"> - </w:t>
      </w:r>
    </w:p>
    <w:p w14:paraId="057A7D86" w14:textId="77777777" w:rsidR="004A1A8A" w:rsidRDefault="0071236B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Sídlo: </w:t>
      </w:r>
      <w:r>
        <w:rPr>
          <w:color w:val="000000"/>
          <w:sz w:val="20"/>
          <w:szCs w:val="20"/>
        </w:rPr>
        <w:tab/>
      </w:r>
      <w:r>
        <w:rPr>
          <w:sz w:val="20"/>
          <w:szCs w:val="20"/>
        </w:rPr>
        <w:t>Denisova 824/</w:t>
      </w:r>
      <w:proofErr w:type="gramStart"/>
      <w:r>
        <w:rPr>
          <w:sz w:val="20"/>
          <w:szCs w:val="20"/>
        </w:rPr>
        <w:t>47,  Olomouc</w:t>
      </w:r>
      <w:proofErr w:type="gramEnd"/>
      <w:r>
        <w:rPr>
          <w:sz w:val="20"/>
          <w:szCs w:val="20"/>
        </w:rPr>
        <w:t xml:space="preserve">  77900</w:t>
      </w:r>
    </w:p>
    <w:p w14:paraId="472E2551" w14:textId="77777777" w:rsidR="004A1A8A" w:rsidRDefault="0071236B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IČ: </w:t>
      </w:r>
      <w:r>
        <w:rPr>
          <w:color w:val="000000"/>
          <w:sz w:val="20"/>
          <w:szCs w:val="20"/>
        </w:rPr>
        <w:tab/>
      </w:r>
      <w:r>
        <w:rPr>
          <w:sz w:val="20"/>
          <w:szCs w:val="20"/>
        </w:rPr>
        <w:t>75079950</w:t>
      </w:r>
    </w:p>
    <w:p w14:paraId="505A71A3" w14:textId="77777777" w:rsidR="004A1A8A" w:rsidRDefault="0071236B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DIČ:</w:t>
      </w:r>
      <w:r>
        <w:rPr>
          <w:color w:val="000000"/>
          <w:sz w:val="20"/>
          <w:szCs w:val="20"/>
        </w:rPr>
        <w:tab/>
      </w:r>
      <w:r>
        <w:rPr>
          <w:sz w:val="20"/>
          <w:szCs w:val="20"/>
        </w:rPr>
        <w:t>CZ75079950</w:t>
      </w:r>
    </w:p>
    <w:p w14:paraId="38C6528E" w14:textId="77777777" w:rsidR="004A1A8A" w:rsidRDefault="0071236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(dále jen „</w:t>
      </w:r>
      <w:r>
        <w:rPr>
          <w:b/>
          <w:sz w:val="20"/>
          <w:szCs w:val="20"/>
        </w:rPr>
        <w:t>Nabyvatel</w:t>
      </w:r>
      <w:r>
        <w:rPr>
          <w:sz w:val="20"/>
          <w:szCs w:val="20"/>
        </w:rPr>
        <w:t>“)</w:t>
      </w:r>
    </w:p>
    <w:p w14:paraId="2F8356C2" w14:textId="4BA977C4" w:rsidR="00795243" w:rsidRDefault="0071236B" w:rsidP="00795243">
      <w:pPr>
        <w:pStyle w:val="Odstavecseseznamem"/>
        <w:numPr>
          <w:ilvl w:val="0"/>
          <w:numId w:val="2"/>
        </w:numPr>
        <w:spacing w:before="360" w:after="120"/>
        <w:jc w:val="both"/>
        <w:rPr>
          <w:b/>
          <w:sz w:val="20"/>
          <w:szCs w:val="20"/>
        </w:rPr>
      </w:pPr>
      <w:r w:rsidRPr="00795243">
        <w:rPr>
          <w:b/>
          <w:sz w:val="20"/>
          <w:szCs w:val="20"/>
        </w:rPr>
        <w:t>Předmět dodatku</w:t>
      </w:r>
    </w:p>
    <w:p w14:paraId="6E7D4A91" w14:textId="77777777" w:rsidR="00795243" w:rsidRDefault="00795243" w:rsidP="00795243">
      <w:pPr>
        <w:pStyle w:val="Odstavecseseznamem"/>
        <w:numPr>
          <w:ilvl w:val="1"/>
          <w:numId w:val="3"/>
        </w:numPr>
        <w:tabs>
          <w:tab w:val="left" w:pos="833"/>
          <w:tab w:val="left" w:pos="836"/>
        </w:tabs>
        <w:spacing w:after="120"/>
        <w:ind w:left="720" w:right="98"/>
        <w:jc w:val="both"/>
        <w:rPr>
          <w:sz w:val="20"/>
          <w:szCs w:val="20"/>
        </w:rPr>
      </w:pPr>
      <w:r w:rsidRPr="00795243">
        <w:rPr>
          <w:sz w:val="20"/>
          <w:szCs w:val="20"/>
        </w:rPr>
        <w:t xml:space="preserve">Společnost </w:t>
      </w:r>
      <w:proofErr w:type="spellStart"/>
      <w:r w:rsidRPr="00795243">
        <w:rPr>
          <w:sz w:val="20"/>
          <w:szCs w:val="20"/>
        </w:rPr>
        <w:t>Mediaboard</w:t>
      </w:r>
      <w:proofErr w:type="spellEnd"/>
      <w:r w:rsidRPr="00795243">
        <w:rPr>
          <w:sz w:val="20"/>
          <w:szCs w:val="20"/>
        </w:rPr>
        <w:t>, s.r.o., uzavřela ještě pod svým dřívějším názvem Monitora Media, s.r.o., s Muzeem umění Olomouc dne 17.2.2022 Smlouvu o poskytnutí oprávnění k užití aplikace MONITORA č.: 113735 (dále jen „Smlouva“). Obě smluvní strany potvrzují, že smluvní vztah založený Smlouvou mezi nimi trvá.</w:t>
      </w:r>
    </w:p>
    <w:p w14:paraId="6C8DD695" w14:textId="6EA97433" w:rsidR="00795243" w:rsidRPr="00795243" w:rsidRDefault="00A866F5" w:rsidP="00795243">
      <w:pPr>
        <w:pStyle w:val="Odstavecseseznamem"/>
        <w:numPr>
          <w:ilvl w:val="1"/>
          <w:numId w:val="3"/>
        </w:numPr>
        <w:tabs>
          <w:tab w:val="left" w:pos="833"/>
          <w:tab w:val="left" w:pos="836"/>
        </w:tabs>
        <w:spacing w:after="120"/>
        <w:ind w:left="720" w:right="98"/>
        <w:jc w:val="both"/>
        <w:rPr>
          <w:sz w:val="20"/>
          <w:szCs w:val="20"/>
        </w:rPr>
      </w:pPr>
      <w:r w:rsidRPr="00795243">
        <w:rPr>
          <w:sz w:val="20"/>
        </w:rPr>
        <w:t>V souvislosti se změnou názvu Poskytovatele dochází také ke změně názvu aplikace, jejíž užití je předmětem Smlouvy.  Název aplikace se změnil z původního názvu „MONITORA“ na současný název „</w:t>
      </w:r>
      <w:proofErr w:type="spellStart"/>
      <w:r w:rsidRPr="00795243">
        <w:rPr>
          <w:sz w:val="20"/>
        </w:rPr>
        <w:t>Mediaboard</w:t>
      </w:r>
      <w:proofErr w:type="spellEnd"/>
      <w:r w:rsidRPr="00795243">
        <w:rPr>
          <w:sz w:val="20"/>
        </w:rPr>
        <w:t xml:space="preserve">“. Smluvní strany se dohodly, že všechny výskyty slovního spojení „aplikace MONITORA“ budou ve Smlouvě nahrazeny smluvním spojením „aplikace </w:t>
      </w:r>
      <w:proofErr w:type="spellStart"/>
      <w:r w:rsidRPr="00795243">
        <w:rPr>
          <w:sz w:val="20"/>
        </w:rPr>
        <w:t>Mediaboard</w:t>
      </w:r>
      <w:proofErr w:type="spellEnd"/>
      <w:r w:rsidRPr="00795243">
        <w:rPr>
          <w:sz w:val="20"/>
        </w:rPr>
        <w:t xml:space="preserve">“. Případné odkazy na aplikaci MONITORA tak budou smluvní strany chápat jako odkaz na aplikaci </w:t>
      </w:r>
      <w:proofErr w:type="spellStart"/>
      <w:r w:rsidRPr="00795243">
        <w:rPr>
          <w:sz w:val="20"/>
        </w:rPr>
        <w:t>Mediaboard</w:t>
      </w:r>
      <w:proofErr w:type="spellEnd"/>
      <w:r w:rsidRPr="00795243">
        <w:rPr>
          <w:sz w:val="20"/>
        </w:rPr>
        <w:t>.</w:t>
      </w:r>
    </w:p>
    <w:p w14:paraId="114B8BD2" w14:textId="7133D561" w:rsidR="004A1A8A" w:rsidRPr="00795243" w:rsidRDefault="00795243" w:rsidP="00795243">
      <w:pPr>
        <w:pStyle w:val="Odstavecseseznamem"/>
        <w:numPr>
          <w:ilvl w:val="1"/>
          <w:numId w:val="3"/>
        </w:numPr>
        <w:tabs>
          <w:tab w:val="left" w:pos="833"/>
          <w:tab w:val="left" w:pos="836"/>
        </w:tabs>
        <w:spacing w:after="120"/>
        <w:ind w:left="720" w:right="98"/>
        <w:jc w:val="both"/>
        <w:rPr>
          <w:sz w:val="20"/>
          <w:szCs w:val="20"/>
        </w:rPr>
      </w:pPr>
      <w:r w:rsidRPr="00795243">
        <w:rPr>
          <w:sz w:val="20"/>
          <w:szCs w:val="20"/>
        </w:rPr>
        <w:t>S</w:t>
      </w:r>
      <w:r w:rsidR="0071236B" w:rsidRPr="00795243">
        <w:rPr>
          <w:sz w:val="20"/>
          <w:szCs w:val="20"/>
        </w:rPr>
        <w:t>mluvní strany se dohodly na změně čl. 5.1 Smlouvy, který od 1.3.2025 platí následovně:</w:t>
      </w:r>
    </w:p>
    <w:p w14:paraId="1A3FBCC0" w14:textId="447C50CB" w:rsidR="004A1A8A" w:rsidRPr="00795243" w:rsidRDefault="0071236B">
      <w:pPr>
        <w:numPr>
          <w:ilvl w:val="0"/>
          <w:numId w:val="1"/>
        </w:numPr>
        <w:spacing w:before="60" w:after="60" w:line="240" w:lineRule="auto"/>
        <w:rPr>
          <w:sz w:val="20"/>
          <w:szCs w:val="20"/>
        </w:rPr>
      </w:pPr>
      <w:r w:rsidRPr="00795243">
        <w:rPr>
          <w:sz w:val="20"/>
          <w:szCs w:val="20"/>
        </w:rPr>
        <w:t xml:space="preserve">Celková výše </w:t>
      </w:r>
      <w:r w:rsidR="00014B7D">
        <w:rPr>
          <w:sz w:val="20"/>
          <w:szCs w:val="20"/>
        </w:rPr>
        <w:t xml:space="preserve">roční </w:t>
      </w:r>
      <w:r w:rsidRPr="00795243">
        <w:rPr>
          <w:sz w:val="20"/>
          <w:szCs w:val="20"/>
        </w:rPr>
        <w:t>odměny za 1 licenci</w:t>
      </w:r>
      <w:r w:rsidR="00A866F5" w:rsidRPr="00795243">
        <w:rPr>
          <w:sz w:val="20"/>
          <w:szCs w:val="20"/>
        </w:rPr>
        <w:t xml:space="preserve"> za monitoring</w:t>
      </w:r>
      <w:r w:rsidRPr="00795243">
        <w:rPr>
          <w:sz w:val="20"/>
          <w:szCs w:val="20"/>
        </w:rPr>
        <w:t xml:space="preserve">: </w:t>
      </w:r>
      <w:r w:rsidRPr="00795243">
        <w:rPr>
          <w:b/>
          <w:sz w:val="20"/>
          <w:szCs w:val="20"/>
        </w:rPr>
        <w:t>66.000 Kč bez DPH</w:t>
      </w:r>
      <w:r w:rsidR="000D22DB">
        <w:rPr>
          <w:b/>
          <w:sz w:val="20"/>
          <w:szCs w:val="20"/>
        </w:rPr>
        <w:t>, což je 79.860 vč. DPH</w:t>
      </w:r>
    </w:p>
    <w:p w14:paraId="1A38D3D7" w14:textId="1D96423B" w:rsidR="004A1A8A" w:rsidRDefault="0071236B">
      <w:pPr>
        <w:spacing w:before="360" w:after="120" w:line="240" w:lineRule="auto"/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b/>
          <w:sz w:val="20"/>
          <w:szCs w:val="20"/>
        </w:rPr>
        <w:t>Závěrečná ustanovení</w:t>
      </w:r>
    </w:p>
    <w:tbl>
      <w:tblPr>
        <w:tblStyle w:val="a"/>
        <w:tblpPr w:leftFromText="141" w:rightFromText="141" w:vertAnchor="text" w:horzAnchor="margin" w:tblpY="1999"/>
        <w:tblW w:w="9356" w:type="dxa"/>
        <w:tblLayout w:type="fixed"/>
        <w:tblLook w:val="04A0" w:firstRow="1" w:lastRow="0" w:firstColumn="1" w:lastColumn="0" w:noHBand="0" w:noVBand="1"/>
      </w:tblPr>
      <w:tblGrid>
        <w:gridCol w:w="4652"/>
        <w:gridCol w:w="4704"/>
      </w:tblGrid>
      <w:tr w:rsidR="0071236B" w14:paraId="54BBCF17" w14:textId="77777777" w:rsidTr="0071236B">
        <w:trPr>
          <w:trHeight w:val="2159"/>
        </w:trPr>
        <w:tc>
          <w:tcPr>
            <w:tcW w:w="4652" w:type="dxa"/>
          </w:tcPr>
          <w:p w14:paraId="2A5FEAEF" w14:textId="4793971A" w:rsidR="0071236B" w:rsidRDefault="0071236B" w:rsidP="0071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7" w:hanging="56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Praha, dne 13/02/2025</w:t>
            </w:r>
          </w:p>
          <w:p w14:paraId="065A22B9" w14:textId="4D69FB51" w:rsidR="0071236B" w:rsidRDefault="0071236B" w:rsidP="0071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53F8F76A" w14:textId="77777777" w:rsidR="00673007" w:rsidRDefault="00673007" w:rsidP="0071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424C74B5" w14:textId="77777777" w:rsidR="00673007" w:rsidRDefault="00673007" w:rsidP="0071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4AF2C8DB" w14:textId="77777777" w:rsidR="0071236B" w:rsidRDefault="0071236B" w:rsidP="0071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5F10557E" w14:textId="77777777" w:rsidR="0071236B" w:rsidRDefault="0071236B" w:rsidP="0071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7" w:hanging="56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</w:t>
            </w:r>
          </w:p>
          <w:p w14:paraId="10ACBE1C" w14:textId="77777777" w:rsidR="0071236B" w:rsidRDefault="0071236B" w:rsidP="0071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7" w:hanging="56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Poskytovatel</w:t>
            </w:r>
          </w:p>
          <w:p w14:paraId="4E05EAE6" w14:textId="77777777" w:rsidR="0071236B" w:rsidRDefault="0071236B" w:rsidP="0071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7" w:hanging="567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Mediaboard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, s.r.o.</w:t>
            </w:r>
          </w:p>
          <w:p w14:paraId="54115245" w14:textId="77777777" w:rsidR="0071236B" w:rsidRDefault="0071236B" w:rsidP="0071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7" w:hanging="56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Tomáš Berger, jednatel</w:t>
            </w:r>
          </w:p>
        </w:tc>
        <w:tc>
          <w:tcPr>
            <w:tcW w:w="4704" w:type="dxa"/>
          </w:tcPr>
          <w:p w14:paraId="378DFD4E" w14:textId="473B0BD6" w:rsidR="0071236B" w:rsidRDefault="0071236B" w:rsidP="0071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7" w:hanging="56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Olomouc</w:t>
            </w:r>
            <w:r>
              <w:rPr>
                <w:color w:val="000000"/>
                <w:sz w:val="20"/>
                <w:szCs w:val="20"/>
              </w:rPr>
              <w:t xml:space="preserve">, dne </w:t>
            </w:r>
            <w:r w:rsidR="009C1074">
              <w:rPr>
                <w:color w:val="000000"/>
                <w:sz w:val="20"/>
                <w:szCs w:val="20"/>
              </w:rPr>
              <w:t>19. 2. 2025</w:t>
            </w:r>
          </w:p>
          <w:p w14:paraId="5D3B63D0" w14:textId="77777777" w:rsidR="0071236B" w:rsidRDefault="0071236B" w:rsidP="0071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7" w:hanging="567"/>
              <w:jc w:val="center"/>
              <w:rPr>
                <w:sz w:val="20"/>
                <w:szCs w:val="20"/>
              </w:rPr>
            </w:pPr>
          </w:p>
          <w:p w14:paraId="4A711188" w14:textId="77777777" w:rsidR="0071236B" w:rsidRDefault="0071236B" w:rsidP="0071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7" w:hanging="567"/>
              <w:jc w:val="center"/>
              <w:rPr>
                <w:color w:val="000000"/>
                <w:sz w:val="20"/>
                <w:szCs w:val="20"/>
              </w:rPr>
            </w:pPr>
          </w:p>
          <w:p w14:paraId="6EBA689E" w14:textId="77777777" w:rsidR="0071236B" w:rsidRDefault="0071236B" w:rsidP="0071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7" w:hanging="567"/>
              <w:jc w:val="center"/>
              <w:rPr>
                <w:color w:val="000000"/>
                <w:sz w:val="20"/>
                <w:szCs w:val="20"/>
              </w:rPr>
            </w:pPr>
          </w:p>
          <w:p w14:paraId="004C69EB" w14:textId="77777777" w:rsidR="0071236B" w:rsidRDefault="0071236B" w:rsidP="0071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0E87FADF" w14:textId="77777777" w:rsidR="0071236B" w:rsidRDefault="0071236B" w:rsidP="0071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7" w:hanging="56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</w:t>
            </w:r>
          </w:p>
          <w:p w14:paraId="11AFEDB8" w14:textId="77777777" w:rsidR="0071236B" w:rsidRDefault="0071236B" w:rsidP="0071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7" w:hanging="56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Nabyvatel</w:t>
            </w:r>
          </w:p>
          <w:p w14:paraId="253F703D" w14:textId="77777777" w:rsidR="0071236B" w:rsidRDefault="0071236B" w:rsidP="0071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7" w:hanging="56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Muzeum umění Olomouc</w:t>
            </w:r>
          </w:p>
          <w:p w14:paraId="0DC18945" w14:textId="77777777" w:rsidR="0071236B" w:rsidRDefault="0071236B" w:rsidP="0071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7" w:hanging="56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Mgr. Ondřej Zatloukal, ředitel</w:t>
            </w:r>
          </w:p>
        </w:tc>
      </w:tr>
    </w:tbl>
    <w:p w14:paraId="11239A87" w14:textId="5D1F80EC" w:rsidR="004A1A8A" w:rsidRDefault="0071236B" w:rsidP="0079524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2.1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      </w:t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sz w:val="20"/>
          <w:szCs w:val="20"/>
        </w:rPr>
        <w:t>Ostatní ustanovení Smlouvy zůstávají tímto dodatkem nedotčena.</w:t>
      </w:r>
    </w:p>
    <w:p w14:paraId="1DEBE218" w14:textId="72E761AD" w:rsidR="004A1A8A" w:rsidRDefault="0071236B" w:rsidP="00795243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2.2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      </w:t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sz w:val="20"/>
          <w:szCs w:val="20"/>
        </w:rPr>
        <w:t>Tento dodatek je sepsán ve dvou stejnopisech, z nichž každá strana obdrží po jednom vyhotovení.</w:t>
      </w:r>
    </w:p>
    <w:p w14:paraId="7D4D7D45" w14:textId="4626659E" w:rsidR="004A1A8A" w:rsidRDefault="0071236B" w:rsidP="0079524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2.3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      </w:t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sz w:val="20"/>
          <w:szCs w:val="20"/>
        </w:rPr>
        <w:t xml:space="preserve">Smluvní strany prohlašují, že si text tohoto dodatku před jeho podpisem přečetly, že s jeho obsahem </w:t>
      </w:r>
      <w:r w:rsidR="000D22DB">
        <w:rPr>
          <w:sz w:val="20"/>
          <w:szCs w:val="20"/>
        </w:rPr>
        <w:br/>
        <w:t xml:space="preserve">                </w:t>
      </w:r>
      <w:r>
        <w:rPr>
          <w:sz w:val="20"/>
          <w:szCs w:val="20"/>
        </w:rPr>
        <w:t>souhlasí a že tento vyjadřuje jejich svobodnou, určitou a vážnou vůli.</w:t>
      </w:r>
    </w:p>
    <w:p w14:paraId="7544A01C" w14:textId="23D20E88" w:rsidR="0071236B" w:rsidRDefault="0071236B" w:rsidP="0079524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2.4</w:t>
      </w:r>
      <w:r>
        <w:rPr>
          <w:sz w:val="20"/>
          <w:szCs w:val="20"/>
        </w:rPr>
        <w:tab/>
        <w:t>Tento dodatek nabývá účinnosti dnem podpisu oprávněných smluvních stran.</w:t>
      </w:r>
    </w:p>
    <w:sectPr w:rsidR="007123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38F18" w14:textId="77777777" w:rsidR="004B5F47" w:rsidRDefault="004B5F47">
      <w:pPr>
        <w:spacing w:after="0" w:line="240" w:lineRule="auto"/>
      </w:pPr>
      <w:r>
        <w:separator/>
      </w:r>
    </w:p>
  </w:endnote>
  <w:endnote w:type="continuationSeparator" w:id="0">
    <w:p w14:paraId="6DEEC625" w14:textId="77777777" w:rsidR="004B5F47" w:rsidRDefault="004B5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D395E" w14:textId="77777777" w:rsidR="004A1A8A" w:rsidRDefault="0071236B">
    <w:pPr>
      <w:tabs>
        <w:tab w:val="center" w:pos="4536"/>
        <w:tab w:val="right" w:pos="9072"/>
      </w:tabs>
      <w:spacing w:before="100" w:after="280" w:line="240" w:lineRule="auto"/>
      <w:jc w:val="center"/>
    </w:pPr>
    <w:proofErr w:type="spellStart"/>
    <w:r>
      <w:rPr>
        <w:rFonts w:ascii="Arial" w:eastAsia="Arial" w:hAnsi="Arial" w:cs="Arial"/>
        <w:b/>
        <w:color w:val="434343"/>
        <w:sz w:val="16"/>
        <w:szCs w:val="16"/>
      </w:rPr>
      <w:t>Mediaboard</w:t>
    </w:r>
    <w:proofErr w:type="spellEnd"/>
    <w:r>
      <w:rPr>
        <w:rFonts w:ascii="Arial" w:eastAsia="Arial" w:hAnsi="Arial" w:cs="Arial"/>
        <w:b/>
        <w:color w:val="434343"/>
        <w:sz w:val="16"/>
        <w:szCs w:val="16"/>
      </w:rPr>
      <w:t>, s.r.o. (IČ: 03980481)      Nádražní 762/32, Praha 5, 150 00       www.mediaboard.com</w:t>
    </w:r>
  </w:p>
  <w:p w14:paraId="7AFEC49B" w14:textId="77777777" w:rsidR="004A1A8A" w:rsidRDefault="004A1A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71094" w14:textId="77777777" w:rsidR="004B5F47" w:rsidRDefault="004B5F47">
      <w:pPr>
        <w:spacing w:after="0" w:line="240" w:lineRule="auto"/>
      </w:pPr>
      <w:r>
        <w:separator/>
      </w:r>
    </w:p>
  </w:footnote>
  <w:footnote w:type="continuationSeparator" w:id="0">
    <w:p w14:paraId="495A1578" w14:textId="77777777" w:rsidR="004B5F47" w:rsidRDefault="004B5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B870C" w14:textId="77777777" w:rsidR="004A1A8A" w:rsidRDefault="007123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4A89BDE" wp14:editId="33708C0F">
          <wp:simplePos x="0" y="0"/>
          <wp:positionH relativeFrom="column">
            <wp:posOffset>1</wp:posOffset>
          </wp:positionH>
          <wp:positionV relativeFrom="paragraph">
            <wp:posOffset>-142874</wp:posOffset>
          </wp:positionV>
          <wp:extent cx="1927860" cy="24098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7860" cy="2409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3A3EDA"/>
    <w:multiLevelType w:val="multilevel"/>
    <w:tmpl w:val="685E3E46"/>
    <w:lvl w:ilvl="0">
      <w:start w:val="1"/>
      <w:numFmt w:val="decimal"/>
      <w:lvlText w:val="%1."/>
      <w:lvlJc w:val="left"/>
      <w:pPr>
        <w:ind w:left="4377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37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>
      <w:numFmt w:val="bullet"/>
      <w:lvlText w:val="●"/>
      <w:lvlJc w:val="left"/>
      <w:pPr>
        <w:ind w:left="83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5468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6013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557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102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646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91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5FF633A6"/>
    <w:multiLevelType w:val="multilevel"/>
    <w:tmpl w:val="685E3E46"/>
    <w:lvl w:ilvl="0">
      <w:start w:val="1"/>
      <w:numFmt w:val="decimal"/>
      <w:lvlText w:val="%1."/>
      <w:lvlJc w:val="left"/>
      <w:pPr>
        <w:ind w:left="4377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37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>
      <w:numFmt w:val="bullet"/>
      <w:lvlText w:val="●"/>
      <w:lvlJc w:val="left"/>
      <w:pPr>
        <w:ind w:left="83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5468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6013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557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102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646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91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642E0CCD"/>
    <w:multiLevelType w:val="multilevel"/>
    <w:tmpl w:val="7E8E93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75534474">
    <w:abstractNumId w:val="2"/>
  </w:num>
  <w:num w:numId="2" w16cid:durableId="21133477">
    <w:abstractNumId w:val="0"/>
  </w:num>
  <w:num w:numId="3" w16cid:durableId="655453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A8A"/>
    <w:rsid w:val="00014B7D"/>
    <w:rsid w:val="000D22DB"/>
    <w:rsid w:val="000E555F"/>
    <w:rsid w:val="00226EA2"/>
    <w:rsid w:val="0035612D"/>
    <w:rsid w:val="00386741"/>
    <w:rsid w:val="004A1A8A"/>
    <w:rsid w:val="004B5F47"/>
    <w:rsid w:val="005E259D"/>
    <w:rsid w:val="00673007"/>
    <w:rsid w:val="00702202"/>
    <w:rsid w:val="0071236B"/>
    <w:rsid w:val="00725F0C"/>
    <w:rsid w:val="00795243"/>
    <w:rsid w:val="009C1074"/>
    <w:rsid w:val="00A141D8"/>
    <w:rsid w:val="00A30FE1"/>
    <w:rsid w:val="00A866F5"/>
    <w:rsid w:val="00BA0D37"/>
    <w:rsid w:val="00DE1CF5"/>
    <w:rsid w:val="00F5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9069"/>
  <w15:docId w15:val="{AEC6F5D5-CDA1-8D4F-8C03-E741B71F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cs-CZ" w:eastAsia="en-GB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rPr>
      <w:sz w:val="22"/>
      <w:szCs w:val="22"/>
    </w:rPr>
    <w:tblPr>
      <w:tblStyleRowBandSize w:val="1"/>
      <w:tblStyleColBandSize w:val="1"/>
    </w:tblPr>
  </w:style>
  <w:style w:type="paragraph" w:styleId="Odstavecseseznamem">
    <w:name w:val="List Paragraph"/>
    <w:basedOn w:val="Normln"/>
    <w:uiPriority w:val="1"/>
    <w:qFormat/>
    <w:rsid w:val="00A866F5"/>
    <w:pPr>
      <w:widowControl w:val="0"/>
      <w:autoSpaceDE w:val="0"/>
      <w:autoSpaceDN w:val="0"/>
      <w:spacing w:before="120" w:after="0" w:line="240" w:lineRule="auto"/>
      <w:ind w:left="836" w:hanging="720"/>
      <w:jc w:val="both"/>
    </w:pPr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95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5243"/>
  </w:style>
  <w:style w:type="paragraph" w:styleId="Zpat">
    <w:name w:val="footer"/>
    <w:basedOn w:val="Normln"/>
    <w:link w:val="ZpatChar"/>
    <w:uiPriority w:val="99"/>
    <w:unhideWhenUsed/>
    <w:rsid w:val="00795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5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1903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Kasal Tomáš</dc:creator>
  <cp:lastModifiedBy>Kovaříková Jana</cp:lastModifiedBy>
  <cp:revision>2</cp:revision>
  <cp:lastPrinted>2025-02-19T06:31:00Z</cp:lastPrinted>
  <dcterms:created xsi:type="dcterms:W3CDTF">2025-02-24T11:43:00Z</dcterms:created>
  <dcterms:modified xsi:type="dcterms:W3CDTF">2025-02-24T11:43:00Z</dcterms:modified>
</cp:coreProperties>
</file>