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53A4" w14:textId="77777777" w:rsidR="001102E7" w:rsidRDefault="007034CD">
      <w:pPr>
        <w:pStyle w:val="Nadpis20"/>
        <w:keepNext/>
        <w:keepLines/>
        <w:shd w:val="clear" w:color="auto" w:fill="auto"/>
        <w:spacing w:after="720"/>
      </w:pPr>
      <w:bookmarkStart w:id="0" w:name="bookmark0"/>
      <w:bookmarkStart w:id="1" w:name="bookmark1"/>
      <w:r>
        <w:t>SMLOUVA O SDRUŽENÝCH SLUŽBÁCH DODÁVKY ELEKTŘINY ZE SÍTÍ NN</w:t>
      </w:r>
      <w:bookmarkEnd w:id="0"/>
      <w:bookmarkEnd w:id="1"/>
    </w:p>
    <w:p w14:paraId="0D639FBC" w14:textId="77777777" w:rsidR="001102E7" w:rsidRDefault="007034CD">
      <w:pPr>
        <w:pStyle w:val="Zkladntext20"/>
        <w:shd w:val="clear" w:color="auto" w:fill="auto"/>
        <w:spacing w:after="220" w:line="240" w:lineRule="auto"/>
        <w:ind w:left="0" w:firstLine="0"/>
      </w:pPr>
      <w:r>
        <w:t>Níže uvedeného dne, měsíce a roku uzavírají "Smluvní strany"</w:t>
      </w:r>
    </w:p>
    <w:p w14:paraId="41F3AB04" w14:textId="77777777" w:rsidR="001102E7" w:rsidRDefault="007034CD">
      <w:pPr>
        <w:pStyle w:val="Titulektabulky0"/>
        <w:shd w:val="clear" w:color="auto" w:fill="auto"/>
        <w:spacing w:line="240" w:lineRule="auto"/>
        <w:ind w:firstLine="0"/>
      </w:pPr>
      <w:r>
        <w:t>''</w:t>
      </w:r>
      <w:r>
        <w:rPr>
          <w:b/>
          <w:bCs/>
        </w:rPr>
        <w:t>OBCHODNÍK</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41"/>
        <w:gridCol w:w="5237"/>
      </w:tblGrid>
      <w:tr w:rsidR="001102E7" w14:paraId="53168FC5" w14:textId="77777777">
        <w:tblPrEx>
          <w:tblCellMar>
            <w:top w:w="0" w:type="dxa"/>
            <w:bottom w:w="0" w:type="dxa"/>
          </w:tblCellMar>
        </w:tblPrEx>
        <w:trPr>
          <w:trHeight w:hRule="exact" w:val="322"/>
          <w:jc w:val="center"/>
        </w:trPr>
        <w:tc>
          <w:tcPr>
            <w:tcW w:w="3341" w:type="dxa"/>
            <w:shd w:val="clear" w:color="auto" w:fill="FFFFFF"/>
            <w:vAlign w:val="bottom"/>
          </w:tcPr>
          <w:p w14:paraId="3BF48960" w14:textId="77777777" w:rsidR="001102E7" w:rsidRDefault="007034CD">
            <w:pPr>
              <w:pStyle w:val="Jin0"/>
              <w:shd w:val="clear" w:color="auto" w:fill="auto"/>
              <w:spacing w:after="0"/>
              <w:ind w:firstLine="560"/>
              <w:rPr>
                <w:sz w:val="24"/>
                <w:szCs w:val="24"/>
              </w:rPr>
            </w:pPr>
            <w:r>
              <w:rPr>
                <w:rFonts w:ascii="Calibri" w:eastAsia="Calibri" w:hAnsi="Calibri" w:cs="Calibri"/>
                <w:sz w:val="24"/>
                <w:szCs w:val="24"/>
              </w:rPr>
              <w:t>obchodní firma:</w:t>
            </w:r>
          </w:p>
        </w:tc>
        <w:tc>
          <w:tcPr>
            <w:tcW w:w="5237" w:type="dxa"/>
            <w:shd w:val="clear" w:color="auto" w:fill="FFFFFF"/>
            <w:vAlign w:val="bottom"/>
          </w:tcPr>
          <w:p w14:paraId="2F47084F" w14:textId="77777777" w:rsidR="001102E7" w:rsidRDefault="007034CD">
            <w:pPr>
              <w:pStyle w:val="Jin0"/>
              <w:shd w:val="clear" w:color="auto" w:fill="auto"/>
              <w:spacing w:after="0"/>
              <w:ind w:firstLine="200"/>
              <w:rPr>
                <w:sz w:val="20"/>
                <w:szCs w:val="20"/>
              </w:rPr>
            </w:pPr>
            <w:proofErr w:type="spellStart"/>
            <w:r>
              <w:rPr>
                <w:rFonts w:ascii="Calibri" w:eastAsia="Calibri" w:hAnsi="Calibri" w:cs="Calibri"/>
                <w:sz w:val="20"/>
                <w:szCs w:val="20"/>
              </w:rPr>
              <w:t>Veolia</w:t>
            </w:r>
            <w:proofErr w:type="spellEnd"/>
            <w:r>
              <w:rPr>
                <w:rFonts w:ascii="Calibri" w:eastAsia="Calibri" w:hAnsi="Calibri" w:cs="Calibri"/>
                <w:sz w:val="20"/>
                <w:szCs w:val="20"/>
              </w:rPr>
              <w:t xml:space="preserve"> Komodity ČR, s.r.o.</w:t>
            </w:r>
          </w:p>
        </w:tc>
      </w:tr>
      <w:tr w:rsidR="001102E7" w14:paraId="4CA75E92" w14:textId="77777777">
        <w:tblPrEx>
          <w:tblCellMar>
            <w:top w:w="0" w:type="dxa"/>
            <w:bottom w:w="0" w:type="dxa"/>
          </w:tblCellMar>
        </w:tblPrEx>
        <w:trPr>
          <w:trHeight w:hRule="exact" w:val="374"/>
          <w:jc w:val="center"/>
        </w:trPr>
        <w:tc>
          <w:tcPr>
            <w:tcW w:w="3341" w:type="dxa"/>
            <w:shd w:val="clear" w:color="auto" w:fill="FFFFFF"/>
            <w:vAlign w:val="bottom"/>
          </w:tcPr>
          <w:p w14:paraId="239666F0"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Sídlo:</w:t>
            </w:r>
          </w:p>
        </w:tc>
        <w:tc>
          <w:tcPr>
            <w:tcW w:w="5237" w:type="dxa"/>
            <w:shd w:val="clear" w:color="auto" w:fill="FFFFFF"/>
            <w:vAlign w:val="bottom"/>
          </w:tcPr>
          <w:p w14:paraId="5BF7CE04"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28. října 3337/7, Moravská Ostrava, 702 00 Ostrava</w:t>
            </w:r>
          </w:p>
        </w:tc>
      </w:tr>
      <w:tr w:rsidR="001102E7" w14:paraId="1C2E3BA7" w14:textId="77777777">
        <w:tblPrEx>
          <w:tblCellMar>
            <w:top w:w="0" w:type="dxa"/>
            <w:bottom w:w="0" w:type="dxa"/>
          </w:tblCellMar>
        </w:tblPrEx>
        <w:trPr>
          <w:trHeight w:hRule="exact" w:val="360"/>
          <w:jc w:val="center"/>
        </w:trPr>
        <w:tc>
          <w:tcPr>
            <w:tcW w:w="3341" w:type="dxa"/>
            <w:shd w:val="clear" w:color="auto" w:fill="FFFFFF"/>
            <w:vAlign w:val="bottom"/>
          </w:tcPr>
          <w:p w14:paraId="4BE3EF30" w14:textId="77777777" w:rsidR="001102E7" w:rsidRDefault="007034CD">
            <w:pPr>
              <w:pStyle w:val="Jin0"/>
              <w:shd w:val="clear" w:color="auto" w:fill="auto"/>
              <w:spacing w:after="0"/>
              <w:ind w:firstLine="560"/>
              <w:rPr>
                <w:sz w:val="20"/>
                <w:szCs w:val="20"/>
              </w:rPr>
            </w:pPr>
            <w:proofErr w:type="spellStart"/>
            <w:r>
              <w:rPr>
                <w:rFonts w:ascii="Calibri" w:eastAsia="Calibri" w:hAnsi="Calibri" w:cs="Calibri"/>
                <w:sz w:val="20"/>
                <w:szCs w:val="20"/>
              </w:rPr>
              <w:t>lČO</w:t>
            </w:r>
            <w:proofErr w:type="spellEnd"/>
            <w:r>
              <w:rPr>
                <w:rFonts w:ascii="Calibri" w:eastAsia="Calibri" w:hAnsi="Calibri" w:cs="Calibri"/>
                <w:sz w:val="20"/>
                <w:szCs w:val="20"/>
              </w:rPr>
              <w:t>:</w:t>
            </w:r>
          </w:p>
        </w:tc>
        <w:tc>
          <w:tcPr>
            <w:tcW w:w="5237" w:type="dxa"/>
            <w:shd w:val="clear" w:color="auto" w:fill="FFFFFF"/>
            <w:vAlign w:val="bottom"/>
          </w:tcPr>
          <w:p w14:paraId="025BF0B7"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25846159</w:t>
            </w:r>
          </w:p>
        </w:tc>
      </w:tr>
      <w:tr w:rsidR="001102E7" w14:paraId="7A24C4BB" w14:textId="77777777">
        <w:tblPrEx>
          <w:tblCellMar>
            <w:top w:w="0" w:type="dxa"/>
            <w:bottom w:w="0" w:type="dxa"/>
          </w:tblCellMar>
        </w:tblPrEx>
        <w:trPr>
          <w:trHeight w:hRule="exact" w:val="365"/>
          <w:jc w:val="center"/>
        </w:trPr>
        <w:tc>
          <w:tcPr>
            <w:tcW w:w="3341" w:type="dxa"/>
            <w:shd w:val="clear" w:color="auto" w:fill="FFFFFF"/>
            <w:vAlign w:val="bottom"/>
          </w:tcPr>
          <w:p w14:paraId="34B33EBA"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DIČ:</w:t>
            </w:r>
          </w:p>
        </w:tc>
        <w:tc>
          <w:tcPr>
            <w:tcW w:w="5237" w:type="dxa"/>
            <w:shd w:val="clear" w:color="auto" w:fill="FFFFFF"/>
            <w:vAlign w:val="bottom"/>
          </w:tcPr>
          <w:p w14:paraId="5B7A33DE"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CZ25846159, plátce DPH</w:t>
            </w:r>
          </w:p>
        </w:tc>
      </w:tr>
      <w:tr w:rsidR="001102E7" w14:paraId="7B86A38A" w14:textId="77777777">
        <w:tblPrEx>
          <w:tblCellMar>
            <w:top w:w="0" w:type="dxa"/>
            <w:bottom w:w="0" w:type="dxa"/>
          </w:tblCellMar>
        </w:tblPrEx>
        <w:trPr>
          <w:trHeight w:hRule="exact" w:val="370"/>
          <w:jc w:val="center"/>
        </w:trPr>
        <w:tc>
          <w:tcPr>
            <w:tcW w:w="3341" w:type="dxa"/>
            <w:shd w:val="clear" w:color="auto" w:fill="FFFFFF"/>
            <w:vAlign w:val="bottom"/>
          </w:tcPr>
          <w:p w14:paraId="6F9C2827"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Zapsaná v obchodním rejstříku:</w:t>
            </w:r>
          </w:p>
        </w:tc>
        <w:tc>
          <w:tcPr>
            <w:tcW w:w="5237" w:type="dxa"/>
            <w:shd w:val="clear" w:color="auto" w:fill="FFFFFF"/>
            <w:vAlign w:val="bottom"/>
          </w:tcPr>
          <w:p w14:paraId="54BD4180"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C 21431 vedená u Krajského soudu v Ostravě</w:t>
            </w:r>
          </w:p>
        </w:tc>
      </w:tr>
      <w:tr w:rsidR="001102E7" w14:paraId="7C8DA93F" w14:textId="77777777">
        <w:tblPrEx>
          <w:tblCellMar>
            <w:top w:w="0" w:type="dxa"/>
            <w:bottom w:w="0" w:type="dxa"/>
          </w:tblCellMar>
        </w:tblPrEx>
        <w:trPr>
          <w:trHeight w:hRule="exact" w:val="355"/>
          <w:jc w:val="center"/>
        </w:trPr>
        <w:tc>
          <w:tcPr>
            <w:tcW w:w="3341" w:type="dxa"/>
            <w:shd w:val="clear" w:color="auto" w:fill="FFFFFF"/>
            <w:vAlign w:val="bottom"/>
          </w:tcPr>
          <w:p w14:paraId="773CCF61"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Licence na obchod s elektřinou:</w:t>
            </w:r>
          </w:p>
        </w:tc>
        <w:tc>
          <w:tcPr>
            <w:tcW w:w="5237" w:type="dxa"/>
            <w:shd w:val="clear" w:color="auto" w:fill="FFFFFF"/>
            <w:vAlign w:val="bottom"/>
          </w:tcPr>
          <w:p w14:paraId="72ECABF4"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140605065</w:t>
            </w:r>
          </w:p>
        </w:tc>
      </w:tr>
      <w:tr w:rsidR="001102E7" w14:paraId="516822BC" w14:textId="77777777">
        <w:tblPrEx>
          <w:tblCellMar>
            <w:top w:w="0" w:type="dxa"/>
            <w:bottom w:w="0" w:type="dxa"/>
          </w:tblCellMar>
        </w:tblPrEx>
        <w:trPr>
          <w:trHeight w:hRule="exact" w:val="379"/>
          <w:jc w:val="center"/>
        </w:trPr>
        <w:tc>
          <w:tcPr>
            <w:tcW w:w="3341" w:type="dxa"/>
            <w:shd w:val="clear" w:color="auto" w:fill="FFFFFF"/>
            <w:vAlign w:val="bottom"/>
          </w:tcPr>
          <w:p w14:paraId="61A2CE98"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Registrace OTE:</w:t>
            </w:r>
          </w:p>
        </w:tc>
        <w:tc>
          <w:tcPr>
            <w:tcW w:w="5237" w:type="dxa"/>
            <w:shd w:val="clear" w:color="auto" w:fill="FFFFFF"/>
            <w:vAlign w:val="bottom"/>
          </w:tcPr>
          <w:p w14:paraId="3DDC8F09"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193</w:t>
            </w:r>
          </w:p>
        </w:tc>
      </w:tr>
      <w:tr w:rsidR="001102E7" w14:paraId="6FA5C105" w14:textId="77777777">
        <w:tblPrEx>
          <w:tblCellMar>
            <w:top w:w="0" w:type="dxa"/>
            <w:bottom w:w="0" w:type="dxa"/>
          </w:tblCellMar>
        </w:tblPrEx>
        <w:trPr>
          <w:trHeight w:hRule="exact" w:val="350"/>
          <w:jc w:val="center"/>
        </w:trPr>
        <w:tc>
          <w:tcPr>
            <w:tcW w:w="3341" w:type="dxa"/>
            <w:shd w:val="clear" w:color="auto" w:fill="FFFFFF"/>
            <w:vAlign w:val="bottom"/>
          </w:tcPr>
          <w:p w14:paraId="230977AA"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Bankovní spojení:</w:t>
            </w:r>
          </w:p>
        </w:tc>
        <w:tc>
          <w:tcPr>
            <w:tcW w:w="5237" w:type="dxa"/>
            <w:shd w:val="clear" w:color="auto" w:fill="FFFFFF"/>
            <w:vAlign w:val="bottom"/>
          </w:tcPr>
          <w:p w14:paraId="3D4087C7"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Komerční banka, a.s.</w:t>
            </w:r>
          </w:p>
        </w:tc>
      </w:tr>
      <w:tr w:rsidR="001102E7" w14:paraId="37E179C6" w14:textId="77777777">
        <w:tblPrEx>
          <w:tblCellMar>
            <w:top w:w="0" w:type="dxa"/>
            <w:bottom w:w="0" w:type="dxa"/>
          </w:tblCellMar>
        </w:tblPrEx>
        <w:trPr>
          <w:trHeight w:hRule="exact" w:val="374"/>
          <w:jc w:val="center"/>
        </w:trPr>
        <w:tc>
          <w:tcPr>
            <w:tcW w:w="3341" w:type="dxa"/>
            <w:shd w:val="clear" w:color="auto" w:fill="FFFFFF"/>
            <w:vAlign w:val="bottom"/>
          </w:tcPr>
          <w:p w14:paraId="44EAD3F4"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Číslo účtu:</w:t>
            </w:r>
          </w:p>
        </w:tc>
        <w:tc>
          <w:tcPr>
            <w:tcW w:w="5237" w:type="dxa"/>
            <w:shd w:val="clear" w:color="auto" w:fill="FFFFFF"/>
            <w:vAlign w:val="bottom"/>
          </w:tcPr>
          <w:p w14:paraId="7FD20A48"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123-6606480237/0100</w:t>
            </w:r>
          </w:p>
        </w:tc>
      </w:tr>
      <w:tr w:rsidR="001102E7" w14:paraId="54F92179" w14:textId="77777777">
        <w:tblPrEx>
          <w:tblCellMar>
            <w:top w:w="0" w:type="dxa"/>
            <w:bottom w:w="0" w:type="dxa"/>
          </w:tblCellMar>
        </w:tblPrEx>
        <w:trPr>
          <w:trHeight w:hRule="exact" w:val="384"/>
          <w:jc w:val="center"/>
        </w:trPr>
        <w:tc>
          <w:tcPr>
            <w:tcW w:w="3341" w:type="dxa"/>
            <w:shd w:val="clear" w:color="auto" w:fill="FFFFFF"/>
            <w:vAlign w:val="bottom"/>
          </w:tcPr>
          <w:p w14:paraId="60096018"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Číslo datové schránky:</w:t>
            </w:r>
          </w:p>
        </w:tc>
        <w:tc>
          <w:tcPr>
            <w:tcW w:w="5237" w:type="dxa"/>
            <w:shd w:val="clear" w:color="auto" w:fill="FFFFFF"/>
            <w:vAlign w:val="bottom"/>
          </w:tcPr>
          <w:p w14:paraId="62B85747"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6ewxbpc</w:t>
            </w:r>
          </w:p>
        </w:tc>
      </w:tr>
      <w:tr w:rsidR="001102E7" w14:paraId="04FC3EC5" w14:textId="77777777">
        <w:tblPrEx>
          <w:tblCellMar>
            <w:top w:w="0" w:type="dxa"/>
            <w:bottom w:w="0" w:type="dxa"/>
          </w:tblCellMar>
        </w:tblPrEx>
        <w:trPr>
          <w:trHeight w:hRule="exact" w:val="413"/>
          <w:jc w:val="center"/>
        </w:trPr>
        <w:tc>
          <w:tcPr>
            <w:tcW w:w="3341" w:type="dxa"/>
            <w:shd w:val="clear" w:color="auto" w:fill="FFFFFF"/>
            <w:vAlign w:val="bottom"/>
          </w:tcPr>
          <w:p w14:paraId="74860143"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Zastoupen/jednající:</w:t>
            </w:r>
          </w:p>
        </w:tc>
        <w:tc>
          <w:tcPr>
            <w:tcW w:w="5237" w:type="dxa"/>
            <w:shd w:val="clear" w:color="auto" w:fill="FFFFFF"/>
            <w:vAlign w:val="bottom"/>
          </w:tcPr>
          <w:p w14:paraId="53EB4D2B"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Ing. Pavel Luňáček, jednatel</w:t>
            </w:r>
          </w:p>
        </w:tc>
      </w:tr>
    </w:tbl>
    <w:p w14:paraId="5C00BE5E" w14:textId="77777777" w:rsidR="001102E7" w:rsidRDefault="007034CD">
      <w:pPr>
        <w:pStyle w:val="Titulektabulky0"/>
        <w:shd w:val="clear" w:color="auto" w:fill="auto"/>
        <w:ind w:firstLine="0"/>
        <w:jc w:val="both"/>
      </w:pPr>
      <w:r>
        <w:t>(dále jen "</w:t>
      </w:r>
      <w:r>
        <w:rPr>
          <w:b/>
          <w:bCs/>
        </w:rPr>
        <w:t>Obchodník</w:t>
      </w:r>
      <w:r>
        <w:t>" a</w:t>
      </w:r>
    </w:p>
    <w:p w14:paraId="2393FBD5" w14:textId="77777777" w:rsidR="001102E7" w:rsidRDefault="001102E7">
      <w:pPr>
        <w:spacing w:after="279" w:line="1" w:lineRule="exact"/>
      </w:pPr>
    </w:p>
    <w:p w14:paraId="7F30F27E" w14:textId="77777777" w:rsidR="001102E7" w:rsidRDefault="001102E7">
      <w:pPr>
        <w:spacing w:line="1" w:lineRule="exact"/>
      </w:pPr>
    </w:p>
    <w:p w14:paraId="13D3BCFE" w14:textId="77777777" w:rsidR="001102E7" w:rsidRDefault="007034CD">
      <w:pPr>
        <w:pStyle w:val="Titulektabulky0"/>
        <w:shd w:val="clear" w:color="auto" w:fill="auto"/>
        <w:ind w:firstLine="0"/>
      </w:pPr>
      <w:r>
        <w:t>''</w:t>
      </w:r>
      <w:r>
        <w:rPr>
          <w:b/>
          <w:bCs/>
        </w:rPr>
        <w:t>ZÁKAZNÍK</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41"/>
        <w:gridCol w:w="5242"/>
      </w:tblGrid>
      <w:tr w:rsidR="001102E7" w14:paraId="626148D2" w14:textId="77777777">
        <w:tblPrEx>
          <w:tblCellMar>
            <w:top w:w="0" w:type="dxa"/>
            <w:bottom w:w="0" w:type="dxa"/>
          </w:tblCellMar>
        </w:tblPrEx>
        <w:trPr>
          <w:trHeight w:hRule="exact" w:val="403"/>
          <w:jc w:val="center"/>
        </w:trPr>
        <w:tc>
          <w:tcPr>
            <w:tcW w:w="3341" w:type="dxa"/>
            <w:shd w:val="clear" w:color="auto" w:fill="FFFFFF"/>
            <w:vAlign w:val="bottom"/>
          </w:tcPr>
          <w:p w14:paraId="3D06216F"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obchodní firma:</w:t>
            </w:r>
          </w:p>
        </w:tc>
        <w:tc>
          <w:tcPr>
            <w:tcW w:w="5242" w:type="dxa"/>
            <w:shd w:val="clear" w:color="auto" w:fill="FFFFFF"/>
            <w:vAlign w:val="bottom"/>
          </w:tcPr>
          <w:p w14:paraId="2F3D6BE7"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Mateřská škola Ostrava, Dvořákova 4, příspěvková organizace</w:t>
            </w:r>
          </w:p>
        </w:tc>
      </w:tr>
      <w:tr w:rsidR="001102E7" w14:paraId="024F37AE" w14:textId="77777777">
        <w:tblPrEx>
          <w:tblCellMar>
            <w:top w:w="0" w:type="dxa"/>
            <w:bottom w:w="0" w:type="dxa"/>
          </w:tblCellMar>
        </w:tblPrEx>
        <w:trPr>
          <w:trHeight w:hRule="exact" w:val="360"/>
          <w:jc w:val="center"/>
        </w:trPr>
        <w:tc>
          <w:tcPr>
            <w:tcW w:w="3341" w:type="dxa"/>
            <w:shd w:val="clear" w:color="auto" w:fill="FFFFFF"/>
            <w:vAlign w:val="bottom"/>
          </w:tcPr>
          <w:p w14:paraId="49337A34"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Sídlo:</w:t>
            </w:r>
          </w:p>
        </w:tc>
        <w:tc>
          <w:tcPr>
            <w:tcW w:w="5242" w:type="dxa"/>
            <w:shd w:val="clear" w:color="auto" w:fill="FFFFFF"/>
            <w:vAlign w:val="bottom"/>
          </w:tcPr>
          <w:p w14:paraId="56E3F588"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 xml:space="preserve">Dvořákova 1037/4, </w:t>
            </w:r>
            <w:r>
              <w:rPr>
                <w:rFonts w:ascii="Calibri" w:eastAsia="Calibri" w:hAnsi="Calibri" w:cs="Calibri"/>
                <w:sz w:val="20"/>
                <w:szCs w:val="20"/>
              </w:rPr>
              <w:t>Ostrava 702 00</w:t>
            </w:r>
          </w:p>
        </w:tc>
      </w:tr>
      <w:tr w:rsidR="001102E7" w14:paraId="1B889B78" w14:textId="77777777">
        <w:tblPrEx>
          <w:tblCellMar>
            <w:top w:w="0" w:type="dxa"/>
            <w:bottom w:w="0" w:type="dxa"/>
          </w:tblCellMar>
        </w:tblPrEx>
        <w:trPr>
          <w:trHeight w:hRule="exact" w:val="360"/>
          <w:jc w:val="center"/>
        </w:trPr>
        <w:tc>
          <w:tcPr>
            <w:tcW w:w="3341" w:type="dxa"/>
            <w:shd w:val="clear" w:color="auto" w:fill="FFFFFF"/>
            <w:vAlign w:val="bottom"/>
          </w:tcPr>
          <w:p w14:paraId="3417B673" w14:textId="77777777" w:rsidR="001102E7" w:rsidRDefault="007034CD">
            <w:pPr>
              <w:pStyle w:val="Jin0"/>
              <w:shd w:val="clear" w:color="auto" w:fill="auto"/>
              <w:spacing w:after="0"/>
              <w:ind w:firstLine="560"/>
              <w:rPr>
                <w:sz w:val="20"/>
                <w:szCs w:val="20"/>
              </w:rPr>
            </w:pPr>
            <w:proofErr w:type="spellStart"/>
            <w:r>
              <w:rPr>
                <w:rFonts w:ascii="Calibri" w:eastAsia="Calibri" w:hAnsi="Calibri" w:cs="Calibri"/>
                <w:sz w:val="20"/>
                <w:szCs w:val="20"/>
              </w:rPr>
              <w:t>lČO</w:t>
            </w:r>
            <w:proofErr w:type="spellEnd"/>
            <w:r>
              <w:rPr>
                <w:rFonts w:ascii="Calibri" w:eastAsia="Calibri" w:hAnsi="Calibri" w:cs="Calibri"/>
                <w:sz w:val="20"/>
                <w:szCs w:val="20"/>
              </w:rPr>
              <w:t>:</w:t>
            </w:r>
          </w:p>
        </w:tc>
        <w:tc>
          <w:tcPr>
            <w:tcW w:w="5242" w:type="dxa"/>
            <w:shd w:val="clear" w:color="auto" w:fill="FFFFFF"/>
            <w:vAlign w:val="bottom"/>
          </w:tcPr>
          <w:p w14:paraId="0CBF2204"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75027313</w:t>
            </w:r>
          </w:p>
        </w:tc>
      </w:tr>
      <w:tr w:rsidR="001102E7" w14:paraId="67D07F39" w14:textId="77777777">
        <w:tblPrEx>
          <w:tblCellMar>
            <w:top w:w="0" w:type="dxa"/>
            <w:bottom w:w="0" w:type="dxa"/>
          </w:tblCellMar>
        </w:tblPrEx>
        <w:trPr>
          <w:trHeight w:hRule="exact" w:val="379"/>
          <w:jc w:val="center"/>
        </w:trPr>
        <w:tc>
          <w:tcPr>
            <w:tcW w:w="3341" w:type="dxa"/>
            <w:shd w:val="clear" w:color="auto" w:fill="FFFFFF"/>
            <w:vAlign w:val="bottom"/>
          </w:tcPr>
          <w:p w14:paraId="62C0FDEB"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DIČ:</w:t>
            </w:r>
          </w:p>
        </w:tc>
        <w:tc>
          <w:tcPr>
            <w:tcW w:w="5242" w:type="dxa"/>
            <w:shd w:val="clear" w:color="auto" w:fill="FFFFFF"/>
            <w:vAlign w:val="bottom"/>
          </w:tcPr>
          <w:p w14:paraId="20DA0A79"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CZ75027313 (nejsme plátci DPH)</w:t>
            </w:r>
          </w:p>
        </w:tc>
      </w:tr>
      <w:tr w:rsidR="001102E7" w14:paraId="360BDDDB" w14:textId="77777777">
        <w:tblPrEx>
          <w:tblCellMar>
            <w:top w:w="0" w:type="dxa"/>
            <w:bottom w:w="0" w:type="dxa"/>
          </w:tblCellMar>
        </w:tblPrEx>
        <w:trPr>
          <w:trHeight w:hRule="exact" w:val="360"/>
          <w:jc w:val="center"/>
        </w:trPr>
        <w:tc>
          <w:tcPr>
            <w:tcW w:w="3341" w:type="dxa"/>
            <w:shd w:val="clear" w:color="auto" w:fill="FFFFFF"/>
            <w:vAlign w:val="bottom"/>
          </w:tcPr>
          <w:p w14:paraId="44ADA18C"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Zapsaná v obchodním rejstříku:</w:t>
            </w:r>
          </w:p>
        </w:tc>
        <w:tc>
          <w:tcPr>
            <w:tcW w:w="5242" w:type="dxa"/>
            <w:shd w:val="clear" w:color="auto" w:fill="FFFFFF"/>
            <w:vAlign w:val="bottom"/>
          </w:tcPr>
          <w:p w14:paraId="541B4AA7" w14:textId="77777777" w:rsidR="001102E7" w:rsidRDefault="007034CD">
            <w:pPr>
              <w:pStyle w:val="Jin0"/>
              <w:shd w:val="clear" w:color="auto" w:fill="auto"/>
              <w:spacing w:after="0"/>
              <w:ind w:firstLine="200"/>
              <w:rPr>
                <w:sz w:val="20"/>
                <w:szCs w:val="20"/>
              </w:rPr>
            </w:pPr>
            <w:proofErr w:type="spellStart"/>
            <w:r>
              <w:rPr>
                <w:rFonts w:ascii="Calibri" w:eastAsia="Calibri" w:hAnsi="Calibri" w:cs="Calibri"/>
                <w:sz w:val="20"/>
                <w:szCs w:val="20"/>
              </w:rPr>
              <w:t>Pr</w:t>
            </w:r>
            <w:proofErr w:type="spellEnd"/>
            <w:r>
              <w:rPr>
                <w:rFonts w:ascii="Calibri" w:eastAsia="Calibri" w:hAnsi="Calibri" w:cs="Calibri"/>
                <w:sz w:val="20"/>
                <w:szCs w:val="20"/>
              </w:rPr>
              <w:t xml:space="preserve"> 830 u Krajského soudu v Ostravě</w:t>
            </w:r>
          </w:p>
        </w:tc>
      </w:tr>
      <w:tr w:rsidR="001102E7" w14:paraId="3151F227" w14:textId="77777777">
        <w:tblPrEx>
          <w:tblCellMar>
            <w:top w:w="0" w:type="dxa"/>
            <w:bottom w:w="0" w:type="dxa"/>
          </w:tblCellMar>
        </w:tblPrEx>
        <w:trPr>
          <w:trHeight w:hRule="exact" w:val="355"/>
          <w:jc w:val="center"/>
        </w:trPr>
        <w:tc>
          <w:tcPr>
            <w:tcW w:w="3341" w:type="dxa"/>
            <w:shd w:val="clear" w:color="auto" w:fill="FFFFFF"/>
            <w:vAlign w:val="bottom"/>
          </w:tcPr>
          <w:p w14:paraId="004AF7B3"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Bankovní spojení:</w:t>
            </w:r>
          </w:p>
        </w:tc>
        <w:tc>
          <w:tcPr>
            <w:tcW w:w="5242" w:type="dxa"/>
            <w:shd w:val="clear" w:color="auto" w:fill="FFFFFF"/>
            <w:vAlign w:val="bottom"/>
          </w:tcPr>
          <w:p w14:paraId="570D3909"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Komerční banka</w:t>
            </w:r>
          </w:p>
        </w:tc>
      </w:tr>
      <w:tr w:rsidR="001102E7" w14:paraId="57F20A53" w14:textId="77777777">
        <w:tblPrEx>
          <w:tblCellMar>
            <w:top w:w="0" w:type="dxa"/>
            <w:bottom w:w="0" w:type="dxa"/>
          </w:tblCellMar>
        </w:tblPrEx>
        <w:trPr>
          <w:trHeight w:hRule="exact" w:val="374"/>
          <w:jc w:val="center"/>
        </w:trPr>
        <w:tc>
          <w:tcPr>
            <w:tcW w:w="3341" w:type="dxa"/>
            <w:shd w:val="clear" w:color="auto" w:fill="FFFFFF"/>
            <w:vAlign w:val="bottom"/>
          </w:tcPr>
          <w:p w14:paraId="2FC388E7"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Číslo účtu:</w:t>
            </w:r>
          </w:p>
        </w:tc>
        <w:tc>
          <w:tcPr>
            <w:tcW w:w="5242" w:type="dxa"/>
            <w:shd w:val="clear" w:color="auto" w:fill="FFFFFF"/>
            <w:vAlign w:val="bottom"/>
          </w:tcPr>
          <w:p w14:paraId="7B67CB60"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24239761/0100</w:t>
            </w:r>
          </w:p>
        </w:tc>
      </w:tr>
      <w:tr w:rsidR="001102E7" w14:paraId="061109A6" w14:textId="77777777">
        <w:tblPrEx>
          <w:tblCellMar>
            <w:top w:w="0" w:type="dxa"/>
            <w:bottom w:w="0" w:type="dxa"/>
          </w:tblCellMar>
        </w:tblPrEx>
        <w:trPr>
          <w:trHeight w:hRule="exact" w:val="355"/>
          <w:jc w:val="center"/>
        </w:trPr>
        <w:tc>
          <w:tcPr>
            <w:tcW w:w="3341" w:type="dxa"/>
            <w:shd w:val="clear" w:color="auto" w:fill="FFFFFF"/>
            <w:vAlign w:val="bottom"/>
          </w:tcPr>
          <w:p w14:paraId="7B82F415"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Číslo datové schránky:</w:t>
            </w:r>
          </w:p>
        </w:tc>
        <w:tc>
          <w:tcPr>
            <w:tcW w:w="5242" w:type="dxa"/>
            <w:shd w:val="clear" w:color="auto" w:fill="FFFFFF"/>
            <w:vAlign w:val="bottom"/>
          </w:tcPr>
          <w:p w14:paraId="69DAB2FA"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24fkwda</w:t>
            </w:r>
          </w:p>
        </w:tc>
      </w:tr>
      <w:tr w:rsidR="001102E7" w14:paraId="513FD174" w14:textId="77777777">
        <w:tblPrEx>
          <w:tblCellMar>
            <w:top w:w="0" w:type="dxa"/>
            <w:bottom w:w="0" w:type="dxa"/>
          </w:tblCellMar>
        </w:tblPrEx>
        <w:trPr>
          <w:trHeight w:hRule="exact" w:val="398"/>
          <w:jc w:val="center"/>
        </w:trPr>
        <w:tc>
          <w:tcPr>
            <w:tcW w:w="3341" w:type="dxa"/>
            <w:shd w:val="clear" w:color="auto" w:fill="FFFFFF"/>
            <w:vAlign w:val="bottom"/>
          </w:tcPr>
          <w:p w14:paraId="56ABDD33"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Zastoupen/jednající:</w:t>
            </w:r>
          </w:p>
        </w:tc>
        <w:tc>
          <w:tcPr>
            <w:tcW w:w="5242" w:type="dxa"/>
            <w:shd w:val="clear" w:color="auto" w:fill="FFFFFF"/>
            <w:vAlign w:val="bottom"/>
          </w:tcPr>
          <w:p w14:paraId="1A51DAB3"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 xml:space="preserve">Bc. </w:t>
            </w:r>
            <w:proofErr w:type="spellStart"/>
            <w:r>
              <w:rPr>
                <w:rFonts w:ascii="Calibri" w:eastAsia="Calibri" w:hAnsi="Calibri" w:cs="Calibri"/>
                <w:sz w:val="20"/>
                <w:szCs w:val="20"/>
              </w:rPr>
              <w:t>Calábková</w:t>
            </w:r>
            <w:proofErr w:type="spellEnd"/>
            <w:r>
              <w:rPr>
                <w:rFonts w:ascii="Calibri" w:eastAsia="Calibri" w:hAnsi="Calibri" w:cs="Calibri"/>
                <w:sz w:val="20"/>
                <w:szCs w:val="20"/>
              </w:rPr>
              <w:t xml:space="preserve"> Andrea</w:t>
            </w:r>
          </w:p>
        </w:tc>
      </w:tr>
    </w:tbl>
    <w:p w14:paraId="18533379" w14:textId="77777777" w:rsidR="001102E7" w:rsidRDefault="007034CD">
      <w:pPr>
        <w:pStyle w:val="Titulektabulky0"/>
        <w:shd w:val="clear" w:color="auto" w:fill="auto"/>
        <w:spacing w:line="240" w:lineRule="auto"/>
        <w:ind w:left="547" w:firstLine="0"/>
      </w:pPr>
      <w:r>
        <w:t>(dále jen "</w:t>
      </w:r>
      <w:r>
        <w:rPr>
          <w:b/>
          <w:bCs/>
        </w:rPr>
        <w:t>Zákazník</w:t>
      </w:r>
      <w:r>
        <w:t>"</w:t>
      </w:r>
    </w:p>
    <w:p w14:paraId="4AEA64C0" w14:textId="77777777" w:rsidR="001102E7" w:rsidRDefault="001102E7">
      <w:pPr>
        <w:spacing w:after="339" w:line="1" w:lineRule="exact"/>
      </w:pPr>
    </w:p>
    <w:p w14:paraId="1D27F1A5" w14:textId="77777777" w:rsidR="001102E7" w:rsidRDefault="007034CD">
      <w:pPr>
        <w:pStyle w:val="Zkladntext20"/>
        <w:shd w:val="clear" w:color="auto" w:fill="auto"/>
        <w:spacing w:after="220" w:line="240" w:lineRule="auto"/>
        <w:ind w:left="0" w:firstLine="0"/>
      </w:pPr>
      <w:r>
        <w:t>tuto</w:t>
      </w:r>
    </w:p>
    <w:p w14:paraId="206DFCE4" w14:textId="77777777" w:rsidR="001102E7" w:rsidRDefault="007034CD">
      <w:pPr>
        <w:pStyle w:val="Nadpis20"/>
        <w:keepNext/>
        <w:keepLines/>
        <w:shd w:val="clear" w:color="auto" w:fill="auto"/>
        <w:spacing w:after="120"/>
      </w:pPr>
      <w:bookmarkStart w:id="2" w:name="bookmark2"/>
      <w:bookmarkStart w:id="3" w:name="bookmark3"/>
      <w:r>
        <w:t>SMLOUVU O SDRUŽENÝCH SLUŽBÁCH DODÁVKY ELEKTŘINY ZE SÍTÍ NN</w:t>
      </w:r>
      <w:bookmarkEnd w:id="2"/>
      <w:bookmarkEnd w:id="3"/>
    </w:p>
    <w:p w14:paraId="368B8847" w14:textId="77777777" w:rsidR="001102E7" w:rsidRDefault="007034CD">
      <w:pPr>
        <w:pStyle w:val="Zkladntext20"/>
        <w:shd w:val="clear" w:color="auto" w:fill="auto"/>
        <w:spacing w:after="260" w:line="240" w:lineRule="auto"/>
        <w:ind w:left="0" w:firstLine="580"/>
      </w:pPr>
      <w:r>
        <w:t>(dále jen "</w:t>
      </w:r>
      <w:r>
        <w:rPr>
          <w:b/>
          <w:bCs/>
        </w:rPr>
        <w:t>Smlouva</w:t>
      </w:r>
      <w:r>
        <w:t>")</w:t>
      </w:r>
    </w:p>
    <w:p w14:paraId="21F7D048" w14:textId="77777777" w:rsidR="001102E7" w:rsidRDefault="007034CD">
      <w:pPr>
        <w:pStyle w:val="Nadpis20"/>
        <w:keepNext/>
        <w:keepLines/>
        <w:shd w:val="clear" w:color="auto" w:fill="auto"/>
        <w:spacing w:after="0"/>
      </w:pPr>
      <w:bookmarkStart w:id="4" w:name="bookmark4"/>
      <w:bookmarkStart w:id="5" w:name="bookmark5"/>
      <w:r>
        <w:t>Čl. 1.</w:t>
      </w:r>
      <w:bookmarkEnd w:id="4"/>
      <w:bookmarkEnd w:id="5"/>
    </w:p>
    <w:p w14:paraId="3AFE0E62" w14:textId="77777777" w:rsidR="001102E7" w:rsidRDefault="007034CD">
      <w:pPr>
        <w:pStyle w:val="Nadpis20"/>
        <w:keepNext/>
        <w:keepLines/>
        <w:shd w:val="clear" w:color="auto" w:fill="auto"/>
        <w:spacing w:after="400" w:line="230" w:lineRule="auto"/>
      </w:pPr>
      <w:bookmarkStart w:id="6" w:name="bookmark6"/>
      <w:bookmarkStart w:id="7" w:name="bookmark7"/>
      <w:r>
        <w:t>ÚVODNÍ USTANOVENÍ</w:t>
      </w:r>
      <w:bookmarkEnd w:id="6"/>
      <w:bookmarkEnd w:id="7"/>
    </w:p>
    <w:p w14:paraId="3F7A903B" w14:textId="77777777" w:rsidR="001102E7" w:rsidRDefault="007034CD">
      <w:pPr>
        <w:pStyle w:val="Zkladntext20"/>
        <w:numPr>
          <w:ilvl w:val="0"/>
          <w:numId w:val="1"/>
        </w:numPr>
        <w:shd w:val="clear" w:color="auto" w:fill="auto"/>
        <w:tabs>
          <w:tab w:val="left" w:pos="333"/>
        </w:tabs>
        <w:ind w:left="300"/>
        <w:jc w:val="both"/>
      </w:pPr>
      <w:r>
        <w:t xml:space="preserve">Tato smlouva je smlouvou o sdružených službách dodávky elektřiny uzavřenou podle ustanoveni § 50 odst. 2 zákona č. 458/2000 Sb., o podmínkách podnikání a o výkonu statní správy v energetických odvětvích </w:t>
      </w:r>
      <w:r>
        <w:lastRenderedPageBreak/>
        <w:t xml:space="preserve">("Energetický zákon"), ve znění pozdějších předpisů, </w:t>
      </w:r>
      <w:r>
        <w:t xml:space="preserve">a zákona č. 89/2012 Sb., občanský zákoník, ve znění pozdějších předpisů, v režimu přenesené odpovědnosti za odchylku na </w:t>
      </w:r>
      <w:r>
        <w:rPr>
          <w:b/>
          <w:bCs/>
        </w:rPr>
        <w:t>Obchodníka</w:t>
      </w:r>
      <w:r>
        <w:t>.</w:t>
      </w:r>
    </w:p>
    <w:p w14:paraId="5BFBFDF9" w14:textId="77777777" w:rsidR="001102E7" w:rsidRDefault="007034CD">
      <w:pPr>
        <w:pStyle w:val="Zkladntext20"/>
        <w:numPr>
          <w:ilvl w:val="0"/>
          <w:numId w:val="1"/>
        </w:numPr>
        <w:shd w:val="clear" w:color="auto" w:fill="auto"/>
        <w:tabs>
          <w:tab w:val="left" w:pos="333"/>
        </w:tabs>
        <w:spacing w:after="480" w:line="269" w:lineRule="auto"/>
        <w:ind w:left="300"/>
        <w:jc w:val="both"/>
      </w:pPr>
      <w:r>
        <w:t xml:space="preserve">Práva a povinnosti Smluvních stran jsou blíže specifikovány v obchodních podmínkách dodávky elektřiny, které jsou </w:t>
      </w:r>
      <w:r>
        <w:rPr>
          <w:b/>
          <w:bCs/>
        </w:rPr>
        <w:t>Přílohou č</w:t>
      </w:r>
      <w:r>
        <w:rPr>
          <w:b/>
          <w:bCs/>
        </w:rPr>
        <w:t xml:space="preserve">. 1 </w:t>
      </w:r>
      <w:r>
        <w:t xml:space="preserve">této </w:t>
      </w:r>
      <w:r>
        <w:rPr>
          <w:b/>
          <w:bCs/>
        </w:rPr>
        <w:t xml:space="preserve">Smlouvy </w:t>
      </w:r>
      <w:r>
        <w:t>a spolu se smlouvou tvoří nedílný celek (dále jen „OPD“).</w:t>
      </w:r>
    </w:p>
    <w:p w14:paraId="6D4B31CA" w14:textId="77777777" w:rsidR="001102E7" w:rsidRDefault="007034CD">
      <w:pPr>
        <w:pStyle w:val="Nadpis20"/>
        <w:keepNext/>
        <w:keepLines/>
        <w:shd w:val="clear" w:color="auto" w:fill="auto"/>
        <w:spacing w:after="0"/>
      </w:pPr>
      <w:bookmarkStart w:id="8" w:name="bookmark8"/>
      <w:bookmarkStart w:id="9" w:name="bookmark9"/>
      <w:r>
        <w:t>Čl. 2.</w:t>
      </w:r>
      <w:bookmarkEnd w:id="8"/>
      <w:bookmarkEnd w:id="9"/>
    </w:p>
    <w:p w14:paraId="78C207A4" w14:textId="77777777" w:rsidR="001102E7" w:rsidRDefault="007034CD">
      <w:pPr>
        <w:pStyle w:val="Nadpis20"/>
        <w:keepNext/>
        <w:keepLines/>
        <w:shd w:val="clear" w:color="auto" w:fill="auto"/>
        <w:spacing w:after="400"/>
      </w:pPr>
      <w:bookmarkStart w:id="10" w:name="bookmark10"/>
      <w:bookmarkStart w:id="11" w:name="bookmark11"/>
      <w:r>
        <w:t>PŘEDMĚT SMLOUVY</w:t>
      </w:r>
      <w:bookmarkEnd w:id="10"/>
      <w:bookmarkEnd w:id="11"/>
    </w:p>
    <w:p w14:paraId="46AC291F" w14:textId="77777777" w:rsidR="001102E7" w:rsidRDefault="007034CD">
      <w:pPr>
        <w:pStyle w:val="Zkladntext20"/>
        <w:numPr>
          <w:ilvl w:val="0"/>
          <w:numId w:val="2"/>
        </w:numPr>
        <w:shd w:val="clear" w:color="auto" w:fill="auto"/>
        <w:tabs>
          <w:tab w:val="left" w:pos="333"/>
        </w:tabs>
        <w:spacing w:line="276" w:lineRule="auto"/>
        <w:ind w:left="300"/>
        <w:jc w:val="both"/>
      </w:pPr>
      <w:r>
        <w:t xml:space="preserve">Předmětem </w:t>
      </w:r>
      <w:r>
        <w:rPr>
          <w:b/>
          <w:bCs/>
        </w:rPr>
        <w:t xml:space="preserve">Smlouvy </w:t>
      </w:r>
      <w:r>
        <w:t xml:space="preserve">je závazek </w:t>
      </w:r>
      <w:r>
        <w:rPr>
          <w:b/>
          <w:bCs/>
        </w:rPr>
        <w:t xml:space="preserve">Obchodníka </w:t>
      </w:r>
      <w:r>
        <w:t xml:space="preserve">poskytnout </w:t>
      </w:r>
      <w:r>
        <w:rPr>
          <w:b/>
          <w:bCs/>
        </w:rPr>
        <w:t xml:space="preserve">Zákazníkovi </w:t>
      </w:r>
      <w:r>
        <w:t>sdružené služby dodávky elektřiny (dále jen „sdružené služby"), tzn. dodat sjednané množství si</w:t>
      </w:r>
      <w:r>
        <w:t xml:space="preserve">lové elektřiny za podmínek sjednaných ve </w:t>
      </w:r>
      <w:r>
        <w:rPr>
          <w:b/>
          <w:bCs/>
        </w:rPr>
        <w:t xml:space="preserve">Smlouvě </w:t>
      </w:r>
      <w:r>
        <w:t xml:space="preserve">a převzít odpovědnost za odchylku (dále jen „dodávka elektřiny") a zajistit distribuci elektřiny a systémových služeb (dále jen „distribuční služby") do odběrných míst (dále jen „OM“) </w:t>
      </w:r>
      <w:r>
        <w:rPr>
          <w:b/>
          <w:bCs/>
        </w:rPr>
        <w:t>Zákazníka</w:t>
      </w:r>
      <w:r>
        <w:t>.</w:t>
      </w:r>
    </w:p>
    <w:p w14:paraId="55B25E8E" w14:textId="77777777" w:rsidR="001102E7" w:rsidRDefault="007034CD">
      <w:pPr>
        <w:pStyle w:val="Zkladntext20"/>
        <w:numPr>
          <w:ilvl w:val="0"/>
          <w:numId w:val="2"/>
        </w:numPr>
        <w:shd w:val="clear" w:color="auto" w:fill="auto"/>
        <w:tabs>
          <w:tab w:val="left" w:pos="333"/>
        </w:tabs>
        <w:spacing w:line="276" w:lineRule="auto"/>
        <w:ind w:left="300"/>
        <w:jc w:val="both"/>
      </w:pPr>
      <w:r>
        <w:rPr>
          <w:b/>
          <w:bCs/>
        </w:rPr>
        <w:t xml:space="preserve">Zákazník </w:t>
      </w:r>
      <w:r>
        <w:t xml:space="preserve">se </w:t>
      </w:r>
      <w:r>
        <w:t xml:space="preserve">zavazuje odebrat sjednané množství elektřiny v OM podle podmínek této </w:t>
      </w:r>
      <w:r>
        <w:rPr>
          <w:b/>
          <w:bCs/>
        </w:rPr>
        <w:t xml:space="preserve">Smlouvy </w:t>
      </w:r>
      <w:r>
        <w:t xml:space="preserve">a uhradit </w:t>
      </w:r>
      <w:r>
        <w:rPr>
          <w:b/>
          <w:bCs/>
        </w:rPr>
        <w:t xml:space="preserve">Obchodníkovi </w:t>
      </w:r>
      <w:r>
        <w:t>řádně a včas dohodnutou platbu za dodávku elektřiny a za distribuční služby.</w:t>
      </w:r>
    </w:p>
    <w:p w14:paraId="36E254B0" w14:textId="77777777" w:rsidR="001102E7" w:rsidRDefault="007034CD">
      <w:pPr>
        <w:pStyle w:val="Zkladntext20"/>
        <w:numPr>
          <w:ilvl w:val="0"/>
          <w:numId w:val="2"/>
        </w:numPr>
        <w:shd w:val="clear" w:color="auto" w:fill="auto"/>
        <w:tabs>
          <w:tab w:val="left" w:pos="333"/>
        </w:tabs>
        <w:spacing w:after="480"/>
        <w:ind w:left="300"/>
        <w:jc w:val="both"/>
      </w:pPr>
      <w:r>
        <w:t>Dodávka elektřiny a distribuční služby se uskutečňují z distribuční sítě přísl</w:t>
      </w:r>
      <w:r>
        <w:t xml:space="preserve">ušného provozovatele distribuční soustavy (dále jen "PDS") podle smluv o připojení, které </w:t>
      </w:r>
      <w:r>
        <w:rPr>
          <w:b/>
          <w:bCs/>
        </w:rPr>
        <w:t xml:space="preserve">Zákazník </w:t>
      </w:r>
      <w:r>
        <w:t xml:space="preserve">uzavřel s PDS v souladu s Pravidly provozování distribuční soustavy (dále jen „PPDS") a „Podmínkami distribuce elektřiny", vydanými příslušným PDS. </w:t>
      </w:r>
      <w:r>
        <w:rPr>
          <w:b/>
          <w:bCs/>
        </w:rPr>
        <w:t>Obchodník</w:t>
      </w:r>
      <w:r>
        <w:rPr>
          <w:b/>
          <w:bCs/>
        </w:rPr>
        <w:t xml:space="preserve"> </w:t>
      </w:r>
      <w:r>
        <w:t xml:space="preserve">a </w:t>
      </w:r>
      <w:r>
        <w:rPr>
          <w:b/>
          <w:bCs/>
        </w:rPr>
        <w:t xml:space="preserve">Zákazník </w:t>
      </w:r>
      <w:r>
        <w:t xml:space="preserve">sjednávají, že zánik některé ze smluv o připojení ani její změny uzavřené mezi Zákazníkem a PDS nemají vliv na platnost </w:t>
      </w:r>
      <w:r>
        <w:rPr>
          <w:b/>
          <w:bCs/>
        </w:rPr>
        <w:t>Smlouvy.</w:t>
      </w:r>
    </w:p>
    <w:p w14:paraId="23D7BB62" w14:textId="77777777" w:rsidR="001102E7" w:rsidRDefault="007034CD">
      <w:pPr>
        <w:pStyle w:val="Nadpis20"/>
        <w:keepNext/>
        <w:keepLines/>
        <w:shd w:val="clear" w:color="auto" w:fill="auto"/>
        <w:spacing w:after="0"/>
      </w:pPr>
      <w:bookmarkStart w:id="12" w:name="bookmark12"/>
      <w:bookmarkStart w:id="13" w:name="bookmark13"/>
      <w:r>
        <w:t>Čl. 3.</w:t>
      </w:r>
      <w:bookmarkEnd w:id="12"/>
      <w:bookmarkEnd w:id="13"/>
    </w:p>
    <w:p w14:paraId="263C511B" w14:textId="77777777" w:rsidR="001102E7" w:rsidRDefault="007034CD">
      <w:pPr>
        <w:pStyle w:val="Nadpis20"/>
        <w:keepNext/>
        <w:keepLines/>
        <w:shd w:val="clear" w:color="auto" w:fill="auto"/>
        <w:spacing w:after="400"/>
      </w:pPr>
      <w:bookmarkStart w:id="14" w:name="bookmark14"/>
      <w:bookmarkStart w:id="15" w:name="bookmark15"/>
      <w:r>
        <w:t>SPECIFIKACE ODBĚRNÝCH MÍST</w:t>
      </w:r>
      <w:bookmarkEnd w:id="14"/>
      <w:bookmarkEnd w:id="15"/>
    </w:p>
    <w:p w14:paraId="73003C9E" w14:textId="77777777" w:rsidR="001102E7" w:rsidRDefault="007034CD">
      <w:pPr>
        <w:pStyle w:val="Zkladntext20"/>
        <w:numPr>
          <w:ilvl w:val="0"/>
          <w:numId w:val="3"/>
        </w:numPr>
        <w:shd w:val="clear" w:color="auto" w:fill="auto"/>
        <w:tabs>
          <w:tab w:val="left" w:pos="333"/>
        </w:tabs>
        <w:spacing w:after="0" w:line="269" w:lineRule="auto"/>
        <w:ind w:left="0" w:firstLine="0"/>
      </w:pPr>
      <w:r>
        <w:t>Specifikace odběrných míst, to je:</w:t>
      </w:r>
    </w:p>
    <w:p w14:paraId="6B2261FF" w14:textId="77777777" w:rsidR="001102E7" w:rsidRDefault="007034CD">
      <w:pPr>
        <w:pStyle w:val="Zkladntext20"/>
        <w:shd w:val="clear" w:color="auto" w:fill="auto"/>
        <w:spacing w:after="0" w:line="269" w:lineRule="auto"/>
        <w:ind w:left="0" w:firstLine="660"/>
        <w:jc w:val="both"/>
      </w:pPr>
      <w:r>
        <w:t xml:space="preserve">• </w:t>
      </w:r>
      <w:r>
        <w:t>EAN OPM</w:t>
      </w:r>
    </w:p>
    <w:p w14:paraId="2116635B" w14:textId="77777777" w:rsidR="001102E7" w:rsidRDefault="007034CD">
      <w:pPr>
        <w:pStyle w:val="Zkladntext20"/>
        <w:shd w:val="clear" w:color="auto" w:fill="auto"/>
        <w:spacing w:after="0" w:line="269" w:lineRule="auto"/>
        <w:ind w:left="0" w:firstLine="660"/>
        <w:jc w:val="both"/>
      </w:pPr>
      <w:r>
        <w:t xml:space="preserve">• </w:t>
      </w:r>
      <w:r>
        <w:t>Název a adresa OM</w:t>
      </w:r>
    </w:p>
    <w:p w14:paraId="72EE6D4D" w14:textId="77777777" w:rsidR="001102E7" w:rsidRDefault="007034CD">
      <w:pPr>
        <w:pStyle w:val="Zkladntext20"/>
        <w:shd w:val="clear" w:color="auto" w:fill="auto"/>
        <w:spacing w:after="0" w:line="269" w:lineRule="auto"/>
        <w:ind w:left="0" w:firstLine="660"/>
        <w:jc w:val="both"/>
      </w:pPr>
      <w:r>
        <w:t xml:space="preserve">• </w:t>
      </w:r>
      <w:r>
        <w:t>Rezervovaný příkon (hodnota hlavního jističe před elektroměrem v "A")</w:t>
      </w:r>
    </w:p>
    <w:p w14:paraId="3FE41B9C" w14:textId="77777777" w:rsidR="001102E7" w:rsidRDefault="007034CD">
      <w:pPr>
        <w:pStyle w:val="Zkladntext20"/>
        <w:shd w:val="clear" w:color="auto" w:fill="auto"/>
        <w:spacing w:after="0" w:line="269" w:lineRule="auto"/>
        <w:ind w:left="0" w:firstLine="660"/>
        <w:jc w:val="both"/>
      </w:pPr>
      <w:r>
        <w:t xml:space="preserve">• </w:t>
      </w:r>
      <w:r>
        <w:t>Typ měření</w:t>
      </w:r>
    </w:p>
    <w:p w14:paraId="2D03F43C" w14:textId="77777777" w:rsidR="001102E7" w:rsidRDefault="007034CD">
      <w:pPr>
        <w:pStyle w:val="Zkladntext20"/>
        <w:shd w:val="clear" w:color="auto" w:fill="auto"/>
        <w:spacing w:after="0" w:line="269" w:lineRule="auto"/>
        <w:ind w:left="0" w:firstLine="660"/>
        <w:jc w:val="both"/>
      </w:pPr>
      <w:r>
        <w:t xml:space="preserve">• </w:t>
      </w:r>
      <w:r>
        <w:t>Sazba distribuce</w:t>
      </w:r>
    </w:p>
    <w:p w14:paraId="0BBD5CFE" w14:textId="77777777" w:rsidR="001102E7" w:rsidRDefault="007034CD">
      <w:pPr>
        <w:pStyle w:val="Zkladntext20"/>
        <w:shd w:val="clear" w:color="auto" w:fill="auto"/>
        <w:spacing w:after="0" w:line="269" w:lineRule="auto"/>
        <w:ind w:left="0" w:firstLine="660"/>
        <w:jc w:val="both"/>
      </w:pPr>
      <w:r>
        <w:t xml:space="preserve">• </w:t>
      </w:r>
      <w:r>
        <w:t>Plánovaný roční objem množství elektřiny, případně rozepsaný na VT a NT</w:t>
      </w:r>
    </w:p>
    <w:p w14:paraId="7AA542C7" w14:textId="77777777" w:rsidR="001102E7" w:rsidRDefault="007034CD">
      <w:pPr>
        <w:pStyle w:val="Zkladntext20"/>
        <w:shd w:val="clear" w:color="auto" w:fill="auto"/>
        <w:spacing w:line="269" w:lineRule="auto"/>
        <w:ind w:left="1020" w:hanging="360"/>
        <w:jc w:val="both"/>
      </w:pPr>
      <w:r>
        <w:t xml:space="preserve">• </w:t>
      </w:r>
      <w:r>
        <w:t>Bezpečnostní minimum (pouze u odběrných míst s větší hodnotou hlavního jističe</w:t>
      </w:r>
      <w:r>
        <w:t xml:space="preserve"> před elektroměrem než 3x200A)</w:t>
      </w:r>
    </w:p>
    <w:p w14:paraId="30FFC993" w14:textId="77777777" w:rsidR="001102E7" w:rsidRDefault="007034CD">
      <w:pPr>
        <w:pStyle w:val="Zkladntext20"/>
        <w:shd w:val="clear" w:color="auto" w:fill="auto"/>
        <w:ind w:left="0" w:firstLine="300"/>
      </w:pPr>
      <w:r>
        <w:t xml:space="preserve">jsou uvedeny v </w:t>
      </w:r>
      <w:r>
        <w:rPr>
          <w:b/>
          <w:bCs/>
        </w:rPr>
        <w:t xml:space="preserve">Příloze č. 3 </w:t>
      </w:r>
      <w:r>
        <w:t xml:space="preserve">této </w:t>
      </w:r>
      <w:proofErr w:type="gramStart"/>
      <w:r>
        <w:rPr>
          <w:b/>
          <w:bCs/>
        </w:rPr>
        <w:t xml:space="preserve">Smlouvy </w:t>
      </w:r>
      <w:r>
        <w:t>- seznam</w:t>
      </w:r>
      <w:proofErr w:type="gramEnd"/>
      <w:r>
        <w:t xml:space="preserve"> odběrných míst nízkého napětí.</w:t>
      </w:r>
    </w:p>
    <w:p w14:paraId="5FE4DADA" w14:textId="77777777" w:rsidR="001102E7" w:rsidRDefault="007034CD">
      <w:pPr>
        <w:pStyle w:val="Zkladntext20"/>
        <w:numPr>
          <w:ilvl w:val="0"/>
          <w:numId w:val="3"/>
        </w:numPr>
        <w:shd w:val="clear" w:color="auto" w:fill="auto"/>
        <w:tabs>
          <w:tab w:val="left" w:pos="333"/>
        </w:tabs>
        <w:ind w:left="300"/>
        <w:jc w:val="both"/>
      </w:pPr>
      <w:r>
        <w:rPr>
          <w:b/>
          <w:bCs/>
        </w:rPr>
        <w:t xml:space="preserve">Zákazník </w:t>
      </w:r>
      <w:r>
        <w:t>prohlašuje, že má příslušná majetkoprávní oprávnění k OM uvedeným v předchozím odstavci, a zavazuje se zajistit v souladu s platnou prá</w:t>
      </w:r>
      <w:r>
        <w:t>vní úpravou připojení OM specifikovaných v předchozím odstavci k distribuční soustavě příslušného PDS.</w:t>
      </w:r>
    </w:p>
    <w:p w14:paraId="69ACBDDA" w14:textId="77777777" w:rsidR="001102E7" w:rsidRDefault="007034CD">
      <w:pPr>
        <w:pStyle w:val="Zkladntext20"/>
        <w:numPr>
          <w:ilvl w:val="0"/>
          <w:numId w:val="3"/>
        </w:numPr>
        <w:shd w:val="clear" w:color="auto" w:fill="auto"/>
        <w:tabs>
          <w:tab w:val="left" w:pos="289"/>
        </w:tabs>
        <w:spacing w:after="480"/>
        <w:ind w:left="300"/>
        <w:jc w:val="both"/>
      </w:pPr>
      <w:r>
        <w:rPr>
          <w:b/>
          <w:bCs/>
        </w:rPr>
        <w:t xml:space="preserve">Zákazník </w:t>
      </w:r>
      <w:r>
        <w:t xml:space="preserve">prohlašuje, že veškeré údaje uvedené v seznamu odběrných míst, který tvoří </w:t>
      </w:r>
      <w:r>
        <w:rPr>
          <w:b/>
          <w:bCs/>
        </w:rPr>
        <w:t xml:space="preserve">Přílohu č. 3 </w:t>
      </w:r>
      <w:r>
        <w:t xml:space="preserve">této </w:t>
      </w:r>
      <w:r>
        <w:rPr>
          <w:b/>
          <w:bCs/>
        </w:rPr>
        <w:t xml:space="preserve">Smlouvy, </w:t>
      </w:r>
      <w:r>
        <w:t>odpovídají údajům o odběrném místě uvedený</w:t>
      </w:r>
      <w:r>
        <w:t xml:space="preserve">m ve smlouvě o připojení odběrného místa k distribuční soustavě. </w:t>
      </w:r>
      <w:r>
        <w:rPr>
          <w:b/>
          <w:bCs/>
        </w:rPr>
        <w:t xml:space="preserve">Obchodník </w:t>
      </w:r>
      <w:r>
        <w:t xml:space="preserve">neodpovídá za chyby ve vyúčtování, způsobené uvedením nesprávných údajů o odběrném místě v </w:t>
      </w:r>
      <w:r>
        <w:rPr>
          <w:b/>
          <w:bCs/>
        </w:rPr>
        <w:t xml:space="preserve">Příloze č. 3 </w:t>
      </w:r>
      <w:r>
        <w:t xml:space="preserve">této </w:t>
      </w:r>
      <w:r>
        <w:rPr>
          <w:b/>
          <w:bCs/>
        </w:rPr>
        <w:t xml:space="preserve">Smlouvy Zákazníkem </w:t>
      </w:r>
      <w:r>
        <w:t xml:space="preserve">a </w:t>
      </w:r>
      <w:r>
        <w:rPr>
          <w:b/>
          <w:bCs/>
        </w:rPr>
        <w:t xml:space="preserve">Zákazník </w:t>
      </w:r>
      <w:r>
        <w:t xml:space="preserve">se zavazuje zaplatit </w:t>
      </w:r>
      <w:r>
        <w:rPr>
          <w:b/>
          <w:bCs/>
        </w:rPr>
        <w:t xml:space="preserve">Obchodníkovi </w:t>
      </w:r>
      <w:r>
        <w:t xml:space="preserve">cenu za </w:t>
      </w:r>
      <w:r>
        <w:t xml:space="preserve">sdružené služby dodávky elektřiny ve výši dle údajů ve smlouvě o připojení s příslušným PDS. V případě, že </w:t>
      </w:r>
      <w:r>
        <w:rPr>
          <w:b/>
          <w:bCs/>
        </w:rPr>
        <w:t xml:space="preserve">Zákazník </w:t>
      </w:r>
      <w:r>
        <w:t xml:space="preserve">požaduje sjednat změnu rezervovaného příkonu nebo změnu sazby distribuce oproti jeho současnému stavu, je povinen tento požadavek doručit </w:t>
      </w:r>
      <w:r>
        <w:rPr>
          <w:b/>
          <w:bCs/>
        </w:rPr>
        <w:t>Ob</w:t>
      </w:r>
      <w:r>
        <w:rPr>
          <w:b/>
          <w:bCs/>
        </w:rPr>
        <w:t xml:space="preserve">chodníkovi </w:t>
      </w:r>
      <w:r>
        <w:t>dohodnutým způsobem.</w:t>
      </w:r>
    </w:p>
    <w:p w14:paraId="22FC3A2D" w14:textId="77777777" w:rsidR="001102E7" w:rsidRDefault="007034CD">
      <w:pPr>
        <w:pStyle w:val="Nadpis20"/>
        <w:keepNext/>
        <w:keepLines/>
        <w:shd w:val="clear" w:color="auto" w:fill="auto"/>
        <w:spacing w:after="0"/>
      </w:pPr>
      <w:bookmarkStart w:id="16" w:name="bookmark16"/>
      <w:bookmarkStart w:id="17" w:name="bookmark17"/>
      <w:r>
        <w:lastRenderedPageBreak/>
        <w:t>Čl. 4.</w:t>
      </w:r>
      <w:bookmarkEnd w:id="16"/>
      <w:bookmarkEnd w:id="17"/>
    </w:p>
    <w:p w14:paraId="41508BFE" w14:textId="77777777" w:rsidR="001102E7" w:rsidRDefault="007034CD">
      <w:pPr>
        <w:pStyle w:val="Nadpis20"/>
        <w:keepNext/>
        <w:keepLines/>
        <w:shd w:val="clear" w:color="auto" w:fill="auto"/>
        <w:spacing w:after="400"/>
      </w:pPr>
      <w:bookmarkStart w:id="18" w:name="bookmark18"/>
      <w:bookmarkStart w:id="19" w:name="bookmark19"/>
      <w:r>
        <w:t>ČASOVÁ A TECHNICKÁ SPECIFIKACE PLNĚNÍ</w:t>
      </w:r>
      <w:bookmarkEnd w:id="18"/>
      <w:bookmarkEnd w:id="19"/>
    </w:p>
    <w:p w14:paraId="4A17593A" w14:textId="77777777" w:rsidR="001102E7" w:rsidRDefault="007034CD">
      <w:pPr>
        <w:pStyle w:val="Zkladntext20"/>
        <w:numPr>
          <w:ilvl w:val="0"/>
          <w:numId w:val="4"/>
        </w:numPr>
        <w:shd w:val="clear" w:color="auto" w:fill="auto"/>
        <w:tabs>
          <w:tab w:val="left" w:pos="294"/>
        </w:tabs>
        <w:ind w:left="0" w:firstLine="0"/>
        <w:jc w:val="both"/>
      </w:pPr>
      <w:r>
        <w:rPr>
          <w:b/>
          <w:bCs/>
        </w:rPr>
        <w:t>Období dodávky:</w:t>
      </w:r>
    </w:p>
    <w:p w14:paraId="7CC6EA9F" w14:textId="77777777" w:rsidR="001102E7" w:rsidRDefault="007034CD">
      <w:pPr>
        <w:pStyle w:val="Zkladntext20"/>
        <w:shd w:val="clear" w:color="auto" w:fill="auto"/>
        <w:ind w:left="0" w:firstLine="300"/>
        <w:jc w:val="both"/>
      </w:pPr>
      <w:r>
        <w:t xml:space="preserve">Datum a obchodní hodina zahájení dodávky: </w:t>
      </w:r>
      <w:r>
        <w:rPr>
          <w:b/>
          <w:bCs/>
        </w:rPr>
        <w:t>1. 1. 2025 0:00 hod</w:t>
      </w:r>
      <w:r>
        <w:t>.</w:t>
      </w:r>
    </w:p>
    <w:p w14:paraId="7623CCD2" w14:textId="77777777" w:rsidR="001102E7" w:rsidRDefault="007034CD">
      <w:pPr>
        <w:pStyle w:val="Zkladntext20"/>
        <w:shd w:val="clear" w:color="auto" w:fill="auto"/>
        <w:ind w:left="0" w:firstLine="300"/>
        <w:jc w:val="both"/>
      </w:pPr>
      <w:r>
        <w:t xml:space="preserve">Datum a obchodní hodina ukončení dodávky: </w:t>
      </w:r>
      <w:r>
        <w:rPr>
          <w:b/>
          <w:bCs/>
        </w:rPr>
        <w:t>31. 12. 2025 24:00 hod.</w:t>
      </w:r>
    </w:p>
    <w:p w14:paraId="56758641" w14:textId="77777777" w:rsidR="001102E7" w:rsidRDefault="007034CD">
      <w:pPr>
        <w:pStyle w:val="Zkladntext20"/>
        <w:shd w:val="clear" w:color="auto" w:fill="auto"/>
        <w:spacing w:line="276" w:lineRule="auto"/>
        <w:ind w:left="300" w:firstLine="0"/>
        <w:jc w:val="both"/>
      </w:pPr>
      <w:r>
        <w:t xml:space="preserve">V případě, že u některých odběrných míst bude stanoveno odlišné období dodávky, je to uvedeno v </w:t>
      </w:r>
      <w:r>
        <w:rPr>
          <w:b/>
          <w:bCs/>
        </w:rPr>
        <w:t xml:space="preserve">Příloze č. 3 </w:t>
      </w:r>
      <w:r>
        <w:t>- seznam odběrných míst nízkého napětí.</w:t>
      </w:r>
    </w:p>
    <w:p w14:paraId="75AC5017" w14:textId="77777777" w:rsidR="001102E7" w:rsidRDefault="007034CD">
      <w:pPr>
        <w:pStyle w:val="Zkladntext20"/>
        <w:numPr>
          <w:ilvl w:val="0"/>
          <w:numId w:val="4"/>
        </w:numPr>
        <w:shd w:val="clear" w:color="auto" w:fill="auto"/>
        <w:tabs>
          <w:tab w:val="left" w:pos="294"/>
        </w:tabs>
        <w:ind w:left="0" w:firstLine="0"/>
        <w:jc w:val="both"/>
      </w:pPr>
      <w:r>
        <w:rPr>
          <w:b/>
          <w:bCs/>
        </w:rPr>
        <w:t>Odběrový diagram a způsob jeho sjednávání a upřesňování:</w:t>
      </w:r>
    </w:p>
    <w:p w14:paraId="6E897272" w14:textId="77777777" w:rsidR="001102E7" w:rsidRDefault="007034CD">
      <w:pPr>
        <w:pStyle w:val="Zkladntext20"/>
        <w:shd w:val="clear" w:color="auto" w:fill="auto"/>
        <w:spacing w:line="269" w:lineRule="auto"/>
        <w:ind w:left="300" w:firstLine="0"/>
        <w:jc w:val="both"/>
      </w:pPr>
      <w:r>
        <w:rPr>
          <w:b/>
          <w:bCs/>
        </w:rPr>
        <w:t xml:space="preserve">Zákazník </w:t>
      </w:r>
      <w:r>
        <w:t xml:space="preserve">sjednal s </w:t>
      </w:r>
      <w:r>
        <w:rPr>
          <w:b/>
          <w:bCs/>
        </w:rPr>
        <w:t xml:space="preserve">Obchodníkem </w:t>
      </w:r>
      <w:r>
        <w:t xml:space="preserve">množství elektřiny </w:t>
      </w:r>
      <w:r>
        <w:t xml:space="preserve">pro všechna odběrná místa na období trvání dodávky ve výši 5,178 </w:t>
      </w:r>
      <w:proofErr w:type="spellStart"/>
      <w:r>
        <w:rPr>
          <w:b/>
          <w:bCs/>
        </w:rPr>
        <w:t>MWh</w:t>
      </w:r>
      <w:proofErr w:type="spellEnd"/>
      <w:r>
        <w:t>.</w:t>
      </w:r>
    </w:p>
    <w:p w14:paraId="29F8756E" w14:textId="77777777" w:rsidR="001102E7" w:rsidRDefault="007034CD">
      <w:pPr>
        <w:pStyle w:val="Zkladntext20"/>
        <w:shd w:val="clear" w:color="auto" w:fill="auto"/>
        <w:ind w:left="300" w:firstLine="0"/>
        <w:jc w:val="both"/>
      </w:pPr>
      <w:r>
        <w:t>Případné nedočerpání nebo překročení plánovaného ročního odběru elektřiny (</w:t>
      </w:r>
      <w:r>
        <w:rPr>
          <w:b/>
          <w:bCs/>
        </w:rPr>
        <w:t>Toleranční odchylka</w:t>
      </w:r>
      <w:r>
        <w:t xml:space="preserve">) v jednotlivých odběrných místech uvedených v </w:t>
      </w:r>
      <w:r>
        <w:rPr>
          <w:b/>
          <w:bCs/>
        </w:rPr>
        <w:t xml:space="preserve">Příloze č. 3 </w:t>
      </w:r>
      <w:r>
        <w:t xml:space="preserve">této </w:t>
      </w:r>
      <w:r>
        <w:rPr>
          <w:b/>
          <w:bCs/>
        </w:rPr>
        <w:t xml:space="preserve">Smlouvy, </w:t>
      </w:r>
      <w:r>
        <w:t xml:space="preserve">nebude ze strany </w:t>
      </w:r>
      <w:r>
        <w:rPr>
          <w:b/>
          <w:bCs/>
        </w:rPr>
        <w:t>O</w:t>
      </w:r>
      <w:r>
        <w:rPr>
          <w:b/>
          <w:bCs/>
        </w:rPr>
        <w:t xml:space="preserve">bchodníka </w:t>
      </w:r>
      <w:r>
        <w:t>podléhat žádným cenovým přirážkám či jiným sankcím.</w:t>
      </w:r>
    </w:p>
    <w:p w14:paraId="3BBDB3BC" w14:textId="77777777" w:rsidR="001102E7" w:rsidRDefault="007034CD">
      <w:pPr>
        <w:pStyle w:val="Zkladntext20"/>
        <w:shd w:val="clear" w:color="auto" w:fill="auto"/>
        <w:spacing w:line="276" w:lineRule="auto"/>
        <w:ind w:left="300" w:firstLine="0"/>
        <w:jc w:val="both"/>
      </w:pPr>
      <w:r>
        <w:t xml:space="preserve">Nevyplývá-li z OPD jinak, není </w:t>
      </w:r>
      <w:r>
        <w:rPr>
          <w:b/>
          <w:bCs/>
        </w:rPr>
        <w:t xml:space="preserve">Obchodník </w:t>
      </w:r>
      <w:r>
        <w:t xml:space="preserve">oprávněn účtovat </w:t>
      </w:r>
      <w:r>
        <w:rPr>
          <w:b/>
          <w:bCs/>
        </w:rPr>
        <w:t xml:space="preserve">Zákazníku </w:t>
      </w:r>
      <w:r>
        <w:t xml:space="preserve">žádné náklady vynaložené jím v souvislosti s překročením </w:t>
      </w:r>
      <w:r>
        <w:rPr>
          <w:b/>
          <w:bCs/>
        </w:rPr>
        <w:t>Toleranční odchylky</w:t>
      </w:r>
      <w:r>
        <w:t>.</w:t>
      </w:r>
    </w:p>
    <w:p w14:paraId="77A504AA" w14:textId="77777777" w:rsidR="001102E7" w:rsidRDefault="007034CD">
      <w:pPr>
        <w:pStyle w:val="Zkladntext20"/>
        <w:shd w:val="clear" w:color="auto" w:fill="auto"/>
        <w:ind w:left="300" w:firstLine="0"/>
        <w:jc w:val="both"/>
      </w:pPr>
      <w:r>
        <w:t xml:space="preserve">Pro vyloučení pochybností platí, že u odběrných </w:t>
      </w:r>
      <w:r>
        <w:t xml:space="preserve">míst v hladině nízkého napětí se </w:t>
      </w:r>
      <w:r>
        <w:rPr>
          <w:b/>
          <w:bCs/>
        </w:rPr>
        <w:t xml:space="preserve">Toleranční odchylka </w:t>
      </w:r>
      <w:r>
        <w:t xml:space="preserve">nevyhodnocuje a odchylka skutečné spotřeby od předpokládané spotřeby není předmětem žádného poplatku nebo sankční platby ze strany </w:t>
      </w:r>
      <w:r>
        <w:rPr>
          <w:b/>
          <w:bCs/>
        </w:rPr>
        <w:t>Obchodníka</w:t>
      </w:r>
      <w:r>
        <w:t>.</w:t>
      </w:r>
    </w:p>
    <w:p w14:paraId="10B0F801" w14:textId="77777777" w:rsidR="001102E7" w:rsidRDefault="007034CD">
      <w:pPr>
        <w:pStyle w:val="Zkladntext20"/>
        <w:numPr>
          <w:ilvl w:val="0"/>
          <w:numId w:val="4"/>
        </w:numPr>
        <w:shd w:val="clear" w:color="auto" w:fill="auto"/>
        <w:tabs>
          <w:tab w:val="left" w:pos="284"/>
        </w:tabs>
        <w:ind w:left="0" w:firstLine="0"/>
        <w:jc w:val="both"/>
      </w:pPr>
      <w:r>
        <w:rPr>
          <w:b/>
          <w:bCs/>
        </w:rPr>
        <w:t>Změna počtu odběrných míst v průběhu dodávky:</w:t>
      </w:r>
    </w:p>
    <w:p w14:paraId="7026F6C8" w14:textId="77777777" w:rsidR="001102E7" w:rsidRDefault="007034CD">
      <w:pPr>
        <w:pStyle w:val="Zkladntext20"/>
        <w:shd w:val="clear" w:color="auto" w:fill="auto"/>
        <w:spacing w:line="276" w:lineRule="auto"/>
        <w:ind w:firstLine="0"/>
        <w:jc w:val="both"/>
      </w:pPr>
      <w:r>
        <w:rPr>
          <w:b/>
          <w:bCs/>
        </w:rPr>
        <w:t xml:space="preserve">Zákazník </w:t>
      </w:r>
      <w:r>
        <w:t xml:space="preserve">je oprávněn snížit nebo zvýšit počet odběrných míst uvedených v </w:t>
      </w:r>
      <w:r>
        <w:rPr>
          <w:b/>
          <w:bCs/>
        </w:rPr>
        <w:t>Příloze č. 3</w:t>
      </w:r>
      <w:r>
        <w:t xml:space="preserve">, do nichž je elektřina dodávána, pouze se souhlasem </w:t>
      </w:r>
      <w:r>
        <w:rPr>
          <w:b/>
          <w:bCs/>
        </w:rPr>
        <w:t>Obchodníka</w:t>
      </w:r>
      <w:r>
        <w:t>.</w:t>
      </w:r>
    </w:p>
    <w:p w14:paraId="21D64E3E" w14:textId="77777777" w:rsidR="001102E7" w:rsidRDefault="007034CD">
      <w:pPr>
        <w:pStyle w:val="Zkladntext20"/>
        <w:shd w:val="clear" w:color="auto" w:fill="auto"/>
        <w:ind w:firstLine="0"/>
        <w:jc w:val="both"/>
      </w:pPr>
      <w:r>
        <w:t xml:space="preserve">Souhlas </w:t>
      </w:r>
      <w:r>
        <w:rPr>
          <w:b/>
          <w:bCs/>
        </w:rPr>
        <w:t xml:space="preserve">Obchodníka </w:t>
      </w:r>
      <w:r>
        <w:t>se nevyžaduje v případech zvýšení počtu odběrných míst, v důsledku kterého nedojde ke k</w:t>
      </w:r>
      <w:r>
        <w:t xml:space="preserve">umulativnímu rozšíření o více než 15 OM s maximální celkovou roční spotřebou do 10% kumulativního objemu sjednanému v článcích 4.2. jednotlivých smluv v </w:t>
      </w:r>
      <w:proofErr w:type="spellStart"/>
      <w:r>
        <w:t>MWh</w:t>
      </w:r>
      <w:proofErr w:type="spellEnd"/>
      <w:r>
        <w:t xml:space="preserve"> v rámci všech </w:t>
      </w:r>
      <w:r>
        <w:rPr>
          <w:b/>
          <w:bCs/>
        </w:rPr>
        <w:t>Zákazníků</w:t>
      </w:r>
      <w:r>
        <w:t xml:space="preserve">, se kterými </w:t>
      </w:r>
      <w:r>
        <w:rPr>
          <w:b/>
          <w:bCs/>
        </w:rPr>
        <w:t xml:space="preserve">Obchodník </w:t>
      </w:r>
      <w:r>
        <w:t>uzavřel Smlouvu na základě výsledku zadávacího řízení</w:t>
      </w:r>
      <w:r>
        <w:t xml:space="preserve"> veřejné zakázky „Dodávky elektrické energie pro statutární město Ostrava a městské organizace na rok 2025 - část 1 - Dodávka elektřiny v hladině NN“. Rozšíření o nová OM dle věty předchozí podléhá schválení Statutárním městem Ostrava coby centrálním zadav</w:t>
      </w:r>
      <w:r>
        <w:t>atelem předmětné veřejné zakázky.</w:t>
      </w:r>
    </w:p>
    <w:p w14:paraId="35847678" w14:textId="77777777" w:rsidR="001102E7" w:rsidRDefault="007034CD">
      <w:pPr>
        <w:pStyle w:val="Zkladntext20"/>
        <w:shd w:val="clear" w:color="auto" w:fill="auto"/>
        <w:spacing w:after="880"/>
        <w:ind w:firstLine="0"/>
        <w:jc w:val="both"/>
      </w:pPr>
      <w:r>
        <w:rPr>
          <w:b/>
          <w:bCs/>
        </w:rPr>
        <w:t xml:space="preserve">Obchodník </w:t>
      </w:r>
      <w:r>
        <w:t xml:space="preserve">zahájí dodávku elektřiny do nového odběrného místa od okamžiku dohodnutého mezi smluvními stranami. Pro dodávku elektřiny do nového odběrného místa platí podmínky sjednané v rámci </w:t>
      </w:r>
      <w:r>
        <w:rPr>
          <w:b/>
          <w:bCs/>
        </w:rPr>
        <w:t>Smlouvy</w:t>
      </w:r>
      <w:r>
        <w:t>, nedohodnou-li se smluvn</w:t>
      </w:r>
      <w:r>
        <w:t xml:space="preserve">í strany jinak. V případech zrušení/odebrání odběrného místa u </w:t>
      </w:r>
      <w:r>
        <w:rPr>
          <w:b/>
          <w:bCs/>
        </w:rPr>
        <w:t xml:space="preserve">Zákazníka </w:t>
      </w:r>
      <w:r>
        <w:t xml:space="preserve">z důvodu převodu vlastnických práv k odběrnému místu, odstranění odběrného místa, demolice nebo zničení živelní pohromou, je </w:t>
      </w:r>
      <w:r>
        <w:rPr>
          <w:b/>
          <w:bCs/>
        </w:rPr>
        <w:t xml:space="preserve">Zákazník </w:t>
      </w:r>
      <w:r>
        <w:t xml:space="preserve">oprávněn ukončit smluvní vztah s </w:t>
      </w:r>
      <w:r>
        <w:rPr>
          <w:b/>
          <w:bCs/>
        </w:rPr>
        <w:t xml:space="preserve">Obchodníkem </w:t>
      </w:r>
      <w:r>
        <w:t>k da</w:t>
      </w:r>
      <w:r>
        <w:t xml:space="preserve">nému odběrnému místu ke dni požadovanému </w:t>
      </w:r>
      <w:r>
        <w:rPr>
          <w:b/>
          <w:bCs/>
        </w:rPr>
        <w:t xml:space="preserve">Zákazníkem </w:t>
      </w:r>
      <w:r>
        <w:t xml:space="preserve">v oznámení </w:t>
      </w:r>
      <w:r>
        <w:rPr>
          <w:b/>
          <w:bCs/>
        </w:rPr>
        <w:t xml:space="preserve">Obchodníkovi </w:t>
      </w:r>
      <w:r>
        <w:t xml:space="preserve">o zrušení/odebrání odběrného místa, a to bez nároku </w:t>
      </w:r>
      <w:r>
        <w:rPr>
          <w:b/>
          <w:bCs/>
        </w:rPr>
        <w:t xml:space="preserve">Obchodníka </w:t>
      </w:r>
      <w:r>
        <w:t xml:space="preserve">na finanční kompenzaci. Oznámení o zrušení/odebrání odběrného místa musí být doručeno </w:t>
      </w:r>
      <w:r>
        <w:rPr>
          <w:b/>
          <w:bCs/>
        </w:rPr>
        <w:t xml:space="preserve">Obchodníkovi </w:t>
      </w:r>
      <w:r>
        <w:t>tak, aby bylo možn</w:t>
      </w:r>
      <w:r>
        <w:t>é zrušit registraci/provést přepis odběrného místa v souladu s právními předpisy a Obchodními podmínkami OTE, a.s. pro elektroenergetiku.</w:t>
      </w:r>
    </w:p>
    <w:p w14:paraId="35C19A2F" w14:textId="77777777" w:rsidR="001102E7" w:rsidRDefault="007034CD">
      <w:pPr>
        <w:pStyle w:val="Nadpis20"/>
        <w:keepNext/>
        <w:keepLines/>
        <w:shd w:val="clear" w:color="auto" w:fill="auto"/>
        <w:spacing w:after="0"/>
      </w:pPr>
      <w:bookmarkStart w:id="20" w:name="bookmark20"/>
      <w:bookmarkStart w:id="21" w:name="bookmark21"/>
      <w:r>
        <w:lastRenderedPageBreak/>
        <w:t>Čl. 5.</w:t>
      </w:r>
      <w:bookmarkEnd w:id="20"/>
      <w:bookmarkEnd w:id="21"/>
    </w:p>
    <w:p w14:paraId="5F44C694" w14:textId="77777777" w:rsidR="001102E7" w:rsidRDefault="007034CD">
      <w:pPr>
        <w:pStyle w:val="Nadpis20"/>
        <w:keepNext/>
        <w:keepLines/>
        <w:shd w:val="clear" w:color="auto" w:fill="auto"/>
        <w:spacing w:after="400"/>
      </w:pPr>
      <w:bookmarkStart w:id="22" w:name="bookmark22"/>
      <w:bookmarkStart w:id="23" w:name="bookmark23"/>
      <w:r>
        <w:t>CENA A PLATEBNÍ PODMÍNKY</w:t>
      </w:r>
      <w:bookmarkEnd w:id="22"/>
      <w:bookmarkEnd w:id="23"/>
    </w:p>
    <w:p w14:paraId="6C82FCDF" w14:textId="77777777" w:rsidR="001102E7" w:rsidRDefault="007034CD">
      <w:pPr>
        <w:pStyle w:val="Zkladntext20"/>
        <w:numPr>
          <w:ilvl w:val="0"/>
          <w:numId w:val="5"/>
        </w:numPr>
        <w:shd w:val="clear" w:color="auto" w:fill="auto"/>
        <w:tabs>
          <w:tab w:val="left" w:pos="578"/>
        </w:tabs>
        <w:spacing w:line="269" w:lineRule="auto"/>
        <w:ind w:left="580" w:hanging="420"/>
        <w:jc w:val="both"/>
      </w:pPr>
      <w:r>
        <w:t xml:space="preserve">Cena za dodávku silové elektřiny bez daně z elektřiny a bez DPH je fixní a je uvedena v </w:t>
      </w:r>
      <w:r>
        <w:rPr>
          <w:b/>
          <w:bCs/>
        </w:rPr>
        <w:t xml:space="preserve">Příloze č. 2 </w:t>
      </w:r>
      <w:r>
        <w:t xml:space="preserve">této </w:t>
      </w:r>
      <w:r>
        <w:rPr>
          <w:b/>
          <w:bCs/>
        </w:rPr>
        <w:t xml:space="preserve">Smlouvy </w:t>
      </w:r>
      <w:r>
        <w:t xml:space="preserve">a sjednává se pro celou dobu trvání </w:t>
      </w:r>
      <w:r>
        <w:rPr>
          <w:b/>
          <w:bCs/>
        </w:rPr>
        <w:t>Smlouv</w:t>
      </w:r>
      <w:r>
        <w:t xml:space="preserve">y dle čl. 6. této </w:t>
      </w:r>
      <w:r>
        <w:rPr>
          <w:b/>
          <w:bCs/>
        </w:rPr>
        <w:t>Smlouvy</w:t>
      </w:r>
      <w:r>
        <w:t>.</w:t>
      </w:r>
    </w:p>
    <w:p w14:paraId="782BE06F" w14:textId="77777777" w:rsidR="001102E7" w:rsidRDefault="007034CD">
      <w:pPr>
        <w:pStyle w:val="Zkladntext20"/>
        <w:numPr>
          <w:ilvl w:val="0"/>
          <w:numId w:val="5"/>
        </w:numPr>
        <w:shd w:val="clear" w:color="auto" w:fill="auto"/>
        <w:tabs>
          <w:tab w:val="left" w:pos="578"/>
        </w:tabs>
        <w:ind w:left="580" w:hanging="420"/>
        <w:jc w:val="both"/>
      </w:pPr>
      <w:r>
        <w:t>Ceny regulovaných služeb souvisejících s dodávkou elektřiny budou stanove</w:t>
      </w:r>
      <w:r>
        <w:t>ny příslušným právním předpisem („regulovaná cena“) ve výši podle platného cenového rozhodnutí Energetického regulačního úřadu („ERÚ“).</w:t>
      </w:r>
    </w:p>
    <w:p w14:paraId="464DF20B" w14:textId="77777777" w:rsidR="001102E7" w:rsidRDefault="007034CD">
      <w:pPr>
        <w:pStyle w:val="Zkladntext20"/>
        <w:numPr>
          <w:ilvl w:val="0"/>
          <w:numId w:val="5"/>
        </w:numPr>
        <w:shd w:val="clear" w:color="auto" w:fill="auto"/>
        <w:tabs>
          <w:tab w:val="left" w:pos="578"/>
        </w:tabs>
        <w:spacing w:line="276" w:lineRule="auto"/>
        <w:ind w:left="580" w:hanging="420"/>
        <w:jc w:val="both"/>
      </w:pPr>
      <w:r>
        <w:t>K účtované ceně se připočítává daň z elektřiny a daň z přidané hodnoty stanovené platnými právními předpisy.</w:t>
      </w:r>
    </w:p>
    <w:p w14:paraId="374B633E" w14:textId="77777777" w:rsidR="001102E7" w:rsidRDefault="007034CD">
      <w:pPr>
        <w:pStyle w:val="Zkladntext20"/>
        <w:numPr>
          <w:ilvl w:val="0"/>
          <w:numId w:val="5"/>
        </w:numPr>
        <w:shd w:val="clear" w:color="auto" w:fill="auto"/>
        <w:tabs>
          <w:tab w:val="left" w:pos="578"/>
        </w:tabs>
        <w:spacing w:after="880"/>
        <w:ind w:left="0" w:firstLine="160"/>
        <w:jc w:val="both"/>
      </w:pPr>
      <w:r>
        <w:t xml:space="preserve">Platební podmínky jsou uvedeny v </w:t>
      </w:r>
      <w:r>
        <w:rPr>
          <w:b/>
          <w:bCs/>
        </w:rPr>
        <w:t xml:space="preserve">Příloze č. 1 </w:t>
      </w:r>
      <w:r>
        <w:t xml:space="preserve">této </w:t>
      </w:r>
      <w:proofErr w:type="gramStart"/>
      <w:r>
        <w:rPr>
          <w:b/>
          <w:bCs/>
        </w:rPr>
        <w:t xml:space="preserve">Smlouvy </w:t>
      </w:r>
      <w:r>
        <w:t>- Obchodní</w:t>
      </w:r>
      <w:proofErr w:type="gramEnd"/>
      <w:r>
        <w:t xml:space="preserve"> podmínky dodávky elektřiny.</w:t>
      </w:r>
    </w:p>
    <w:p w14:paraId="622B13CB" w14:textId="77777777" w:rsidR="001102E7" w:rsidRDefault="007034CD">
      <w:pPr>
        <w:pStyle w:val="Nadpis20"/>
        <w:keepNext/>
        <w:keepLines/>
        <w:shd w:val="clear" w:color="auto" w:fill="auto"/>
        <w:spacing w:after="0"/>
      </w:pPr>
      <w:bookmarkStart w:id="24" w:name="bookmark24"/>
      <w:bookmarkStart w:id="25" w:name="bookmark25"/>
      <w:r>
        <w:t>Čl. 6.</w:t>
      </w:r>
      <w:bookmarkEnd w:id="24"/>
      <w:bookmarkEnd w:id="25"/>
    </w:p>
    <w:p w14:paraId="29A33D85" w14:textId="77777777" w:rsidR="001102E7" w:rsidRDefault="007034CD">
      <w:pPr>
        <w:pStyle w:val="Nadpis20"/>
        <w:keepNext/>
        <w:keepLines/>
        <w:shd w:val="clear" w:color="auto" w:fill="auto"/>
        <w:spacing w:after="400"/>
      </w:pPr>
      <w:bookmarkStart w:id="26" w:name="bookmark26"/>
      <w:bookmarkStart w:id="27" w:name="bookmark27"/>
      <w:r>
        <w:t>PLATNOST A ÚČINNOST SMLOUVY</w:t>
      </w:r>
      <w:bookmarkEnd w:id="26"/>
      <w:bookmarkEnd w:id="27"/>
    </w:p>
    <w:p w14:paraId="767BEAEF" w14:textId="77777777" w:rsidR="001102E7" w:rsidRDefault="007034CD">
      <w:pPr>
        <w:pStyle w:val="Zkladntext20"/>
        <w:shd w:val="clear" w:color="auto" w:fill="auto"/>
        <w:tabs>
          <w:tab w:val="left" w:pos="578"/>
        </w:tabs>
        <w:ind w:left="0" w:firstLine="0"/>
        <w:jc w:val="both"/>
      </w:pPr>
      <w:r>
        <w:t>1.</w:t>
      </w:r>
      <w:r>
        <w:tab/>
        <w:t xml:space="preserve">Tato </w:t>
      </w:r>
      <w:r>
        <w:rPr>
          <w:b/>
          <w:bCs/>
        </w:rPr>
        <w:t xml:space="preserve">Smlouva </w:t>
      </w:r>
      <w:r>
        <w:t xml:space="preserve">se uzavírá na dobu určitou od </w:t>
      </w:r>
      <w:r>
        <w:rPr>
          <w:b/>
          <w:bCs/>
        </w:rPr>
        <w:t xml:space="preserve">1. 1. 2025 00:00 hod. </w:t>
      </w:r>
      <w:r>
        <w:t xml:space="preserve">do </w:t>
      </w:r>
      <w:r>
        <w:rPr>
          <w:b/>
          <w:bCs/>
        </w:rPr>
        <w:t>31. 12. 2025 24:00</w:t>
      </w:r>
      <w:r>
        <w:t>.</w:t>
      </w:r>
    </w:p>
    <w:p w14:paraId="0AF0C7F1" w14:textId="77777777" w:rsidR="001102E7" w:rsidRDefault="007034CD">
      <w:pPr>
        <w:pStyle w:val="Zkladntext20"/>
        <w:shd w:val="clear" w:color="auto" w:fill="auto"/>
        <w:spacing w:after="460" w:line="276" w:lineRule="auto"/>
        <w:ind w:left="580" w:hanging="580"/>
        <w:jc w:val="both"/>
      </w:pPr>
      <w:r>
        <w:t xml:space="preserve">2. Tato </w:t>
      </w:r>
      <w:r>
        <w:rPr>
          <w:b/>
          <w:bCs/>
        </w:rPr>
        <w:t xml:space="preserve">Smlouva </w:t>
      </w:r>
      <w:r>
        <w:t>nabývá platnosti</w:t>
      </w:r>
      <w:r>
        <w:t xml:space="preserve"> dnem uzavření. Účinnost </w:t>
      </w:r>
      <w:r>
        <w:rPr>
          <w:b/>
          <w:bCs/>
        </w:rPr>
        <w:t>Smlouv</w:t>
      </w:r>
      <w:r>
        <w:t>a nabývá jejím uveřejněním v registru smluv.</w:t>
      </w:r>
    </w:p>
    <w:p w14:paraId="5233186E" w14:textId="77777777" w:rsidR="001102E7" w:rsidRDefault="007034CD">
      <w:pPr>
        <w:pStyle w:val="Nadpis20"/>
        <w:keepNext/>
        <w:keepLines/>
        <w:shd w:val="clear" w:color="auto" w:fill="auto"/>
        <w:spacing w:after="0"/>
      </w:pPr>
      <w:bookmarkStart w:id="28" w:name="bookmark28"/>
      <w:bookmarkStart w:id="29" w:name="bookmark29"/>
      <w:r>
        <w:t>Čl. 7.</w:t>
      </w:r>
      <w:bookmarkEnd w:id="28"/>
      <w:bookmarkEnd w:id="29"/>
    </w:p>
    <w:p w14:paraId="0D3D106D" w14:textId="77777777" w:rsidR="001102E7" w:rsidRDefault="007034CD">
      <w:pPr>
        <w:pStyle w:val="Nadpis20"/>
        <w:keepNext/>
        <w:keepLines/>
        <w:shd w:val="clear" w:color="auto" w:fill="auto"/>
        <w:spacing w:after="400"/>
      </w:pPr>
      <w:bookmarkStart w:id="30" w:name="bookmark30"/>
      <w:bookmarkStart w:id="31" w:name="bookmark31"/>
      <w:r>
        <w:t>SPOLEČNÁ A ZÁVĚREČNÁ USTANOVENÍ</w:t>
      </w:r>
      <w:bookmarkEnd w:id="30"/>
      <w:bookmarkEnd w:id="31"/>
    </w:p>
    <w:p w14:paraId="7AABDE9D" w14:textId="77777777" w:rsidR="001102E7" w:rsidRDefault="007034CD">
      <w:pPr>
        <w:pStyle w:val="Zkladntext20"/>
        <w:shd w:val="clear" w:color="auto" w:fill="auto"/>
        <w:spacing w:line="269" w:lineRule="auto"/>
        <w:ind w:left="580" w:hanging="420"/>
        <w:jc w:val="both"/>
      </w:pPr>
      <w:r>
        <w:t xml:space="preserve">1. </w:t>
      </w:r>
      <w:r>
        <w:rPr>
          <w:b/>
          <w:bCs/>
        </w:rPr>
        <w:t xml:space="preserve">Zákazník </w:t>
      </w:r>
      <w:r>
        <w:t xml:space="preserve">podpisem této </w:t>
      </w:r>
      <w:r>
        <w:rPr>
          <w:b/>
          <w:bCs/>
        </w:rPr>
        <w:t xml:space="preserve">Smlouvy </w:t>
      </w:r>
      <w:r>
        <w:t xml:space="preserve">potvrzuje, že převzal a seznámil se s OPD, které tvoří </w:t>
      </w:r>
      <w:r>
        <w:rPr>
          <w:b/>
          <w:bCs/>
        </w:rPr>
        <w:t xml:space="preserve">Přílohu č. 1 </w:t>
      </w:r>
      <w:r>
        <w:t xml:space="preserve">této </w:t>
      </w:r>
      <w:r>
        <w:rPr>
          <w:b/>
          <w:bCs/>
        </w:rPr>
        <w:t>Smlouvy.</w:t>
      </w:r>
    </w:p>
    <w:p w14:paraId="2E883601" w14:textId="77777777" w:rsidR="001102E7" w:rsidRDefault="007034CD">
      <w:pPr>
        <w:pStyle w:val="Zkladntext20"/>
        <w:shd w:val="clear" w:color="auto" w:fill="auto"/>
        <w:ind w:left="580" w:hanging="420"/>
        <w:jc w:val="both"/>
      </w:pPr>
      <w:r>
        <w:t xml:space="preserve">2. Smluvní strany určují kontaktní osoby oprávněné k jednání k naplnění této </w:t>
      </w:r>
      <w:r>
        <w:rPr>
          <w:b/>
          <w:bCs/>
        </w:rPr>
        <w:t xml:space="preserve">Smlouvy </w:t>
      </w:r>
      <w:r>
        <w:t xml:space="preserve">a dalším úkonům, včetně přijetí změn této </w:t>
      </w:r>
      <w:r>
        <w:rPr>
          <w:b/>
          <w:bCs/>
        </w:rPr>
        <w:t>Smlouvy</w:t>
      </w:r>
      <w:r>
        <w:t xml:space="preserve">; také určují doručovací adresy pro vzájemnou komunikaci. Tyto osoby a adresy jsou uvedeny v </w:t>
      </w:r>
      <w:r>
        <w:rPr>
          <w:b/>
          <w:bCs/>
        </w:rPr>
        <w:t xml:space="preserve">Příloze č. 4 </w:t>
      </w:r>
      <w:r>
        <w:t xml:space="preserve">této </w:t>
      </w:r>
      <w:r>
        <w:rPr>
          <w:b/>
          <w:bCs/>
        </w:rPr>
        <w:t>Smlouvy</w:t>
      </w:r>
      <w:r>
        <w:t>.</w:t>
      </w:r>
    </w:p>
    <w:p w14:paraId="3A8C9FB4" w14:textId="77777777" w:rsidR="001102E7" w:rsidRDefault="007034CD">
      <w:pPr>
        <w:pStyle w:val="Zkladntext20"/>
        <w:numPr>
          <w:ilvl w:val="0"/>
          <w:numId w:val="1"/>
        </w:numPr>
        <w:shd w:val="clear" w:color="auto" w:fill="auto"/>
        <w:tabs>
          <w:tab w:val="left" w:pos="578"/>
        </w:tabs>
        <w:spacing w:line="269" w:lineRule="auto"/>
        <w:ind w:left="580" w:hanging="420"/>
        <w:jc w:val="both"/>
      </w:pPr>
      <w:r>
        <w:t>Pr</w:t>
      </w:r>
      <w:r>
        <w:t xml:space="preserve">o případy převodu nebo zřízení nových OM v průběhu dodávky udělí </w:t>
      </w:r>
      <w:r>
        <w:rPr>
          <w:b/>
          <w:bCs/>
        </w:rPr>
        <w:t xml:space="preserve">Zákazník Obchodníkovi </w:t>
      </w:r>
      <w:r>
        <w:t>plnou moc k zajištění potřebných kroků vedoucích k naplnění těchto záměrů.</w:t>
      </w:r>
    </w:p>
    <w:p w14:paraId="3FD77FFA" w14:textId="77777777" w:rsidR="001102E7" w:rsidRDefault="007034CD">
      <w:pPr>
        <w:pStyle w:val="Zkladntext20"/>
        <w:numPr>
          <w:ilvl w:val="0"/>
          <w:numId w:val="1"/>
        </w:numPr>
        <w:shd w:val="clear" w:color="auto" w:fill="auto"/>
        <w:tabs>
          <w:tab w:val="left" w:pos="578"/>
        </w:tabs>
        <w:ind w:left="580" w:hanging="420"/>
        <w:jc w:val="both"/>
      </w:pPr>
      <w:r>
        <w:t xml:space="preserve">Tuto </w:t>
      </w:r>
      <w:r>
        <w:rPr>
          <w:b/>
          <w:bCs/>
        </w:rPr>
        <w:t xml:space="preserve">Smlouvu </w:t>
      </w:r>
      <w:r>
        <w:t xml:space="preserve">lze měnit jen písemnou formou, výhradně vzestupně číslovanými dodatky opatřenými </w:t>
      </w:r>
      <w:r>
        <w:t xml:space="preserve">podpisy oprávněných zástupců smluvních stran, takže jakákoliv ústní ujednání o změnách této </w:t>
      </w:r>
      <w:r>
        <w:rPr>
          <w:b/>
          <w:bCs/>
        </w:rPr>
        <w:t xml:space="preserve">Smlouvy </w:t>
      </w:r>
      <w:r>
        <w:t>budou považována za právně neplatná a neúčinná.</w:t>
      </w:r>
    </w:p>
    <w:p w14:paraId="49556D84" w14:textId="77777777" w:rsidR="001102E7" w:rsidRDefault="007034CD">
      <w:pPr>
        <w:pStyle w:val="Zkladntext20"/>
        <w:shd w:val="clear" w:color="auto" w:fill="auto"/>
        <w:ind w:left="440" w:hanging="440"/>
        <w:jc w:val="both"/>
      </w:pPr>
      <w:r>
        <w:t xml:space="preserve">5. Pokud by jakýkoliv závazek (povinnost) podle této </w:t>
      </w:r>
      <w:r>
        <w:rPr>
          <w:b/>
          <w:bCs/>
        </w:rPr>
        <w:t xml:space="preserve">Smlouvy oddělitelný od ostatního obsahu </w:t>
      </w:r>
      <w:r>
        <w:t xml:space="preserve">byl nebo by se </w:t>
      </w:r>
      <w:r>
        <w:t xml:space="preserve">stal neplatným nebo nevymahatelným, nebude to mít vliv na platnost a vymahatelnost ostatních závazků (povinností) podle této </w:t>
      </w:r>
      <w:r>
        <w:rPr>
          <w:b/>
          <w:bCs/>
        </w:rPr>
        <w:t>Smlouvy</w:t>
      </w:r>
      <w:r>
        <w:t xml:space="preserve">; Smluvní strany se zavazují nahradit takovýto neplatný nebo nevymahatelný závazek (povinnost) novým, platným a vymahatelným závazkem (povinností), jehož předmět bude nejvhodněji odpovídat předmětu a účelu původního závazku (povinnosti); pokud by tato </w:t>
      </w:r>
      <w:r>
        <w:rPr>
          <w:b/>
          <w:bCs/>
        </w:rPr>
        <w:t>Smlo</w:t>
      </w:r>
      <w:r>
        <w:rPr>
          <w:b/>
          <w:bCs/>
        </w:rPr>
        <w:t xml:space="preserve">uva </w:t>
      </w:r>
      <w:r>
        <w:t xml:space="preserve">neobsahovala nějaké ustanovení, které by bylo jinak pro vymezení práv a povinností odůvodněné, Smluvní strany se zavazují takové ustanovení do </w:t>
      </w:r>
      <w:r>
        <w:rPr>
          <w:b/>
          <w:bCs/>
        </w:rPr>
        <w:t xml:space="preserve">Smlouvy </w:t>
      </w:r>
      <w:r>
        <w:t xml:space="preserve">doplnit; ostatní ustanovení této </w:t>
      </w:r>
      <w:r>
        <w:rPr>
          <w:b/>
          <w:bCs/>
        </w:rPr>
        <w:t xml:space="preserve">Smlouvy </w:t>
      </w:r>
      <w:r>
        <w:t>zůstávají beze změny.</w:t>
      </w:r>
    </w:p>
    <w:p w14:paraId="6D5736AB" w14:textId="77777777" w:rsidR="001102E7" w:rsidRDefault="007034CD">
      <w:pPr>
        <w:pStyle w:val="Zkladntext20"/>
        <w:numPr>
          <w:ilvl w:val="0"/>
          <w:numId w:val="6"/>
        </w:numPr>
        <w:shd w:val="clear" w:color="auto" w:fill="auto"/>
        <w:tabs>
          <w:tab w:val="left" w:pos="409"/>
        </w:tabs>
        <w:spacing w:after="0"/>
        <w:ind w:left="0" w:firstLine="0"/>
        <w:jc w:val="both"/>
      </w:pPr>
      <w:r>
        <w:t xml:space="preserve">Tato </w:t>
      </w:r>
      <w:r>
        <w:rPr>
          <w:b/>
          <w:bCs/>
        </w:rPr>
        <w:t xml:space="preserve">Smlouva </w:t>
      </w:r>
      <w:r>
        <w:t>se řídí právem České repu</w:t>
      </w:r>
      <w:r>
        <w:t xml:space="preserve">bliky; není-li v této </w:t>
      </w:r>
      <w:r>
        <w:rPr>
          <w:b/>
          <w:bCs/>
        </w:rPr>
        <w:t xml:space="preserve">Smlouvě </w:t>
      </w:r>
      <w:r>
        <w:t>uvedeno jinak, řídí se vzájemné vztahy</w:t>
      </w:r>
    </w:p>
    <w:p w14:paraId="45D93688" w14:textId="77777777" w:rsidR="001102E7" w:rsidRDefault="007034CD">
      <w:pPr>
        <w:pStyle w:val="Zkladntext20"/>
        <w:shd w:val="clear" w:color="auto" w:fill="auto"/>
        <w:ind w:left="440" w:firstLine="0"/>
        <w:jc w:val="both"/>
      </w:pPr>
      <w:r>
        <w:t xml:space="preserve">Smluvních stran příslušnými ustanoveními Energetického zákona a jeho prováděcími předpisy (vyhlášky, cenové rozhodnutí </w:t>
      </w:r>
      <w:proofErr w:type="gramStart"/>
      <w:r>
        <w:t>ERÚ,</w:t>
      </w:r>
      <w:proofErr w:type="gramEnd"/>
      <w:r>
        <w:t xml:space="preserve"> apod.) a občanského zákoníku a souvisejících právních předpisů.</w:t>
      </w:r>
      <w:r>
        <w:t xml:space="preserve"> V případě, že za doby </w:t>
      </w:r>
      <w:r>
        <w:lastRenderedPageBreak/>
        <w:t>trvání smluvního vztahu dojde ke změně platných právních norem nebo k přijetí nových, bude smluvní vztah upraven v souladu s nimi.</w:t>
      </w:r>
    </w:p>
    <w:p w14:paraId="390DD55A" w14:textId="77777777" w:rsidR="001102E7" w:rsidRDefault="007034CD">
      <w:pPr>
        <w:pStyle w:val="Zkladntext20"/>
        <w:numPr>
          <w:ilvl w:val="0"/>
          <w:numId w:val="6"/>
        </w:numPr>
        <w:shd w:val="clear" w:color="auto" w:fill="auto"/>
        <w:tabs>
          <w:tab w:val="left" w:pos="409"/>
        </w:tabs>
        <w:spacing w:after="0"/>
        <w:ind w:left="0" w:firstLine="0"/>
        <w:jc w:val="both"/>
      </w:pPr>
      <w:r>
        <w:t xml:space="preserve">Při zániku jedné nebo druhé Smluvní strany přecházejí smluvní závazky z této </w:t>
      </w:r>
      <w:r>
        <w:rPr>
          <w:b/>
          <w:bCs/>
        </w:rPr>
        <w:t xml:space="preserve">Smlouvy </w:t>
      </w:r>
      <w:r>
        <w:t>na právního nástu</w:t>
      </w:r>
      <w:r>
        <w:t>pce</w:t>
      </w:r>
    </w:p>
    <w:p w14:paraId="62BE9E48" w14:textId="77777777" w:rsidR="001102E7" w:rsidRDefault="007034CD">
      <w:pPr>
        <w:pStyle w:val="Zkladntext20"/>
        <w:shd w:val="clear" w:color="auto" w:fill="auto"/>
        <w:ind w:left="0" w:firstLine="440"/>
        <w:jc w:val="both"/>
      </w:pPr>
      <w:r>
        <w:t>zanikající Smluvní strany.</w:t>
      </w:r>
    </w:p>
    <w:p w14:paraId="45CB2006" w14:textId="77777777" w:rsidR="001102E7" w:rsidRDefault="007034CD">
      <w:pPr>
        <w:pStyle w:val="Zkladntext20"/>
        <w:numPr>
          <w:ilvl w:val="0"/>
          <w:numId w:val="6"/>
        </w:numPr>
        <w:shd w:val="clear" w:color="auto" w:fill="auto"/>
        <w:tabs>
          <w:tab w:val="left" w:pos="409"/>
        </w:tabs>
        <w:spacing w:after="200"/>
        <w:ind w:left="0" w:firstLine="0"/>
        <w:jc w:val="both"/>
      </w:pPr>
      <w:r>
        <w:t>Tato smlouva je uzavřena v elektronické podobě.</w:t>
      </w:r>
    </w:p>
    <w:p w14:paraId="1C98674A" w14:textId="77777777" w:rsidR="001102E7" w:rsidRDefault="007034CD">
      <w:pPr>
        <w:pStyle w:val="Zkladntext20"/>
        <w:numPr>
          <w:ilvl w:val="0"/>
          <w:numId w:val="6"/>
        </w:numPr>
        <w:shd w:val="clear" w:color="auto" w:fill="auto"/>
        <w:tabs>
          <w:tab w:val="left" w:pos="409"/>
        </w:tabs>
        <w:ind w:left="440" w:hanging="440"/>
        <w:jc w:val="both"/>
      </w:pPr>
      <w:r>
        <w:t xml:space="preserve">Smluvní strany prohlašují, že k této </w:t>
      </w:r>
      <w:r>
        <w:rPr>
          <w:b/>
          <w:bCs/>
        </w:rPr>
        <w:t xml:space="preserve">Smlouvě </w:t>
      </w:r>
      <w:r>
        <w:t xml:space="preserve">přistoupily po vzájemném vážném, srozumitelném a určitém projednání, a že její obsah odpovídá skutečnému stavu věci a je </w:t>
      </w:r>
      <w:r>
        <w:t>výrazem jejich pravé a svobodné vůle, což potvrzují podpisy svých oprávněných zástupců.</w:t>
      </w:r>
    </w:p>
    <w:p w14:paraId="1DBF44F2" w14:textId="77777777" w:rsidR="001102E7" w:rsidRDefault="007034CD">
      <w:pPr>
        <w:pStyle w:val="Zkladntext20"/>
        <w:numPr>
          <w:ilvl w:val="0"/>
          <w:numId w:val="6"/>
        </w:numPr>
        <w:shd w:val="clear" w:color="auto" w:fill="auto"/>
        <w:tabs>
          <w:tab w:val="left" w:pos="409"/>
        </w:tabs>
        <w:spacing w:line="276" w:lineRule="auto"/>
        <w:ind w:left="440" w:hanging="440"/>
        <w:jc w:val="both"/>
      </w:pPr>
      <w:r>
        <w:rPr>
          <w:b/>
          <w:bCs/>
        </w:rPr>
        <w:t xml:space="preserve">Obchodník </w:t>
      </w:r>
      <w:r>
        <w:t xml:space="preserve">je oprávněn zveřejnit, že </w:t>
      </w:r>
      <w:r>
        <w:rPr>
          <w:b/>
          <w:bCs/>
        </w:rPr>
        <w:t xml:space="preserve">Zákazník </w:t>
      </w:r>
      <w:r>
        <w:t xml:space="preserve">odebírá elektrickou energii od </w:t>
      </w:r>
      <w:r>
        <w:rPr>
          <w:b/>
          <w:bCs/>
        </w:rPr>
        <w:t>Obchodníka</w:t>
      </w:r>
      <w:r>
        <w:t xml:space="preserve">. Tuto informaci je </w:t>
      </w:r>
      <w:r>
        <w:rPr>
          <w:b/>
          <w:bCs/>
        </w:rPr>
        <w:t xml:space="preserve">Obchodník </w:t>
      </w:r>
      <w:r>
        <w:t>oprávněn uvádět ve svých informačních a reklamních m</w:t>
      </w:r>
      <w:r>
        <w:t xml:space="preserve">ateriálech či referenčních listech a rovněž ji sdělovat prostřednictvím internetu nebo jiných prostředků komunikace. Za tímto účelem je oprávněn použít též aktuálního loga </w:t>
      </w:r>
      <w:r>
        <w:rPr>
          <w:b/>
          <w:bCs/>
        </w:rPr>
        <w:t xml:space="preserve">Zákazníka </w:t>
      </w:r>
      <w:r>
        <w:t>ve správné podobě.</w:t>
      </w:r>
    </w:p>
    <w:p w14:paraId="4DC4C132" w14:textId="77777777" w:rsidR="001102E7" w:rsidRDefault="007034CD">
      <w:pPr>
        <w:pStyle w:val="Zkladntext20"/>
        <w:numPr>
          <w:ilvl w:val="0"/>
          <w:numId w:val="6"/>
        </w:numPr>
        <w:shd w:val="clear" w:color="auto" w:fill="auto"/>
        <w:tabs>
          <w:tab w:val="left" w:pos="409"/>
        </w:tabs>
        <w:ind w:left="440" w:hanging="440"/>
        <w:jc w:val="both"/>
      </w:pPr>
      <w:r>
        <w:rPr>
          <w:b/>
          <w:bCs/>
        </w:rPr>
        <w:t xml:space="preserve">Obchodník </w:t>
      </w:r>
      <w:r>
        <w:t xml:space="preserve">bere na vědomí, že </w:t>
      </w:r>
      <w:r>
        <w:rPr>
          <w:b/>
          <w:bCs/>
        </w:rPr>
        <w:t xml:space="preserve">Zákazník </w:t>
      </w:r>
      <w:r>
        <w:t>podléhá režimu zá</w:t>
      </w:r>
      <w:r>
        <w:t>kona č. 106/1999 Sb. o svobodném přístupu k informacím v platném znění, a je oprávněn obsah Smlouvy včetně příloh a případných dodatků v plném rozsahu zveřejnit na svých internetových stránkách/profilu zadavatele, a to po dobu časově neomezenou.</w:t>
      </w:r>
    </w:p>
    <w:p w14:paraId="1034675F" w14:textId="77777777" w:rsidR="001102E7" w:rsidRDefault="007034CD">
      <w:pPr>
        <w:pStyle w:val="Zkladntext20"/>
        <w:numPr>
          <w:ilvl w:val="0"/>
          <w:numId w:val="6"/>
        </w:numPr>
        <w:shd w:val="clear" w:color="auto" w:fill="auto"/>
        <w:tabs>
          <w:tab w:val="left" w:pos="409"/>
        </w:tabs>
        <w:ind w:left="0" w:firstLine="0"/>
        <w:jc w:val="both"/>
      </w:pPr>
      <w:r>
        <w:t>Ujednání o</w:t>
      </w:r>
      <w:r>
        <w:t>bsažená v této smlouvě mají přednost před ujednáními obsaženými v OPD.</w:t>
      </w:r>
    </w:p>
    <w:p w14:paraId="456E5093" w14:textId="77777777" w:rsidR="001102E7" w:rsidRDefault="007034CD">
      <w:pPr>
        <w:pStyle w:val="Zkladntext20"/>
        <w:numPr>
          <w:ilvl w:val="0"/>
          <w:numId w:val="6"/>
        </w:numPr>
        <w:shd w:val="clear" w:color="auto" w:fill="auto"/>
        <w:tabs>
          <w:tab w:val="left" w:pos="409"/>
        </w:tabs>
        <w:ind w:left="440" w:hanging="440"/>
        <w:jc w:val="both"/>
      </w:pPr>
      <w:r>
        <w:rPr>
          <w:b/>
          <w:bCs/>
        </w:rPr>
        <w:t xml:space="preserve">Obchodník </w:t>
      </w:r>
      <w:r>
        <w:t xml:space="preserve">bere dále na vědomí, že </w:t>
      </w:r>
      <w:r>
        <w:rPr>
          <w:b/>
          <w:bCs/>
        </w:rPr>
        <w:t xml:space="preserve">Zákazník </w:t>
      </w:r>
      <w:r>
        <w:t xml:space="preserve">je povinen za podmínek stanovených v zákoně č. 340/2015 Sb., o registru smluv, ve znění pozdějších předpisů, tuto </w:t>
      </w:r>
      <w:r>
        <w:rPr>
          <w:b/>
          <w:bCs/>
        </w:rPr>
        <w:t>Smlouvu</w:t>
      </w:r>
      <w:r>
        <w:t>, včetně všech jejích</w:t>
      </w:r>
      <w:r>
        <w:t xml:space="preserve"> příloh, zveřejnit na portálu veřejné správy v registru smluv. </w:t>
      </w:r>
      <w:r>
        <w:rPr>
          <w:b/>
          <w:bCs/>
        </w:rPr>
        <w:t xml:space="preserve">Obchodník </w:t>
      </w:r>
      <w:r>
        <w:t xml:space="preserve">souhlasí se zveřejněním </w:t>
      </w:r>
      <w:r>
        <w:rPr>
          <w:b/>
          <w:bCs/>
        </w:rPr>
        <w:t xml:space="preserve">Smlouvy </w:t>
      </w:r>
      <w:r>
        <w:t>a všech jejích příloh v plném rozsahu, vyjma podpisů zástupců Smluvních stran jakožto osobních údajů chráněných dle příslušných právních předpisů. Smlu</w:t>
      </w:r>
      <w:r>
        <w:t xml:space="preserve">vní strany se dohodly, že zveřejnění </w:t>
      </w:r>
      <w:r>
        <w:rPr>
          <w:b/>
          <w:bCs/>
        </w:rPr>
        <w:t xml:space="preserve">Smlouvy </w:t>
      </w:r>
      <w:r>
        <w:t xml:space="preserve">zajistí </w:t>
      </w:r>
      <w:r>
        <w:rPr>
          <w:b/>
          <w:bCs/>
        </w:rPr>
        <w:t>Zákazník</w:t>
      </w:r>
      <w:r>
        <w:t xml:space="preserve">, přičemž se o tom zavazuje neprodleně informovat </w:t>
      </w:r>
      <w:r>
        <w:rPr>
          <w:b/>
          <w:bCs/>
        </w:rPr>
        <w:t xml:space="preserve">Obchodníka </w:t>
      </w:r>
      <w:r>
        <w:t xml:space="preserve">na e-mailovou adresu </w:t>
      </w:r>
      <w:hyperlink r:id="rId7" w:history="1">
        <w:r>
          <w:rPr>
            <w:color w:val="0000FF"/>
            <w:u w:val="single"/>
            <w:lang w:val="en-US" w:eastAsia="en-US" w:bidi="en-US"/>
          </w:rPr>
          <w:t>zakaznik.komodity@veolia.com</w:t>
        </w:r>
        <w:r>
          <w:rPr>
            <w:color w:val="0000FF"/>
            <w:lang w:val="en-US" w:eastAsia="en-US" w:bidi="en-US"/>
          </w:rPr>
          <w:t xml:space="preserve"> </w:t>
        </w:r>
      </w:hyperlink>
      <w:r>
        <w:t xml:space="preserve">nebo do jeho datové </w:t>
      </w:r>
      <w:r>
        <w:t>schránky.</w:t>
      </w:r>
    </w:p>
    <w:p w14:paraId="3415DF8F" w14:textId="77777777" w:rsidR="001102E7" w:rsidRDefault="007034CD">
      <w:pPr>
        <w:pStyle w:val="Zkladntext20"/>
        <w:numPr>
          <w:ilvl w:val="0"/>
          <w:numId w:val="6"/>
        </w:numPr>
        <w:shd w:val="clear" w:color="auto" w:fill="auto"/>
        <w:tabs>
          <w:tab w:val="left" w:pos="409"/>
        </w:tabs>
        <w:ind w:left="440" w:hanging="440"/>
        <w:jc w:val="both"/>
      </w:pPr>
      <w:r>
        <w:rPr>
          <w:b/>
          <w:bCs/>
        </w:rPr>
        <w:t xml:space="preserve">Obchodník </w:t>
      </w:r>
      <w:r>
        <w:t>bude poskytovat Magistrátu města Ostravy na e-mail:</w:t>
      </w:r>
      <w:hyperlink r:id="rId8" w:history="1">
        <w:r>
          <w:t xml:space="preserve"> </w:t>
        </w:r>
        <w:r>
          <w:rPr>
            <w:color w:val="0000FF"/>
            <w:u w:val="single"/>
            <w:lang w:val="en-US" w:eastAsia="en-US" w:bidi="en-US"/>
          </w:rPr>
          <w:t>ssn@tendersystems.cz</w:t>
        </w:r>
        <w:r>
          <w:rPr>
            <w:lang w:val="en-US" w:eastAsia="en-US" w:bidi="en-US"/>
          </w:rPr>
          <w:t>,</w:t>
        </w:r>
      </w:hyperlink>
      <w:r>
        <w:rPr>
          <w:lang w:val="en-US" w:eastAsia="en-US" w:bidi="en-US"/>
        </w:rPr>
        <w:t xml:space="preserve"> </w:t>
      </w:r>
      <w:r>
        <w:t xml:space="preserve">popřípadě </w:t>
      </w:r>
      <w:r>
        <w:rPr>
          <w:b/>
          <w:bCs/>
        </w:rPr>
        <w:t xml:space="preserve">Zákazníkovi </w:t>
      </w:r>
      <w:r>
        <w:t>na základě jeho písemného požadavku, soubor dat v elektronické podobě ve strojově čitelném formátu</w:t>
      </w:r>
      <w:r>
        <w:t xml:space="preserve">, obsahující kompletní údaje o realizované dodávce elektřiny v rozsahu dat dle fakturačních dokladů. </w:t>
      </w:r>
      <w:r>
        <w:rPr>
          <w:b/>
          <w:bCs/>
        </w:rPr>
        <w:t xml:space="preserve">Obchodník </w:t>
      </w:r>
      <w:r>
        <w:t>je povinen poskytnout soubor dat, dle věty předchozí za každý kalendářní rok dodávky dle této Smlouvy, a to vždy nejpozději do 10 kalendářních dn</w:t>
      </w:r>
      <w:r>
        <w:t xml:space="preserve">í od provedení vyúčtování </w:t>
      </w:r>
      <w:r>
        <w:rPr>
          <w:b/>
          <w:bCs/>
        </w:rPr>
        <w:t>Zákazníkovi</w:t>
      </w:r>
      <w:r>
        <w:t xml:space="preserve">. Za pozdní dodání předmětného souboru dat má právo </w:t>
      </w:r>
      <w:r>
        <w:rPr>
          <w:b/>
          <w:bCs/>
        </w:rPr>
        <w:t xml:space="preserve">Zákazník </w:t>
      </w:r>
      <w:r>
        <w:t xml:space="preserve">požadovat smluvní pokutu odpovídající výši smluvní pokuty za prodlení </w:t>
      </w:r>
      <w:r>
        <w:rPr>
          <w:b/>
          <w:bCs/>
        </w:rPr>
        <w:t xml:space="preserve">Obchodníka </w:t>
      </w:r>
      <w:r>
        <w:t xml:space="preserve">s vystavením zúčtovací faktury ve smyslu čl. V. odst. 9. Obchodních podmínek </w:t>
      </w:r>
      <w:r>
        <w:t xml:space="preserve">dodávky. Zaplacením smluvní pokuty není dotčeno právo </w:t>
      </w:r>
      <w:r>
        <w:rPr>
          <w:b/>
          <w:bCs/>
        </w:rPr>
        <w:t xml:space="preserve">Zákazníka </w:t>
      </w:r>
      <w:r>
        <w:t>požadovat náhradu škody způsobené porušením povinnosti, na kterou se smluvní pokuta vztahuje, a to i ve výši přesahující smluvní</w:t>
      </w:r>
      <w:r>
        <w:br w:type="page"/>
      </w:r>
      <w:r>
        <w:lastRenderedPageBreak/>
        <w:t xml:space="preserve">pokutu. </w:t>
      </w:r>
      <w:r>
        <w:rPr>
          <w:b/>
          <w:bCs/>
        </w:rPr>
        <w:t xml:space="preserve">Obchodník </w:t>
      </w:r>
      <w:r>
        <w:t>výslovně prohlašuje, že je s výší smluvní pok</w:t>
      </w:r>
      <w:r>
        <w:t>uty srozuměn a považuje ji za zcela přiměřenou vzhledem ke svému závazku.</w:t>
      </w:r>
    </w:p>
    <w:p w14:paraId="462E47B7" w14:textId="77777777" w:rsidR="001102E7" w:rsidRDefault="007034CD">
      <w:pPr>
        <w:pStyle w:val="Zkladntext20"/>
        <w:numPr>
          <w:ilvl w:val="0"/>
          <w:numId w:val="6"/>
        </w:numPr>
        <w:shd w:val="clear" w:color="auto" w:fill="auto"/>
        <w:tabs>
          <w:tab w:val="left" w:pos="450"/>
        </w:tabs>
        <w:ind w:left="440" w:hanging="440"/>
        <w:jc w:val="both"/>
      </w:pPr>
      <w:r>
        <w:t xml:space="preserve">Doložka platnosti právního jednání dle </w:t>
      </w:r>
      <w:proofErr w:type="spellStart"/>
      <w:r>
        <w:t>ust</w:t>
      </w:r>
      <w:proofErr w:type="spellEnd"/>
      <w:r>
        <w:t xml:space="preserve">. § 41 zákona č. 128/2000 Sb., o obcích (obecní zřízení), ve znění pozdějších </w:t>
      </w:r>
      <w:proofErr w:type="gramStart"/>
      <w:r>
        <w:t>předpisů - údaje</w:t>
      </w:r>
      <w:proofErr w:type="gramEnd"/>
      <w:r>
        <w:t xml:space="preserve"> budou doplněny </w:t>
      </w:r>
      <w:r>
        <w:rPr>
          <w:b/>
          <w:bCs/>
        </w:rPr>
        <w:t xml:space="preserve">Zákazníkem </w:t>
      </w:r>
      <w:r>
        <w:t>pouze v případě, js</w:t>
      </w:r>
      <w:r>
        <w:t xml:space="preserve">ou-li pro </w:t>
      </w:r>
      <w:r>
        <w:rPr>
          <w:b/>
          <w:bCs/>
        </w:rPr>
        <w:t xml:space="preserve">Zákazníka </w:t>
      </w:r>
      <w:r>
        <w:t>relevantní, v opačném případě zůstanou údaje nevyplněny:</w:t>
      </w:r>
    </w:p>
    <w:p w14:paraId="78821E5B" w14:textId="77777777" w:rsidR="001102E7" w:rsidRDefault="007034CD">
      <w:pPr>
        <w:pStyle w:val="Zkladntext20"/>
        <w:shd w:val="clear" w:color="auto" w:fill="auto"/>
        <w:spacing w:after="540"/>
        <w:ind w:left="440" w:firstLine="0"/>
        <w:jc w:val="both"/>
      </w:pPr>
      <w:r>
        <w:t xml:space="preserve">O uzavření této smlouvy rozhodla rada města usnesením č. </w:t>
      </w:r>
      <w:r>
        <w:rPr>
          <w:rFonts w:ascii="Arial" w:eastAsia="Arial" w:hAnsi="Arial" w:cs="Arial"/>
        </w:rPr>
        <w:t xml:space="preserve">05237/RM2226/77 </w:t>
      </w:r>
      <w:r>
        <w:t xml:space="preserve">ze dne 10. 09. 2024, kterým bylo rozhodnuto o výběru dodavatele a uzavření smlouvy k veřejné zakázce </w:t>
      </w:r>
      <w:r>
        <w:rPr>
          <w:i/>
          <w:iCs/>
        </w:rPr>
        <w:t>„Dodávky elektrické energie pro statutární město Ostrava a městské organizace na rok 2025“</w:t>
      </w:r>
    </w:p>
    <w:p w14:paraId="32D371F6" w14:textId="77777777" w:rsidR="001102E7" w:rsidRDefault="007034CD">
      <w:pPr>
        <w:pStyle w:val="Zkladntext20"/>
        <w:shd w:val="clear" w:color="auto" w:fill="auto"/>
        <w:spacing w:line="240" w:lineRule="auto"/>
        <w:ind w:left="0" w:firstLine="0"/>
        <w:rPr>
          <w:sz w:val="22"/>
          <w:szCs w:val="22"/>
        </w:rPr>
      </w:pPr>
      <w:r>
        <w:rPr>
          <w:b/>
          <w:bCs/>
          <w:sz w:val="22"/>
          <w:szCs w:val="22"/>
        </w:rPr>
        <w:t>Smlouva obsahuje následující přílohy:</w:t>
      </w:r>
    </w:p>
    <w:p w14:paraId="74C7A93B" w14:textId="77777777" w:rsidR="001102E7" w:rsidRDefault="007034CD">
      <w:pPr>
        <w:pStyle w:val="Zkladntext20"/>
        <w:shd w:val="clear" w:color="auto" w:fill="auto"/>
        <w:ind w:left="0" w:firstLine="440"/>
      </w:pPr>
      <w:r>
        <w:rPr>
          <w:b/>
          <w:bCs/>
        </w:rPr>
        <w:t xml:space="preserve">Příloha č. 1. - </w:t>
      </w:r>
      <w:r>
        <w:t>Obchodní podmínky dodávky</w:t>
      </w:r>
    </w:p>
    <w:p w14:paraId="2AB4257C" w14:textId="77777777" w:rsidR="001102E7" w:rsidRDefault="007034CD">
      <w:pPr>
        <w:pStyle w:val="Zkladntext20"/>
        <w:shd w:val="clear" w:color="auto" w:fill="auto"/>
        <w:ind w:left="0" w:firstLine="440"/>
      </w:pPr>
      <w:r>
        <w:rPr>
          <w:b/>
          <w:bCs/>
        </w:rPr>
        <w:t xml:space="preserve">Příloha č. 2. </w:t>
      </w:r>
      <w:r>
        <w:t>- Cena elektřiny</w:t>
      </w:r>
    </w:p>
    <w:p w14:paraId="5C0ED2FF" w14:textId="77777777" w:rsidR="001102E7" w:rsidRDefault="007034CD">
      <w:pPr>
        <w:pStyle w:val="Zkladntext20"/>
        <w:shd w:val="clear" w:color="auto" w:fill="auto"/>
        <w:ind w:left="0" w:firstLine="440"/>
      </w:pPr>
      <w:r>
        <w:rPr>
          <w:b/>
          <w:bCs/>
        </w:rPr>
        <w:t xml:space="preserve">Příloha č. 3. </w:t>
      </w:r>
      <w:r>
        <w:t xml:space="preserve">- Seznam odběrných míst z nízkého </w:t>
      </w:r>
      <w:r>
        <w:t>napětí</w:t>
      </w:r>
    </w:p>
    <w:p w14:paraId="3FC16F62" w14:textId="77777777" w:rsidR="001102E7" w:rsidRDefault="007034CD">
      <w:pPr>
        <w:pStyle w:val="Zkladntext20"/>
        <w:shd w:val="clear" w:color="auto" w:fill="auto"/>
        <w:spacing w:after="920"/>
        <w:ind w:left="0" w:firstLine="440"/>
      </w:pPr>
      <w:r>
        <w:rPr>
          <w:b/>
          <w:bCs/>
        </w:rPr>
        <w:t xml:space="preserve">Příloha č. 4. </w:t>
      </w:r>
      <w:r>
        <w:t>- Kontakty a kontaktní osoby oprávněné k jednání pro naplnění Smlouvy (</w:t>
      </w:r>
    </w:p>
    <w:p w14:paraId="065CB88F" w14:textId="52C07E51" w:rsidR="001102E7" w:rsidRPr="001D0E01" w:rsidRDefault="007034CD" w:rsidP="001D0E01">
      <w:pPr>
        <w:pStyle w:val="Zkladntext20"/>
        <w:shd w:val="clear" w:color="auto" w:fill="auto"/>
        <w:tabs>
          <w:tab w:val="right" w:leader="dot" w:pos="5782"/>
          <w:tab w:val="left" w:pos="5987"/>
          <w:tab w:val="left" w:leader="dot" w:pos="8230"/>
        </w:tabs>
        <w:spacing w:after="320"/>
        <w:ind w:left="0" w:firstLine="440"/>
      </w:pPr>
      <w:r>
        <w:t>V Praze, dne:</w:t>
      </w:r>
      <w:r>
        <w:tab/>
        <w:t xml:space="preserve"> V</w:t>
      </w:r>
      <w:r>
        <w:tab/>
        <w:t>Ostravě, dne:</w:t>
      </w:r>
      <w:r>
        <w:tab/>
      </w:r>
      <w:r>
        <w:rPr>
          <w:noProof/>
        </w:rPr>
        <mc:AlternateContent>
          <mc:Choice Requires="wps">
            <w:drawing>
              <wp:anchor distT="0" distB="0" distL="0" distR="0" simplePos="0" relativeHeight="125829378" behindDoc="0" locked="0" layoutInCell="1" allowOverlap="1" wp14:anchorId="7AD95916" wp14:editId="7F3BA251">
                <wp:simplePos x="0" y="0"/>
                <wp:positionH relativeFrom="page">
                  <wp:posOffset>4793615</wp:posOffset>
                </wp:positionH>
                <wp:positionV relativeFrom="margin">
                  <wp:posOffset>3999230</wp:posOffset>
                </wp:positionV>
                <wp:extent cx="1551305" cy="1765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551305" cy="176530"/>
                        </a:xfrm>
                        <a:prstGeom prst="rect">
                          <a:avLst/>
                        </a:prstGeom>
                        <a:noFill/>
                      </wps:spPr>
                      <wps:txbx>
                        <w:txbxContent>
                          <w:p w14:paraId="3AB9A908" w14:textId="71ABABC5" w:rsidR="001102E7" w:rsidRDefault="001102E7">
                            <w:pPr>
                              <w:pStyle w:val="Zkladntext1"/>
                              <w:shd w:val="clear" w:color="auto" w:fill="auto"/>
                              <w:spacing w:after="0"/>
                              <w:rPr>
                                <w:sz w:val="15"/>
                                <w:szCs w:val="15"/>
                              </w:rPr>
                            </w:pPr>
                          </w:p>
                        </w:txbxContent>
                      </wps:txbx>
                      <wps:bodyPr wrap="none" lIns="0" tIns="0" rIns="0" bIns="0"/>
                    </wps:wsp>
                  </a:graphicData>
                </a:graphic>
              </wp:anchor>
            </w:drawing>
          </mc:Choice>
          <mc:Fallback>
            <w:pict>
              <v:shapetype w14:anchorId="7AD95916" id="_x0000_t202" coordsize="21600,21600" o:spt="202" path="m,l,21600r21600,l21600,xe">
                <v:stroke joinstyle="miter"/>
                <v:path gradientshapeok="t" o:connecttype="rect"/>
              </v:shapetype>
              <v:shape id="Shape 1" o:spid="_x0000_s1026" type="#_x0000_t202" style="position:absolute;left:0;text-align:left;margin-left:377.45pt;margin-top:314.9pt;width:122.15pt;height:13.9pt;z-index:125829378;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" filled="f" stroked="f">
                <v:textbox inset="0,0,0,0">
                  <w:txbxContent>
                    <w:p w14:paraId="3AB9A908" w14:textId="71ABABC5" w:rsidR="001102E7" w:rsidRDefault="001102E7">
                      <w:pPr>
                        <w:pStyle w:val="Zkladntext1"/>
                        <w:shd w:val="clear" w:color="auto" w:fill="auto"/>
                        <w:spacing w:after="0"/>
                        <w:rPr>
                          <w:sz w:val="15"/>
                          <w:szCs w:val="15"/>
                        </w:rPr>
                      </w:pPr>
                    </w:p>
                  </w:txbxContent>
                </v:textbox>
                <w10:wrap type="square" anchorx="page" anchory="margin"/>
              </v:shape>
            </w:pict>
          </mc:Fallback>
        </mc:AlternateContent>
      </w:r>
    </w:p>
    <w:p w14:paraId="2E20FA40" w14:textId="77777777" w:rsidR="001102E7" w:rsidRDefault="007034CD">
      <w:pPr>
        <w:pStyle w:val="Zkladntext20"/>
        <w:shd w:val="clear" w:color="auto" w:fill="auto"/>
        <w:spacing w:line="240" w:lineRule="auto"/>
        <w:ind w:left="0" w:firstLine="440"/>
      </w:pPr>
      <w:r>
        <w:t>M</w:t>
      </w:r>
      <w:r>
        <w:t xml:space="preserve">arkéta </w:t>
      </w:r>
      <w:proofErr w:type="gramStart"/>
      <w:r>
        <w:t>Veverková - na</w:t>
      </w:r>
      <w:proofErr w:type="gramEnd"/>
      <w:r>
        <w:t xml:space="preserve"> základě pověření</w:t>
      </w:r>
    </w:p>
    <w:p w14:paraId="422D3AD9" w14:textId="61E99DE0" w:rsidR="001102E7" w:rsidRDefault="007034CD">
      <w:pPr>
        <w:pStyle w:val="Zkladntext20"/>
        <w:shd w:val="clear" w:color="auto" w:fill="auto"/>
        <w:spacing w:line="240" w:lineRule="auto"/>
        <w:ind w:left="0" w:firstLine="440"/>
        <w:sectPr w:rsidR="001102E7">
          <w:headerReference w:type="default" r:id="rId9"/>
          <w:footerReference w:type="default" r:id="rId10"/>
          <w:pgSz w:w="11900" w:h="16840"/>
          <w:pgMar w:top="1642" w:right="1313" w:bottom="1532" w:left="1294" w:header="0" w:footer="3" w:gutter="0"/>
          <w:pgNumType w:start="1"/>
          <w:cols w:space="720"/>
          <w:noEndnote/>
          <w:docGrid w:linePitch="360"/>
        </w:sectPr>
      </w:pPr>
      <w:r>
        <w:rPr>
          <w:noProof/>
        </w:rPr>
        <mc:AlternateContent>
          <mc:Choice Requires="wps">
            <w:drawing>
              <wp:anchor distT="0" distB="255905" distL="114300" distR="114300" simplePos="0" relativeHeight="125829381" behindDoc="0" locked="0" layoutInCell="1" allowOverlap="1" wp14:anchorId="2A84D846" wp14:editId="4569AF80">
                <wp:simplePos x="0" y="0"/>
                <wp:positionH relativeFrom="page">
                  <wp:posOffset>4467225</wp:posOffset>
                </wp:positionH>
                <wp:positionV relativeFrom="margin">
                  <wp:posOffset>4748530</wp:posOffset>
                </wp:positionV>
                <wp:extent cx="1146175" cy="17970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146175" cy="179705"/>
                        </a:xfrm>
                        <a:prstGeom prst="rect">
                          <a:avLst/>
                        </a:prstGeom>
                        <a:noFill/>
                      </wps:spPr>
                      <wps:txbx>
                        <w:txbxContent>
                          <w:p w14:paraId="48DE8656" w14:textId="77777777" w:rsidR="001102E7" w:rsidRDefault="007034CD">
                            <w:pPr>
                              <w:pStyle w:val="Zkladntext20"/>
                              <w:shd w:val="clear" w:color="auto" w:fill="auto"/>
                              <w:spacing w:after="0" w:line="240" w:lineRule="auto"/>
                              <w:ind w:left="0" w:firstLine="0"/>
                            </w:pPr>
                            <w:r>
                              <w:t xml:space="preserve">Bc. </w:t>
                            </w:r>
                            <w:proofErr w:type="spellStart"/>
                            <w:r>
                              <w:t>Calábková</w:t>
                            </w:r>
                            <w:proofErr w:type="spellEnd"/>
                            <w:r>
                              <w:t xml:space="preserve"> </w:t>
                            </w:r>
                            <w:r>
                              <w:t>Andrea</w:t>
                            </w:r>
                          </w:p>
                        </w:txbxContent>
                      </wps:txbx>
                      <wps:bodyPr wrap="none" lIns="0" tIns="0" rIns="0" bIns="0"/>
                    </wps:wsp>
                  </a:graphicData>
                </a:graphic>
              </wp:anchor>
            </w:drawing>
          </mc:Choice>
          <mc:Fallback>
            <w:pict>
              <v:shape w14:anchorId="2A84D846" id="Shape 11" o:spid="_x0000_s1027" type="#_x0000_t202" style="position:absolute;left:0;text-align:left;margin-left:351.75pt;margin-top:373.9pt;width:90.25pt;height:14.15pt;z-index:125829381;visibility:visible;mso-wrap-style:none;mso-wrap-distance-left:9pt;mso-wrap-distance-top:0;mso-wrap-distance-right:9pt;mso-wrap-distance-bottom:20.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" filled="f" stroked="f">
                <v:textbox inset="0,0,0,0">
                  <w:txbxContent>
                    <w:p w14:paraId="48DE8656" w14:textId="77777777" w:rsidR="001102E7" w:rsidRDefault="007034CD">
                      <w:pPr>
                        <w:pStyle w:val="Zkladntext20"/>
                        <w:shd w:val="clear" w:color="auto" w:fill="auto"/>
                        <w:spacing w:after="0" w:line="240" w:lineRule="auto"/>
                        <w:ind w:left="0" w:firstLine="0"/>
                      </w:pPr>
                      <w:r>
                        <w:t xml:space="preserve">Bc. </w:t>
                      </w:r>
                      <w:proofErr w:type="spellStart"/>
                      <w:r>
                        <w:t>Calábková</w:t>
                      </w:r>
                      <w:proofErr w:type="spellEnd"/>
                      <w:r>
                        <w:t xml:space="preserve"> </w:t>
                      </w:r>
                      <w:r>
                        <w:t>Andrea</w:t>
                      </w:r>
                    </w:p>
                  </w:txbxContent>
                </v:textbox>
                <w10:wrap type="square" side="left" anchorx="page" anchory="margin"/>
              </v:shape>
            </w:pict>
          </mc:Fallback>
        </mc:AlternateContent>
      </w:r>
      <w:r>
        <w:rPr>
          <w:noProof/>
        </w:rPr>
        <mc:AlternateContent>
          <mc:Choice Requires="wps">
            <w:drawing>
              <wp:anchor distT="255905" distB="0" distL="114300" distR="779145" simplePos="0" relativeHeight="125829383" behindDoc="0" locked="0" layoutInCell="1" allowOverlap="1" wp14:anchorId="027E9294" wp14:editId="4CC9D968">
                <wp:simplePos x="0" y="0"/>
                <wp:positionH relativeFrom="page">
                  <wp:posOffset>4467225</wp:posOffset>
                </wp:positionH>
                <wp:positionV relativeFrom="margin">
                  <wp:posOffset>5004435</wp:posOffset>
                </wp:positionV>
                <wp:extent cx="481330" cy="17970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481330" cy="179705"/>
                        </a:xfrm>
                        <a:prstGeom prst="rect">
                          <a:avLst/>
                        </a:prstGeom>
                        <a:noFill/>
                      </wps:spPr>
                      <wps:txbx>
                        <w:txbxContent>
                          <w:p w14:paraId="3E595F18" w14:textId="77777777" w:rsidR="001102E7" w:rsidRDefault="007034CD">
                            <w:pPr>
                              <w:pStyle w:val="Zkladntext20"/>
                              <w:shd w:val="clear" w:color="auto" w:fill="auto"/>
                              <w:spacing w:after="0" w:line="240" w:lineRule="auto"/>
                              <w:ind w:left="0" w:firstLine="0"/>
                            </w:pPr>
                            <w:r>
                              <w:t>Zákazník</w:t>
                            </w:r>
                          </w:p>
                        </w:txbxContent>
                      </wps:txbx>
                      <wps:bodyPr wrap="none" lIns="0" tIns="0" rIns="0" bIns="0"/>
                    </wps:wsp>
                  </a:graphicData>
                </a:graphic>
              </wp:anchor>
            </w:drawing>
          </mc:Choice>
          <mc:Fallback>
            <w:pict>
              <v:shape w14:anchorId="027E9294" id="Shape 13" o:spid="_x0000_s1028" type="#_x0000_t202" style="position:absolute;left:0;text-align:left;margin-left:351.75pt;margin-top:394.05pt;width:37.9pt;height:14.15pt;z-index:125829383;visibility:visible;mso-wrap-style:none;mso-wrap-distance-left:9pt;mso-wrap-distance-top:20.15pt;mso-wrap-distance-right:61.3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" filled="f" stroked="f">
                <v:textbox inset="0,0,0,0">
                  <w:txbxContent>
                    <w:p w14:paraId="3E595F18" w14:textId="77777777" w:rsidR="001102E7" w:rsidRDefault="007034CD">
                      <w:pPr>
                        <w:pStyle w:val="Zkladntext20"/>
                        <w:shd w:val="clear" w:color="auto" w:fill="auto"/>
                        <w:spacing w:after="0" w:line="240" w:lineRule="auto"/>
                        <w:ind w:left="0" w:firstLine="0"/>
                      </w:pPr>
                      <w:r>
                        <w:t>Zákazník</w:t>
                      </w:r>
                    </w:p>
                  </w:txbxContent>
                </v:textbox>
                <w10:wrap type="square" side="left" anchorx="page" anchory="margin"/>
              </v:shape>
            </w:pict>
          </mc:Fallback>
        </mc:AlternateContent>
      </w:r>
      <w:r>
        <w:rPr>
          <w:noProof/>
        </w:rPr>
        <mc:AlternateContent>
          <mc:Choice Requires="wps">
            <w:drawing>
              <wp:anchor distT="0" distB="0" distL="114300" distR="3433445" simplePos="0" relativeHeight="125829385" behindDoc="0" locked="0" layoutInCell="1" allowOverlap="1" wp14:anchorId="76A659F9" wp14:editId="66D6AB94">
                <wp:simplePos x="0" y="0"/>
                <wp:positionH relativeFrom="page">
                  <wp:posOffset>1138555</wp:posOffset>
                </wp:positionH>
                <wp:positionV relativeFrom="margin">
                  <wp:posOffset>5257800</wp:posOffset>
                </wp:positionV>
                <wp:extent cx="1386840" cy="17970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386840" cy="179705"/>
                        </a:xfrm>
                        <a:prstGeom prst="rect">
                          <a:avLst/>
                        </a:prstGeom>
                        <a:noFill/>
                      </wps:spPr>
                      <wps:txbx>
                        <w:txbxContent>
                          <w:p w14:paraId="33056D39" w14:textId="77777777" w:rsidR="001102E7" w:rsidRDefault="007034CD">
                            <w:pPr>
                              <w:pStyle w:val="Zkladntext20"/>
                              <w:shd w:val="clear" w:color="auto" w:fill="auto"/>
                              <w:spacing w:after="0" w:line="240" w:lineRule="auto"/>
                              <w:ind w:left="0" w:firstLine="0"/>
                            </w:pPr>
                            <w:r>
                              <w:t>„podepsáno elektronicky“</w:t>
                            </w:r>
                          </w:p>
                        </w:txbxContent>
                      </wps:txbx>
                      <wps:bodyPr wrap="none" lIns="0" tIns="0" rIns="0" bIns="0"/>
                    </wps:wsp>
                  </a:graphicData>
                </a:graphic>
              </wp:anchor>
            </w:drawing>
          </mc:Choice>
          <mc:Fallback>
            <w:pict>
              <v:shape w14:anchorId="76A659F9" id="Shape 15" o:spid="_x0000_s1029" type="#_x0000_t202" style="position:absolute;left:0;text-align:left;margin-left:89.65pt;margin-top:414pt;width:109.2pt;height:14.15pt;z-index:125829385;visibility:visible;mso-wrap-style:none;mso-wrap-distance-left:9pt;mso-wrap-distance-top:0;mso-wrap-distance-right:270.3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" filled="f" stroked="f">
                <v:textbox inset="0,0,0,0">
                  <w:txbxContent>
                    <w:p w14:paraId="33056D39" w14:textId="77777777" w:rsidR="001102E7" w:rsidRDefault="007034CD">
                      <w:pPr>
                        <w:pStyle w:val="Zkladntext20"/>
                        <w:shd w:val="clear" w:color="auto" w:fill="auto"/>
                        <w:spacing w:after="0" w:line="240" w:lineRule="auto"/>
                        <w:ind w:left="0" w:firstLine="0"/>
                      </w:pPr>
                      <w:r>
                        <w:t>„podepsáno elektronicky“</w:t>
                      </w:r>
                    </w:p>
                  </w:txbxContent>
                </v:textbox>
                <w10:wrap type="topAndBottom" anchorx="page" anchory="margin"/>
              </v:shape>
            </w:pict>
          </mc:Fallback>
        </mc:AlternateContent>
      </w:r>
      <w:r>
        <w:rPr>
          <w:noProof/>
        </w:rPr>
        <mc:AlternateContent>
          <mc:Choice Requires="wps">
            <w:drawing>
              <wp:anchor distT="0" distB="0" distL="3439795" distR="114300" simplePos="0" relativeHeight="125829387" behindDoc="0" locked="0" layoutInCell="1" allowOverlap="1" wp14:anchorId="54812C00" wp14:editId="7A81D0AA">
                <wp:simplePos x="0" y="0"/>
                <wp:positionH relativeFrom="page">
                  <wp:posOffset>4464050</wp:posOffset>
                </wp:positionH>
                <wp:positionV relativeFrom="margin">
                  <wp:posOffset>5257800</wp:posOffset>
                </wp:positionV>
                <wp:extent cx="1380490" cy="17970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380490" cy="179705"/>
                        </a:xfrm>
                        <a:prstGeom prst="rect">
                          <a:avLst/>
                        </a:prstGeom>
                        <a:noFill/>
                      </wps:spPr>
                      <wps:txbx>
                        <w:txbxContent>
                          <w:p w14:paraId="01C2BDD0" w14:textId="77777777" w:rsidR="001102E7" w:rsidRDefault="007034CD">
                            <w:pPr>
                              <w:pStyle w:val="Zkladntext20"/>
                              <w:shd w:val="clear" w:color="auto" w:fill="auto"/>
                              <w:spacing w:after="0" w:line="240" w:lineRule="auto"/>
                              <w:ind w:left="0" w:firstLine="0"/>
                            </w:pPr>
                            <w:r>
                              <w:t>„podepsáno elektronicky“</w:t>
                            </w:r>
                          </w:p>
                        </w:txbxContent>
                      </wps:txbx>
                      <wps:bodyPr wrap="none" lIns="0" tIns="0" rIns="0" bIns="0"/>
                    </wps:wsp>
                  </a:graphicData>
                </a:graphic>
              </wp:anchor>
            </w:drawing>
          </mc:Choice>
          <mc:Fallback>
            <w:pict>
              <v:shape w14:anchorId="54812C00" id="Shape 17" o:spid="_x0000_s1030" type="#_x0000_t202" style="position:absolute;left:0;text-align:left;margin-left:351.5pt;margin-top:414pt;width:108.7pt;height:14.15pt;z-index:125829387;visibility:visible;mso-wrap-style:none;mso-wrap-distance-left:270.85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" filled="f" stroked="f">
                <v:textbox inset="0,0,0,0">
                  <w:txbxContent>
                    <w:p w14:paraId="01C2BDD0" w14:textId="77777777" w:rsidR="001102E7" w:rsidRDefault="007034CD">
                      <w:pPr>
                        <w:pStyle w:val="Zkladntext20"/>
                        <w:shd w:val="clear" w:color="auto" w:fill="auto"/>
                        <w:spacing w:after="0" w:line="240" w:lineRule="auto"/>
                        <w:ind w:left="0" w:firstLine="0"/>
                      </w:pPr>
                      <w:r>
                        <w:t>„podepsáno elektronicky“</w:t>
                      </w:r>
                    </w:p>
                  </w:txbxContent>
                </v:textbox>
                <w10:wrap type="topAndBottom" anchorx="page" anchory="margin"/>
              </v:shape>
            </w:pict>
          </mc:Fallback>
        </mc:AlternateContent>
      </w:r>
      <w:r>
        <w:t>Obchodník</w:t>
      </w:r>
    </w:p>
    <w:p w14:paraId="5C376940" w14:textId="77777777" w:rsidR="001102E7" w:rsidRDefault="007034CD">
      <w:pPr>
        <w:pStyle w:val="Zkladntext1"/>
        <w:shd w:val="clear" w:color="auto" w:fill="auto"/>
        <w:spacing w:after="220"/>
        <w:jc w:val="both"/>
      </w:pPr>
      <w:r>
        <w:lastRenderedPageBreak/>
        <w:t>ČÍSLO SMLOUVY ZÁKAZNÍKA:</w:t>
      </w:r>
    </w:p>
    <w:p w14:paraId="54CDB4F5" w14:textId="77777777" w:rsidR="001102E7" w:rsidRDefault="007034CD">
      <w:pPr>
        <w:pStyle w:val="Zkladntext30"/>
        <w:shd w:val="clear" w:color="auto" w:fill="auto"/>
        <w:spacing w:after="120"/>
        <w:ind w:firstLine="0"/>
      </w:pPr>
      <w:r>
        <w:t>Příloha č. 1 Smlouvy o sdružených službách dodávky</w:t>
      </w:r>
      <w:r>
        <w:br/>
        <w:t>elektřiny</w:t>
      </w:r>
    </w:p>
    <w:p w14:paraId="72A40CBE" w14:textId="77777777" w:rsidR="001102E7" w:rsidRDefault="007034CD">
      <w:pPr>
        <w:pStyle w:val="Zkladntext30"/>
        <w:shd w:val="clear" w:color="auto" w:fill="auto"/>
        <w:spacing w:after="360"/>
        <w:ind w:firstLine="280"/>
        <w:jc w:val="left"/>
      </w:pPr>
      <w:r>
        <w:t>Obchodní podmínky pro dodávky elektřiny ze sítí NN</w:t>
      </w:r>
    </w:p>
    <w:p w14:paraId="1A89CAE3" w14:textId="77777777" w:rsidR="001102E7" w:rsidRDefault="007034CD">
      <w:pPr>
        <w:pStyle w:val="Nadpis30"/>
        <w:keepNext/>
        <w:keepLines/>
        <w:numPr>
          <w:ilvl w:val="0"/>
          <w:numId w:val="7"/>
        </w:numPr>
        <w:shd w:val="clear" w:color="auto" w:fill="auto"/>
        <w:tabs>
          <w:tab w:val="left" w:pos="268"/>
        </w:tabs>
      </w:pPr>
      <w:bookmarkStart w:id="32" w:name="bookmark32"/>
      <w:bookmarkStart w:id="33" w:name="bookmark33"/>
      <w:r>
        <w:t>Obecná ustanovení</w:t>
      </w:r>
      <w:bookmarkEnd w:id="32"/>
      <w:bookmarkEnd w:id="33"/>
    </w:p>
    <w:p w14:paraId="333935AA" w14:textId="77777777" w:rsidR="001102E7" w:rsidRDefault="007034CD">
      <w:pPr>
        <w:pStyle w:val="Zkladntext1"/>
        <w:numPr>
          <w:ilvl w:val="0"/>
          <w:numId w:val="8"/>
        </w:numPr>
        <w:shd w:val="clear" w:color="auto" w:fill="auto"/>
        <w:tabs>
          <w:tab w:val="left" w:pos="306"/>
        </w:tabs>
        <w:jc w:val="both"/>
      </w:pPr>
      <w:r>
        <w:t>Obchodní podmínky sdružených služeb dodávky elektřiny (dále jen „OPD“) upravují obchodní a technické podmínky dodávky elektřiny a zajištění distribuce elektřiny a systémových služeb. OPD jsou nedílnou součástí Smlouvy o sdružených službách dodávky elektřin</w:t>
      </w:r>
      <w:r>
        <w:t>y uzavřené mezi Zákazníkem a Obchodníkem (dále jen „Smlouva“).</w:t>
      </w:r>
    </w:p>
    <w:p w14:paraId="34CC9460" w14:textId="77777777" w:rsidR="001102E7" w:rsidRDefault="007034CD">
      <w:pPr>
        <w:pStyle w:val="Zkladntext1"/>
        <w:numPr>
          <w:ilvl w:val="0"/>
          <w:numId w:val="8"/>
        </w:numPr>
        <w:shd w:val="clear" w:color="auto" w:fill="auto"/>
        <w:tabs>
          <w:tab w:val="left" w:pos="306"/>
        </w:tabs>
        <w:jc w:val="both"/>
      </w:pPr>
      <w:r>
        <w:t>Obchodní podmínky vydané ve smyslu ustanovení § 1751 zákona č. 89/2012 Sb., občanský zákoník, podrobněji upravují další vzájemná práva a povinnosti Smluvních stran, obecně upravená zákonem č. 4</w:t>
      </w:r>
      <w:r>
        <w:t>58/2000 Sb., o podmínkách podnikání a o výkonu státní správy v energetických odvětvích a o změně některých zákonů (energetický zákon), ve znění pozdějších předpisů, příslušnými souvisejícími právními předpisy, cenovými rozhodnutími Energetického regulačníh</w:t>
      </w:r>
      <w:r>
        <w:t>o úřadu [„ERÚ“] a technickými normami.</w:t>
      </w:r>
    </w:p>
    <w:p w14:paraId="2764E3A5" w14:textId="77777777" w:rsidR="001102E7" w:rsidRDefault="007034CD">
      <w:pPr>
        <w:pStyle w:val="Zkladntext1"/>
        <w:numPr>
          <w:ilvl w:val="0"/>
          <w:numId w:val="8"/>
        </w:numPr>
        <w:shd w:val="clear" w:color="auto" w:fill="auto"/>
        <w:tabs>
          <w:tab w:val="left" w:pos="306"/>
        </w:tabs>
      </w:pPr>
      <w:r>
        <w:rPr>
          <w:b/>
          <w:bCs/>
        </w:rPr>
        <w:t>Definice pojmů</w:t>
      </w:r>
      <w:r>
        <w:t>. Pro účely Smlouvy mají níže uvedené pojmy následující význam:</w:t>
      </w:r>
    </w:p>
    <w:p w14:paraId="647DF054" w14:textId="77777777" w:rsidR="001102E7" w:rsidRDefault="007034CD">
      <w:pPr>
        <w:pStyle w:val="Zkladntext1"/>
        <w:shd w:val="clear" w:color="auto" w:fill="auto"/>
        <w:spacing w:after="0" w:line="396" w:lineRule="auto"/>
        <w:ind w:firstLine="280"/>
        <w:jc w:val="both"/>
      </w:pPr>
      <w:r>
        <w:t>"</w:t>
      </w:r>
      <w:r>
        <w:rPr>
          <w:b/>
          <w:bCs/>
        </w:rPr>
        <w:t>Kč</w:t>
      </w:r>
      <w:r>
        <w:t>" = české koruny</w:t>
      </w:r>
    </w:p>
    <w:p w14:paraId="4E79B9FB" w14:textId="77777777" w:rsidR="001102E7" w:rsidRDefault="007034CD">
      <w:pPr>
        <w:pStyle w:val="Zkladntext1"/>
        <w:shd w:val="clear" w:color="auto" w:fill="auto"/>
        <w:spacing w:after="0" w:line="396" w:lineRule="auto"/>
        <w:ind w:firstLine="280"/>
        <w:jc w:val="both"/>
      </w:pPr>
      <w:r>
        <w:t>"</w:t>
      </w:r>
      <w:r>
        <w:rPr>
          <w:b/>
          <w:bCs/>
        </w:rPr>
        <w:t>ČNB</w:t>
      </w:r>
      <w:r>
        <w:t>" = Česká národní banka</w:t>
      </w:r>
    </w:p>
    <w:p w14:paraId="2EE0A881" w14:textId="77777777" w:rsidR="001102E7" w:rsidRDefault="007034CD">
      <w:pPr>
        <w:pStyle w:val="Zkladntext1"/>
        <w:shd w:val="clear" w:color="auto" w:fill="auto"/>
        <w:spacing w:after="0" w:line="396" w:lineRule="auto"/>
        <w:ind w:firstLine="280"/>
        <w:jc w:val="both"/>
      </w:pPr>
      <w:r>
        <w:t>"</w:t>
      </w:r>
      <w:r>
        <w:rPr>
          <w:b/>
          <w:bCs/>
        </w:rPr>
        <w:t>Distribuce elektřiny</w:t>
      </w:r>
      <w:r>
        <w:t>" = doprava elektřiny distribuční soustavou</w:t>
      </w:r>
    </w:p>
    <w:p w14:paraId="7BAD19ED" w14:textId="77777777" w:rsidR="001102E7" w:rsidRDefault="007034CD">
      <w:pPr>
        <w:pStyle w:val="Zkladntext1"/>
        <w:shd w:val="clear" w:color="auto" w:fill="auto"/>
        <w:spacing w:after="0" w:line="396" w:lineRule="auto"/>
        <w:ind w:firstLine="280"/>
        <w:jc w:val="both"/>
      </w:pPr>
      <w:r>
        <w:t>"</w:t>
      </w:r>
      <w:r>
        <w:rPr>
          <w:b/>
          <w:bCs/>
        </w:rPr>
        <w:t>DPH</w:t>
      </w:r>
      <w:r>
        <w:t>" = daň z přidané hodn</w:t>
      </w:r>
      <w:r>
        <w:t>oty dle Zákona o DPH č. 235/2004 Sb., v platném znění.</w:t>
      </w:r>
    </w:p>
    <w:p w14:paraId="3AC89AB9" w14:textId="77777777" w:rsidR="001102E7" w:rsidRDefault="007034CD">
      <w:pPr>
        <w:pStyle w:val="Zkladntext1"/>
        <w:shd w:val="clear" w:color="auto" w:fill="auto"/>
        <w:spacing w:after="0" w:line="396" w:lineRule="auto"/>
        <w:ind w:left="280" w:firstLine="20"/>
        <w:jc w:val="both"/>
      </w:pPr>
      <w:r>
        <w:t>"</w:t>
      </w:r>
      <w:r>
        <w:rPr>
          <w:b/>
          <w:bCs/>
        </w:rPr>
        <w:t>EAN OPM</w:t>
      </w:r>
      <w:r>
        <w:t xml:space="preserve">" = </w:t>
      </w:r>
      <w:proofErr w:type="gramStart"/>
      <w:r>
        <w:t xml:space="preserve">18 </w:t>
      </w:r>
      <w:proofErr w:type="spellStart"/>
      <w:r>
        <w:t>místný</w:t>
      </w:r>
      <w:proofErr w:type="spellEnd"/>
      <w:proofErr w:type="gramEnd"/>
      <w:r>
        <w:t xml:space="preserve"> číselný kód sloužící jednoznačné identifikaci odběrného předacího místa (</w:t>
      </w:r>
      <w:proofErr w:type="spellStart"/>
      <w:r>
        <w:t>Europen</w:t>
      </w:r>
      <w:proofErr w:type="spellEnd"/>
      <w:r>
        <w:t xml:space="preserve"> </w:t>
      </w:r>
      <w:proofErr w:type="spellStart"/>
      <w:r>
        <w:t>Article</w:t>
      </w:r>
      <w:proofErr w:type="spellEnd"/>
      <w:r>
        <w:t xml:space="preserve"> </w:t>
      </w:r>
      <w:proofErr w:type="spellStart"/>
      <w:r>
        <w:t>Number</w:t>
      </w:r>
      <w:proofErr w:type="spellEnd"/>
      <w:r>
        <w:t>) "</w:t>
      </w:r>
      <w:r>
        <w:rPr>
          <w:b/>
          <w:bCs/>
        </w:rPr>
        <w:t>Energetický zákon</w:t>
      </w:r>
      <w:r>
        <w:t>" = zákon č. 458/2000 Sb., v platném znění.</w:t>
      </w:r>
    </w:p>
    <w:p w14:paraId="3CE48E56" w14:textId="77777777" w:rsidR="001102E7" w:rsidRDefault="007034CD">
      <w:pPr>
        <w:pStyle w:val="Zkladntext1"/>
        <w:shd w:val="clear" w:color="auto" w:fill="auto"/>
        <w:spacing w:after="0" w:line="396" w:lineRule="auto"/>
        <w:ind w:firstLine="280"/>
        <w:jc w:val="both"/>
      </w:pPr>
      <w:r>
        <w:t>"</w:t>
      </w:r>
      <w:r>
        <w:rPr>
          <w:b/>
          <w:bCs/>
        </w:rPr>
        <w:t>ERÚ</w:t>
      </w:r>
      <w:r>
        <w:t xml:space="preserve">" = Energetický </w:t>
      </w:r>
      <w:r>
        <w:t>regulační úřad.</w:t>
      </w:r>
    </w:p>
    <w:p w14:paraId="27355EFF" w14:textId="77777777" w:rsidR="001102E7" w:rsidRDefault="007034CD">
      <w:pPr>
        <w:pStyle w:val="Zkladntext1"/>
        <w:shd w:val="clear" w:color="auto" w:fill="auto"/>
        <w:spacing w:after="0" w:line="396" w:lineRule="auto"/>
        <w:ind w:firstLine="280"/>
        <w:jc w:val="both"/>
      </w:pPr>
      <w:r>
        <w:t>"</w:t>
      </w:r>
      <w:r>
        <w:rPr>
          <w:b/>
          <w:bCs/>
        </w:rPr>
        <w:t>Insolvenční zákon</w:t>
      </w:r>
      <w:r>
        <w:t>" = zákon č. 182/2006 Sb., v platném znění.</w:t>
      </w:r>
    </w:p>
    <w:p w14:paraId="458A29BD" w14:textId="77777777" w:rsidR="001102E7" w:rsidRDefault="007034CD">
      <w:pPr>
        <w:pStyle w:val="Zkladntext1"/>
        <w:shd w:val="clear" w:color="auto" w:fill="auto"/>
        <w:spacing w:after="0" w:line="396" w:lineRule="auto"/>
        <w:ind w:firstLine="280"/>
        <w:jc w:val="both"/>
      </w:pPr>
      <w:r>
        <w:t>"</w:t>
      </w:r>
      <w:r>
        <w:rPr>
          <w:b/>
          <w:bCs/>
        </w:rPr>
        <w:t>Občanská zákoník</w:t>
      </w:r>
      <w:r>
        <w:t>" = zákon č. 89/2012 Sb., v platném znění.</w:t>
      </w:r>
    </w:p>
    <w:p w14:paraId="60700DFA" w14:textId="77777777" w:rsidR="001102E7" w:rsidRDefault="007034CD">
      <w:pPr>
        <w:pStyle w:val="Zkladntext1"/>
        <w:shd w:val="clear" w:color="auto" w:fill="auto"/>
        <w:spacing w:after="120"/>
        <w:ind w:left="280" w:firstLine="20"/>
        <w:jc w:val="both"/>
      </w:pPr>
      <w:r>
        <w:t>"</w:t>
      </w:r>
      <w:r>
        <w:rPr>
          <w:b/>
          <w:bCs/>
        </w:rPr>
        <w:t>OM</w:t>
      </w:r>
      <w:r>
        <w:t xml:space="preserve">" = odběrné místo, odběrné energetické zařízení Zákazníka, do kterého se uskutečňuje dodávka elektřiny a jehož </w:t>
      </w:r>
      <w:r>
        <w:t>odběr je měřen měřícím zařízením PDS.</w:t>
      </w:r>
    </w:p>
    <w:p w14:paraId="45D51340" w14:textId="77777777" w:rsidR="001102E7" w:rsidRDefault="007034CD">
      <w:pPr>
        <w:pStyle w:val="Zkladntext1"/>
        <w:shd w:val="clear" w:color="auto" w:fill="auto"/>
        <w:spacing w:after="120"/>
        <w:ind w:firstLine="280"/>
      </w:pPr>
      <w:r>
        <w:t>"</w:t>
      </w:r>
      <w:r>
        <w:rPr>
          <w:b/>
          <w:bCs/>
        </w:rPr>
        <w:t>OTE</w:t>
      </w:r>
      <w:r>
        <w:t>" = operátor trhu s energiemi, OTE, a.s. IČ 26463318.</w:t>
      </w:r>
    </w:p>
    <w:p w14:paraId="1A505984" w14:textId="77777777" w:rsidR="001102E7" w:rsidRDefault="007034CD">
      <w:pPr>
        <w:pStyle w:val="Zkladntext1"/>
        <w:shd w:val="clear" w:color="auto" w:fill="auto"/>
        <w:spacing w:after="120"/>
        <w:ind w:firstLine="280"/>
      </w:pPr>
      <w:r>
        <w:t>"</w:t>
      </w:r>
      <w:r>
        <w:rPr>
          <w:b/>
          <w:bCs/>
        </w:rPr>
        <w:t>OSŘ</w:t>
      </w:r>
      <w:r>
        <w:t>" = zákon č. 99/1963 Sb., Občanský soudní řád v platném znění.</w:t>
      </w:r>
    </w:p>
    <w:p w14:paraId="1786D993" w14:textId="77777777" w:rsidR="001102E7" w:rsidRDefault="007034CD">
      <w:pPr>
        <w:pStyle w:val="Zkladntext1"/>
        <w:shd w:val="clear" w:color="auto" w:fill="auto"/>
        <w:spacing w:after="120"/>
        <w:ind w:firstLine="280"/>
      </w:pPr>
      <w:r>
        <w:t>"</w:t>
      </w:r>
      <w:r>
        <w:rPr>
          <w:b/>
          <w:bCs/>
        </w:rPr>
        <w:t>Ovládající osoba</w:t>
      </w:r>
      <w:r>
        <w:t xml:space="preserve">" = osoba ve smyslu § 74 zákona č. 90/2012 S., o obchodních </w:t>
      </w:r>
      <w:r>
        <w:t>korporacích.</w:t>
      </w:r>
    </w:p>
    <w:p w14:paraId="2B558DDB" w14:textId="77777777" w:rsidR="001102E7" w:rsidRDefault="007034CD">
      <w:pPr>
        <w:pStyle w:val="Zkladntext1"/>
        <w:shd w:val="clear" w:color="auto" w:fill="auto"/>
        <w:spacing w:after="120"/>
        <w:ind w:firstLine="280"/>
      </w:pPr>
      <w:r>
        <w:t>"</w:t>
      </w:r>
      <w:r>
        <w:rPr>
          <w:b/>
          <w:bCs/>
        </w:rPr>
        <w:t>PDS</w:t>
      </w:r>
      <w:r>
        <w:t>" = provozovatel distribuční soustavy, který je držitelem licence na distribuci elektřiny.</w:t>
      </w:r>
    </w:p>
    <w:p w14:paraId="0C2FDFE8" w14:textId="77777777" w:rsidR="001102E7" w:rsidRDefault="007034CD">
      <w:pPr>
        <w:pStyle w:val="Zkladntext1"/>
        <w:shd w:val="clear" w:color="auto" w:fill="auto"/>
        <w:spacing w:after="120"/>
        <w:ind w:firstLine="280"/>
      </w:pPr>
      <w:r>
        <w:t>"</w:t>
      </w:r>
      <w:r>
        <w:rPr>
          <w:b/>
          <w:bCs/>
        </w:rPr>
        <w:t>PPDS</w:t>
      </w:r>
      <w:r>
        <w:t>" = pravidla pro provozování distribuční soustavy regionálního distributora schválené ERÚ.</w:t>
      </w:r>
    </w:p>
    <w:p w14:paraId="23AD767D" w14:textId="77777777" w:rsidR="001102E7" w:rsidRDefault="007034CD">
      <w:pPr>
        <w:pStyle w:val="Zkladntext1"/>
        <w:shd w:val="clear" w:color="auto" w:fill="auto"/>
        <w:spacing w:after="120"/>
        <w:ind w:firstLine="280"/>
      </w:pPr>
      <w:r>
        <w:t>"</w:t>
      </w:r>
      <w:r>
        <w:rPr>
          <w:b/>
          <w:bCs/>
        </w:rPr>
        <w:t>Předávací místo</w:t>
      </w:r>
      <w:r>
        <w:t>" = místo předání a převzetí elektři</w:t>
      </w:r>
      <w:r>
        <w:t>ny dohodnuté ve smlouvě o připojení mezi Zákazníkem a PDS.</w:t>
      </w:r>
    </w:p>
    <w:p w14:paraId="50A75D85" w14:textId="77777777" w:rsidR="001102E7" w:rsidRDefault="007034CD">
      <w:pPr>
        <w:pStyle w:val="Zkladntext1"/>
        <w:shd w:val="clear" w:color="auto" w:fill="auto"/>
        <w:spacing w:after="120"/>
        <w:ind w:left="280" w:firstLine="20"/>
        <w:jc w:val="both"/>
      </w:pPr>
      <w:r>
        <w:t>"</w:t>
      </w:r>
      <w:r>
        <w:rPr>
          <w:b/>
          <w:bCs/>
        </w:rPr>
        <w:t>Stavy nouze</w:t>
      </w:r>
      <w:r>
        <w:t>" = omezení nebo přerušení dodávek elektrické energie na celém území České republiky, nebo její části z důvodů a způsobem uvedeným v Energetickém zákoně a v prováděcím předpise "</w:t>
      </w:r>
      <w:r>
        <w:rPr>
          <w:b/>
          <w:bCs/>
        </w:rPr>
        <w:t>Vyhlášk</w:t>
      </w:r>
      <w:r>
        <w:rPr>
          <w:b/>
          <w:bCs/>
        </w:rPr>
        <w:t>a č. 80/2010 Sb.</w:t>
      </w:r>
      <w:r>
        <w:t>"</w:t>
      </w:r>
    </w:p>
    <w:p w14:paraId="3FBB956D" w14:textId="77777777" w:rsidR="001102E7" w:rsidRDefault="007034CD">
      <w:pPr>
        <w:pStyle w:val="Zkladntext1"/>
        <w:shd w:val="clear" w:color="auto" w:fill="auto"/>
        <w:spacing w:after="120"/>
        <w:ind w:left="280" w:firstLine="20"/>
        <w:jc w:val="both"/>
      </w:pPr>
      <w:r>
        <w:t>"</w:t>
      </w:r>
      <w:r>
        <w:rPr>
          <w:b/>
          <w:bCs/>
        </w:rPr>
        <w:t>Sdružené služby</w:t>
      </w:r>
      <w:r>
        <w:t>" = sdružené služby dodávky elektřiny, tzn. dodání sjednaného množství silové elektřiny a převzetí odpovědnosti za odchylku a zajištění distribuce elektřiny a systémových služeb do OM Zákazníka.</w:t>
      </w:r>
    </w:p>
    <w:p w14:paraId="1A6055D6" w14:textId="77777777" w:rsidR="001102E7" w:rsidRDefault="007034CD">
      <w:pPr>
        <w:pStyle w:val="Zkladntext1"/>
        <w:shd w:val="clear" w:color="auto" w:fill="auto"/>
        <w:spacing w:after="120"/>
        <w:ind w:firstLine="280"/>
        <w:jc w:val="both"/>
      </w:pPr>
      <w:r>
        <w:t>"</w:t>
      </w:r>
      <w:r>
        <w:rPr>
          <w:b/>
          <w:bCs/>
        </w:rPr>
        <w:t>SMO</w:t>
      </w:r>
      <w:r>
        <w:t>" = Statutární město Os</w:t>
      </w:r>
      <w:r>
        <w:t>trava (IČO: 00845451), zastoupené Magistrátem města Ostravy.</w:t>
      </w:r>
    </w:p>
    <w:p w14:paraId="7CC9A10B" w14:textId="77777777" w:rsidR="001102E7" w:rsidRDefault="007034CD">
      <w:pPr>
        <w:pStyle w:val="Zkladntext1"/>
        <w:shd w:val="clear" w:color="auto" w:fill="auto"/>
        <w:spacing w:after="120"/>
        <w:ind w:left="280" w:firstLine="20"/>
        <w:jc w:val="both"/>
      </w:pPr>
      <w:r>
        <w:t>"</w:t>
      </w:r>
      <w:r>
        <w:rPr>
          <w:b/>
          <w:bCs/>
        </w:rPr>
        <w:t>Systémové služby</w:t>
      </w:r>
      <w:r>
        <w:t>" = činnosti provozovatele přenosové soustavy a provozovatelů distribučních soustav pro zajištění spolehlivého provozu elektrizační soustavy České republiky.</w:t>
      </w:r>
    </w:p>
    <w:p w14:paraId="5E342CF0" w14:textId="77777777" w:rsidR="001102E7" w:rsidRDefault="007034CD">
      <w:pPr>
        <w:pStyle w:val="Zkladntext1"/>
        <w:shd w:val="clear" w:color="auto" w:fill="auto"/>
        <w:spacing w:after="120"/>
        <w:ind w:firstLine="280"/>
      </w:pPr>
      <w:r>
        <w:t>"</w:t>
      </w:r>
      <w:r>
        <w:rPr>
          <w:b/>
          <w:bCs/>
        </w:rPr>
        <w:t>NN</w:t>
      </w:r>
      <w:r>
        <w:t xml:space="preserve">" = nízké napětí </w:t>
      </w:r>
      <w:r>
        <w:t xml:space="preserve">(do 1 </w:t>
      </w:r>
      <w:proofErr w:type="spellStart"/>
      <w:r>
        <w:t>kV</w:t>
      </w:r>
      <w:proofErr w:type="spellEnd"/>
      <w:r>
        <w:t>).</w:t>
      </w:r>
    </w:p>
    <w:p w14:paraId="12ACDC77" w14:textId="77777777" w:rsidR="001102E7" w:rsidRDefault="007034CD">
      <w:pPr>
        <w:pStyle w:val="Zkladntext1"/>
        <w:shd w:val="clear" w:color="auto" w:fill="auto"/>
        <w:spacing w:after="120"/>
        <w:ind w:firstLine="280"/>
      </w:pPr>
      <w:r>
        <w:t>"</w:t>
      </w:r>
      <w:r>
        <w:rPr>
          <w:b/>
          <w:bCs/>
        </w:rPr>
        <w:t>Vyhláška 359/2020</w:t>
      </w:r>
      <w:r>
        <w:t>" = vyhláška MPO o měření elektřiny v platném znění.</w:t>
      </w:r>
    </w:p>
    <w:p w14:paraId="0C927C94" w14:textId="77777777" w:rsidR="001102E7" w:rsidRDefault="007034CD">
      <w:pPr>
        <w:pStyle w:val="Zkladntext1"/>
        <w:shd w:val="clear" w:color="auto" w:fill="auto"/>
        <w:spacing w:after="120"/>
        <w:ind w:left="280" w:firstLine="20"/>
        <w:jc w:val="both"/>
      </w:pPr>
      <w:r>
        <w:t>"</w:t>
      </w:r>
      <w:r>
        <w:rPr>
          <w:b/>
          <w:bCs/>
        </w:rPr>
        <w:t>Vyhláška 540/2005</w:t>
      </w:r>
      <w:r>
        <w:t>" = vyhláška ERÚ č. 540/2005 Sb. o kvalitě dodávek elektřiny a souvisejících služeb v elektroenergetice, v platném znění.</w:t>
      </w:r>
    </w:p>
    <w:p w14:paraId="6AC1E7D8" w14:textId="77777777" w:rsidR="001102E7" w:rsidRDefault="007034CD">
      <w:pPr>
        <w:pStyle w:val="Zkladntext1"/>
        <w:shd w:val="clear" w:color="auto" w:fill="auto"/>
        <w:spacing w:after="120"/>
        <w:ind w:firstLine="280"/>
        <w:jc w:val="both"/>
      </w:pPr>
      <w:r>
        <w:t>"</w:t>
      </w:r>
      <w:r>
        <w:rPr>
          <w:b/>
          <w:bCs/>
        </w:rPr>
        <w:t>Vyhláška 408/2015</w:t>
      </w:r>
      <w:r>
        <w:t>" = vyhláška ERÚ</w:t>
      </w:r>
      <w:r>
        <w:t xml:space="preserve"> č. 408/2015 Sb. o pravidlech trhu s elektřinou, v platném znění.</w:t>
      </w:r>
    </w:p>
    <w:p w14:paraId="2BE83E82" w14:textId="77777777" w:rsidR="001102E7" w:rsidRDefault="007034CD">
      <w:pPr>
        <w:pStyle w:val="Zkladntext1"/>
        <w:shd w:val="clear" w:color="auto" w:fill="auto"/>
        <w:spacing w:after="120"/>
        <w:ind w:firstLine="280"/>
        <w:jc w:val="both"/>
      </w:pPr>
      <w:r>
        <w:t>"</w:t>
      </w:r>
      <w:r>
        <w:rPr>
          <w:b/>
          <w:bCs/>
        </w:rPr>
        <w:t>Vyhláška 16/2016</w:t>
      </w:r>
      <w:r>
        <w:t>" = vyhláška ERÚ č. 16/2016 Sb. o podmínkách připojení k elektrizační soustavě, v platném znění.</w:t>
      </w:r>
    </w:p>
    <w:p w14:paraId="07B2D06E" w14:textId="77777777" w:rsidR="001102E7" w:rsidRDefault="007034CD">
      <w:pPr>
        <w:pStyle w:val="Zkladntext1"/>
        <w:shd w:val="clear" w:color="auto" w:fill="auto"/>
        <w:spacing w:after="120"/>
        <w:ind w:left="280" w:firstLine="20"/>
        <w:jc w:val="both"/>
      </w:pPr>
      <w:r>
        <w:t>"</w:t>
      </w:r>
      <w:r>
        <w:rPr>
          <w:b/>
          <w:bCs/>
        </w:rPr>
        <w:t xml:space="preserve">Vyhláška 70/2016" </w:t>
      </w:r>
      <w:r>
        <w:t>= vyhláška ERÚ č. 70//2016 Sb. o vyúčtování dodávek a sou</w:t>
      </w:r>
      <w:r>
        <w:t>visejících služeb v energetických odvětvích v platném znění.</w:t>
      </w:r>
    </w:p>
    <w:p w14:paraId="71F2BF36" w14:textId="77777777" w:rsidR="001102E7" w:rsidRDefault="007034CD">
      <w:pPr>
        <w:pStyle w:val="Zkladntext1"/>
        <w:shd w:val="clear" w:color="auto" w:fill="auto"/>
        <w:spacing w:after="120"/>
        <w:ind w:firstLine="280"/>
        <w:jc w:val="both"/>
      </w:pPr>
      <w:r>
        <w:t>"</w:t>
      </w:r>
      <w:r>
        <w:rPr>
          <w:b/>
          <w:bCs/>
        </w:rPr>
        <w:t>Zákon o cenách</w:t>
      </w:r>
      <w:r>
        <w:t>" = zákon č. 265/1991 Sb., v platném znění.</w:t>
      </w:r>
    </w:p>
    <w:p w14:paraId="089E5DC0" w14:textId="77777777" w:rsidR="001102E7" w:rsidRDefault="007034CD">
      <w:pPr>
        <w:pStyle w:val="Zkladntext1"/>
        <w:shd w:val="clear" w:color="auto" w:fill="auto"/>
        <w:spacing w:after="120"/>
        <w:ind w:firstLine="280"/>
        <w:jc w:val="both"/>
      </w:pPr>
      <w:r>
        <w:t>"</w:t>
      </w:r>
      <w:r>
        <w:rPr>
          <w:b/>
          <w:bCs/>
        </w:rPr>
        <w:t>Zákon o účetnictví</w:t>
      </w:r>
      <w:r>
        <w:t>" = zákon č. 563/1991 Sb., v platném znění</w:t>
      </w:r>
    </w:p>
    <w:p w14:paraId="3E7F4E37" w14:textId="77777777" w:rsidR="001102E7" w:rsidRDefault="007034CD">
      <w:pPr>
        <w:pStyle w:val="Zkladntext1"/>
        <w:shd w:val="clear" w:color="auto" w:fill="auto"/>
        <w:spacing w:after="120"/>
        <w:ind w:firstLine="280"/>
        <w:jc w:val="both"/>
      </w:pPr>
      <w:r>
        <w:rPr>
          <w:b/>
          <w:bCs/>
        </w:rPr>
        <w:t xml:space="preserve">"Zelená elektřina" </w:t>
      </w:r>
      <w:r>
        <w:t xml:space="preserve">= elektřina vyrobená z obnovitelných zdrojů energie ve </w:t>
      </w:r>
      <w:r>
        <w:t>smyslu Zákona č. 165/2012 Sb. v platném znění.</w:t>
      </w:r>
    </w:p>
    <w:p w14:paraId="34E8680D" w14:textId="77777777" w:rsidR="001102E7" w:rsidRDefault="007034CD">
      <w:pPr>
        <w:pStyle w:val="Zkladntext1"/>
        <w:shd w:val="clear" w:color="auto" w:fill="auto"/>
        <w:spacing w:after="760"/>
        <w:jc w:val="both"/>
      </w:pPr>
      <w:r>
        <w:lastRenderedPageBreak/>
        <w:t>ČÍSLO SMLOUVY ZÁKAZNÍKA:</w:t>
      </w:r>
    </w:p>
    <w:p w14:paraId="52EC8CEB" w14:textId="77777777" w:rsidR="001102E7" w:rsidRDefault="007034CD">
      <w:pPr>
        <w:pStyle w:val="Nadpis30"/>
        <w:keepNext/>
        <w:keepLines/>
        <w:numPr>
          <w:ilvl w:val="0"/>
          <w:numId w:val="7"/>
        </w:numPr>
        <w:shd w:val="clear" w:color="auto" w:fill="auto"/>
        <w:tabs>
          <w:tab w:val="left" w:pos="274"/>
        </w:tabs>
      </w:pPr>
      <w:bookmarkStart w:id="34" w:name="bookmark34"/>
      <w:bookmarkStart w:id="35" w:name="bookmark35"/>
      <w:r>
        <w:t>Povinnosti Obchodníka</w:t>
      </w:r>
      <w:bookmarkEnd w:id="34"/>
      <w:bookmarkEnd w:id="35"/>
    </w:p>
    <w:p w14:paraId="57E6F72D" w14:textId="77777777" w:rsidR="001102E7" w:rsidRDefault="007034CD">
      <w:pPr>
        <w:pStyle w:val="Zkladntext1"/>
        <w:numPr>
          <w:ilvl w:val="0"/>
          <w:numId w:val="9"/>
        </w:numPr>
        <w:shd w:val="clear" w:color="auto" w:fill="auto"/>
        <w:tabs>
          <w:tab w:val="left" w:pos="274"/>
        </w:tabs>
        <w:spacing w:after="40"/>
        <w:jc w:val="both"/>
      </w:pPr>
      <w:r>
        <w:t xml:space="preserve">Obchodník se zavazuje dodávat Zákazníkovi elektřinu v rozsahu a za podmínek dohodnutých ve Smlouvě a OPD do odběrných míst Zákazníka vymezených ve Smlouvě </w:t>
      </w:r>
      <w:r>
        <w:t>(dále jen "OM") v kvalitě podle příslušných právních předpisů. Nebylo-li množství dodávané elektřiny sjednáno přímo ve Smlouvě, považuje se za sjednané množství dodávek elektřiny skutečně dodané a odebrané množství v OM.</w:t>
      </w:r>
    </w:p>
    <w:p w14:paraId="52A55116" w14:textId="77777777" w:rsidR="001102E7" w:rsidRDefault="007034CD">
      <w:pPr>
        <w:pStyle w:val="Zkladntext1"/>
        <w:numPr>
          <w:ilvl w:val="0"/>
          <w:numId w:val="9"/>
        </w:numPr>
        <w:shd w:val="clear" w:color="auto" w:fill="auto"/>
        <w:tabs>
          <w:tab w:val="left" w:pos="274"/>
        </w:tabs>
        <w:spacing w:after="40"/>
        <w:jc w:val="both"/>
      </w:pPr>
      <w:r>
        <w:t>K zajištění dodávky elektřiny Zákaz</w:t>
      </w:r>
      <w:r>
        <w:t>níkovi uzavírá Obchodník s územně příslušným provozovatelem distribuční soustavy (dále jen „PDS“) Smlouvu o distribuci, a to za podmínek stanovených PDS a v rozsahu a kvalitě uvedené ve Smlouvě a OPD. Zákazník uděluje Obchodníkovi souhlas s uzavřením Smlou</w:t>
      </w:r>
      <w:r>
        <w:t>vy o distribuci elektřiny a zavazuje se poskytnout Obchodníkovi při jednání s příslušným PDS potřebnou součinnost. Zákazník se zavazuje řídit podmínkami distribuce příslušného PDS.</w:t>
      </w:r>
    </w:p>
    <w:p w14:paraId="2B24ADBB" w14:textId="77777777" w:rsidR="001102E7" w:rsidRDefault="007034CD">
      <w:pPr>
        <w:pStyle w:val="Zkladntext1"/>
        <w:numPr>
          <w:ilvl w:val="0"/>
          <w:numId w:val="9"/>
        </w:numPr>
        <w:shd w:val="clear" w:color="auto" w:fill="auto"/>
        <w:tabs>
          <w:tab w:val="left" w:pos="274"/>
        </w:tabs>
        <w:spacing w:after="40"/>
        <w:jc w:val="both"/>
      </w:pPr>
      <w:r>
        <w:t xml:space="preserve">Dodávka elektřiny dle Smlouvy je splněna přechodem elektřiny z distribuční </w:t>
      </w:r>
      <w:r>
        <w:t>soustavy příslušného PDS v předávacích místech. Předávací místa jsou ve smyslu příslušného právního předpisu místy předání a převzetí elektřiny mezi Obchodníkem a Zákazníkem, ve kterých dochází k přechodu veškerých vlastnických práv k dodané elektřině pros</w:t>
      </w:r>
      <w:r>
        <w:t>tých jakýchkoli nároků třetích osob a k přechodu nebezpečí škody.</w:t>
      </w:r>
    </w:p>
    <w:p w14:paraId="3929B8A0" w14:textId="77777777" w:rsidR="001102E7" w:rsidRDefault="007034CD">
      <w:pPr>
        <w:pStyle w:val="Zkladntext1"/>
        <w:numPr>
          <w:ilvl w:val="0"/>
          <w:numId w:val="9"/>
        </w:numPr>
        <w:shd w:val="clear" w:color="auto" w:fill="auto"/>
        <w:tabs>
          <w:tab w:val="left" w:pos="274"/>
        </w:tabs>
        <w:spacing w:after="40"/>
        <w:jc w:val="both"/>
      </w:pPr>
      <w:r>
        <w:t xml:space="preserve">Obchodník se zavazuje převzít závazek Zákazníka odebrat elektřinu z elektrizační soustavy a nést plnou odpovědnost za odchylku Zákazníka, pokud se tato odchylka vztahuje k OM, to vše za </w:t>
      </w:r>
      <w:r>
        <w:t>podmínky, že Zákazník nebude mít po dobu trvání smluvního vztahu upraveného Smlouvou více obchodních partnerů pro dodávky elektřiny do OM.</w:t>
      </w:r>
    </w:p>
    <w:p w14:paraId="109C95DD" w14:textId="77777777" w:rsidR="001102E7" w:rsidRDefault="007034CD">
      <w:pPr>
        <w:pStyle w:val="Zkladntext1"/>
        <w:numPr>
          <w:ilvl w:val="0"/>
          <w:numId w:val="9"/>
        </w:numPr>
        <w:shd w:val="clear" w:color="auto" w:fill="auto"/>
        <w:tabs>
          <w:tab w:val="left" w:pos="274"/>
        </w:tabs>
        <w:spacing w:after="40"/>
        <w:jc w:val="both"/>
      </w:pPr>
      <w:r>
        <w:t>Obchodník započne s dodávkou elektřiny na základě smlouvy o distribuci elektřiny uzavřené s příslušným PDS nejpozději</w:t>
      </w:r>
      <w:r>
        <w:t xml:space="preserve"> ve lhůtě stanovené v souladu s právními předpisy, pokud Zákazník splnil všechny podmínky pro zahájení dodávky elektřiny podle příslušných právních předpisů a podle Smlouvy. Smluvní strany se také mohou dohodnout na jiné době započetí dodávky elektřiny pro</w:t>
      </w:r>
      <w:r>
        <w:t xml:space="preserve"> jednotlivá OM.</w:t>
      </w:r>
    </w:p>
    <w:p w14:paraId="622DFA8D" w14:textId="77777777" w:rsidR="001102E7" w:rsidRDefault="007034CD">
      <w:pPr>
        <w:pStyle w:val="Zkladntext1"/>
        <w:numPr>
          <w:ilvl w:val="0"/>
          <w:numId w:val="9"/>
        </w:numPr>
        <w:shd w:val="clear" w:color="auto" w:fill="auto"/>
        <w:tabs>
          <w:tab w:val="left" w:pos="274"/>
        </w:tabs>
        <w:spacing w:after="40"/>
        <w:jc w:val="both"/>
      </w:pPr>
      <w:r>
        <w:t>Pokud Obchodník nezahájí plnění dodávky ve sjednaném termínu nebo v průběhu plnění smluvního vztahu ukončí plnění dodávek z důvodů překážek na straně Obchodníka, je povinen zaplatit Zákazníkovi smluvní pokutu ve výši součinu nedodaného množ</w:t>
      </w:r>
      <w:r>
        <w:t>ství elektřiny a jednotkové ceny stanovené jako rozdíl mezi maximální cenou náhradní dodávky stanovenou "dodavatelem poslední instance" a cenou za silovou elektřinu stanovenou ve Smlouvě. Úhradou této smluvní pokuty není dotčeno ani omezeno právo Zákazníka</w:t>
      </w:r>
      <w:r>
        <w:t xml:space="preserve"> na náhradu škody. Zákazník může v takovém případě odstoupit od Smlouvy postupem dle čl. VIII. odst. 4. těchto OPD.</w:t>
      </w:r>
    </w:p>
    <w:p w14:paraId="18F1E711" w14:textId="77777777" w:rsidR="001102E7" w:rsidRDefault="007034CD">
      <w:pPr>
        <w:pStyle w:val="Zkladntext1"/>
        <w:numPr>
          <w:ilvl w:val="0"/>
          <w:numId w:val="9"/>
        </w:numPr>
        <w:shd w:val="clear" w:color="auto" w:fill="auto"/>
        <w:tabs>
          <w:tab w:val="left" w:pos="274"/>
        </w:tabs>
        <w:spacing w:after="40"/>
        <w:jc w:val="both"/>
      </w:pPr>
      <w:r>
        <w:t xml:space="preserve">Není-li možné zahájit dodávku z důvodů překážek na straně Zákazníka, jiného dodavatele elektřiny nebo PDS, nejedná se o porušení povinnosti </w:t>
      </w:r>
      <w:r>
        <w:t>Obchodníka a Obchodník je oprávněn od Smlouvy odstoupit dle podmínek uvedených v čl. VIII. odst. 3. těchto OPD.</w:t>
      </w:r>
    </w:p>
    <w:p w14:paraId="133A239C" w14:textId="77777777" w:rsidR="001102E7" w:rsidRDefault="007034CD">
      <w:pPr>
        <w:pStyle w:val="Zkladntext1"/>
        <w:numPr>
          <w:ilvl w:val="0"/>
          <w:numId w:val="9"/>
        </w:numPr>
        <w:shd w:val="clear" w:color="auto" w:fill="auto"/>
        <w:tabs>
          <w:tab w:val="left" w:pos="274"/>
        </w:tabs>
        <w:spacing w:after="40"/>
        <w:jc w:val="both"/>
      </w:pPr>
      <w:r>
        <w:t xml:space="preserve">Nedojde-li k zahájení dodávky z důvodu neprovedení registrace změny dodavatele v systému operátora trhu OTE, pro překážky na straně Zákazníka a </w:t>
      </w:r>
      <w:r>
        <w:t>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w:t>
      </w:r>
      <w:r>
        <w:t>osti Obchodníka je Zákazník oprávněn od Smlouvy odstoupit.</w:t>
      </w:r>
    </w:p>
    <w:p w14:paraId="3874E67F" w14:textId="77777777" w:rsidR="001102E7" w:rsidRDefault="007034CD">
      <w:pPr>
        <w:pStyle w:val="Zkladntext1"/>
        <w:numPr>
          <w:ilvl w:val="0"/>
          <w:numId w:val="9"/>
        </w:numPr>
        <w:shd w:val="clear" w:color="auto" w:fill="auto"/>
        <w:tabs>
          <w:tab w:val="left" w:pos="274"/>
        </w:tabs>
        <w:spacing w:after="40"/>
        <w:jc w:val="both"/>
      </w:pPr>
      <w:r>
        <w:t>Obchodník neposkytuje distribuci elektřiny, pouze jako obchodník s elektřinou zajišťuje uzavření Smlouvy o distribuci pro Odběrné místo Zákazníka s příslušným PDS. Obchodník tudíž není odpovědný za</w:t>
      </w:r>
      <w:r>
        <w:t xml:space="preserve"> úroveň distribuce a systémových služeb poskytovaných příslušným PDS, včetně škod z této činnosti vzniklých, pokud byla řádně uzavřena Smlouva o distribuci s příslušným PDS. Standardy distribuce elektřiny jsou stanoveny ve vyhlášce č. 540/2005 Sb. Pokud st</w:t>
      </w:r>
      <w:r>
        <w:t xml:space="preserve">andarty distribuce elektřiny stanovené touto vyhláškou nejsou dodrženy, je Zákazník oprávněn po příslušném PDS požadovat náhradu postupem a ve výši stanovené vyhláškou č. 540/2005 Sb. Požadavek na dodržení standardu distribuce a náhradu za jeho nedodržení </w:t>
      </w:r>
      <w:r>
        <w:t>je Zákazník oprávněn uplatnit u Obchodníka a ten poskytne Zákazníkovi potřebnou součinnost při vymáhání plnění po příslušném PDS.</w:t>
      </w:r>
    </w:p>
    <w:p w14:paraId="77BB7345" w14:textId="77777777" w:rsidR="001102E7" w:rsidRDefault="007034CD">
      <w:pPr>
        <w:pStyle w:val="Zkladntext1"/>
        <w:numPr>
          <w:ilvl w:val="0"/>
          <w:numId w:val="9"/>
        </w:numPr>
        <w:shd w:val="clear" w:color="auto" w:fill="auto"/>
        <w:tabs>
          <w:tab w:val="left" w:pos="361"/>
        </w:tabs>
        <w:spacing w:after="40"/>
        <w:jc w:val="both"/>
      </w:pPr>
      <w:r>
        <w:t>Obchodník určí pro zajištění plynulého smluvního vztahu „</w:t>
      </w:r>
      <w:r>
        <w:rPr>
          <w:b/>
          <w:bCs/>
        </w:rPr>
        <w:t>Obchodního manažera</w:t>
      </w:r>
      <w:r>
        <w:t>“ jako stálou kontaktní osobu vybavenou příslušným</w:t>
      </w:r>
      <w:r>
        <w:t xml:space="preserve">i pravomocemi, která vstupuje do vzájemného obchodního vztahu jako spolehlivý komunikační partner a poradce v řešení otázek spojených s dodávkou a užitím elektrické energie. Zákazníkovi bude přidělen jeden konkrétní pracovník, který s ním bude v kontaktu, </w:t>
      </w:r>
      <w:r>
        <w:t>a díky němuž bude možné pružně reagovat na potřeby a požadavky, případně řešit vzniklé problémy. Obchodní manažer bude řešit i vztah k PDS.</w:t>
      </w:r>
    </w:p>
    <w:p w14:paraId="6D4215CD" w14:textId="77777777" w:rsidR="001102E7" w:rsidRDefault="007034CD">
      <w:pPr>
        <w:pStyle w:val="Zkladntext1"/>
        <w:numPr>
          <w:ilvl w:val="0"/>
          <w:numId w:val="9"/>
        </w:numPr>
        <w:shd w:val="clear" w:color="auto" w:fill="auto"/>
        <w:tabs>
          <w:tab w:val="left" w:pos="361"/>
        </w:tabs>
        <w:spacing w:after="40"/>
        <w:jc w:val="both"/>
      </w:pPr>
      <w:r>
        <w:t xml:space="preserve">Obchodník zajistí pro Zákazníka (mimo </w:t>
      </w:r>
      <w:r>
        <w:rPr>
          <w:b/>
          <w:bCs/>
        </w:rPr>
        <w:t>SMO</w:t>
      </w:r>
      <w:r>
        <w:t>, kdy podmínky pro zabezpečený zákaznický portál jsou řešeny v čl. 12.) slu</w:t>
      </w:r>
      <w:r>
        <w:t>žby zabezpečeného zákaznického portálu minimálně v následujícím rozsahu a podmínek:</w:t>
      </w:r>
    </w:p>
    <w:p w14:paraId="1B4B3D81" w14:textId="77777777" w:rsidR="001102E7" w:rsidRDefault="007034CD">
      <w:pPr>
        <w:pStyle w:val="Zkladntext1"/>
        <w:shd w:val="clear" w:color="auto" w:fill="auto"/>
        <w:spacing w:after="120"/>
        <w:ind w:left="580" w:hanging="280"/>
        <w:jc w:val="both"/>
      </w:pPr>
      <w:r>
        <w:rPr>
          <w:b/>
          <w:bCs/>
          <w:sz w:val="15"/>
          <w:szCs w:val="15"/>
        </w:rPr>
        <w:t xml:space="preserve">• </w:t>
      </w:r>
      <w:r>
        <w:t>Zákaznický portál je zabezpečená internetová aplikace dostupná na internetových stránkách Obchodníka, která je komunikační platformou mezi Obchodníkem a Zákazníkem, na je</w:t>
      </w:r>
      <w:r>
        <w:t>jímž základě jsou prostřednictvím aktuálně dostupných funkcí Zákazníkovi zpřístupňovány určité informace týkající se plnění souvisejícího se Smlouvou, a prostřednictvím které je Zákazník oprávněn určitým způsobem disponovat a měnit závazkový vztah ze Smlou</w:t>
      </w:r>
      <w:r>
        <w:t>vy. Užití Zákaznického portálu není zpoplatněno.</w:t>
      </w:r>
    </w:p>
    <w:p w14:paraId="30834439" w14:textId="77777777" w:rsidR="001102E7" w:rsidRDefault="007034CD">
      <w:pPr>
        <w:pStyle w:val="Zkladntext1"/>
        <w:shd w:val="clear" w:color="auto" w:fill="auto"/>
        <w:spacing w:after="120"/>
        <w:ind w:left="580" w:hanging="280"/>
        <w:jc w:val="both"/>
      </w:pPr>
      <w:r>
        <w:rPr>
          <w:b/>
          <w:bCs/>
          <w:sz w:val="15"/>
          <w:szCs w:val="15"/>
        </w:rPr>
        <w:t xml:space="preserve">• </w:t>
      </w:r>
      <w:r>
        <w:t>Požádá-li Zákazník Obchodníka o zřízení Zákazníkova účtu (dále jen „Účet“) na Zákaznickém portálu, Obchodník předá Zákazníkovi nejpozději do 20 kalendářních dní buď osobně, nebo způsobem dohodnutým ve Smlo</w:t>
      </w:r>
      <w:r>
        <w:t>uvě přihlašovací kódy k účtu a případně též jiné údaje, na základě, kterých bude Zákazník moci aktivovat na internetových stránkách Obchodníka svůj účet.</w:t>
      </w:r>
    </w:p>
    <w:p w14:paraId="36DD07B0" w14:textId="77777777" w:rsidR="001102E7" w:rsidRDefault="007034CD">
      <w:pPr>
        <w:pStyle w:val="Zkladntext1"/>
        <w:shd w:val="clear" w:color="auto" w:fill="auto"/>
        <w:spacing w:after="120"/>
        <w:ind w:firstLine="300"/>
        <w:jc w:val="both"/>
      </w:pPr>
      <w:r>
        <w:rPr>
          <w:b/>
          <w:bCs/>
          <w:sz w:val="15"/>
          <w:szCs w:val="15"/>
        </w:rPr>
        <w:t xml:space="preserve">• </w:t>
      </w:r>
      <w:r>
        <w:t>Zákaznický portál poskytuje Zákazníkovi následující funkce:</w:t>
      </w:r>
    </w:p>
    <w:p w14:paraId="587CC1A1" w14:textId="77777777" w:rsidR="001102E7" w:rsidRDefault="007034CD">
      <w:pPr>
        <w:pStyle w:val="Zkladntext1"/>
        <w:numPr>
          <w:ilvl w:val="0"/>
          <w:numId w:val="10"/>
        </w:numPr>
        <w:shd w:val="clear" w:color="auto" w:fill="auto"/>
        <w:tabs>
          <w:tab w:val="left" w:pos="1003"/>
        </w:tabs>
        <w:spacing w:after="40"/>
        <w:ind w:firstLine="720"/>
        <w:jc w:val="both"/>
      </w:pPr>
      <w:r>
        <w:rPr>
          <w:b/>
          <w:bCs/>
        </w:rPr>
        <w:t>informativní povahy</w:t>
      </w:r>
      <w:r>
        <w:t xml:space="preserve">, které </w:t>
      </w:r>
      <w:r>
        <w:t>Zákazníkovi zpřístupňují údaje týkající se plnění Smlouvy, a to například:</w:t>
      </w:r>
    </w:p>
    <w:p w14:paraId="451D1D66" w14:textId="77777777" w:rsidR="001102E7" w:rsidRDefault="007034CD">
      <w:pPr>
        <w:pStyle w:val="Zkladntext1"/>
        <w:shd w:val="clear" w:color="auto" w:fill="auto"/>
        <w:tabs>
          <w:tab w:val="left" w:pos="1390"/>
        </w:tabs>
        <w:spacing w:after="40"/>
        <w:ind w:left="1020"/>
        <w:jc w:val="both"/>
      </w:pPr>
      <w:proofErr w:type="spellStart"/>
      <w:r>
        <w:t>aa</w:t>
      </w:r>
      <w:proofErr w:type="spellEnd"/>
      <w:r>
        <w:t>)</w:t>
      </w:r>
      <w:r>
        <w:tab/>
        <w:t>smluvní a kontaktní údaje Zákazníka,</w:t>
      </w:r>
    </w:p>
    <w:p w14:paraId="08FD98B7" w14:textId="77777777" w:rsidR="001102E7" w:rsidRDefault="007034CD">
      <w:pPr>
        <w:pStyle w:val="Zkladntext1"/>
        <w:shd w:val="clear" w:color="auto" w:fill="auto"/>
        <w:tabs>
          <w:tab w:val="left" w:pos="1390"/>
        </w:tabs>
        <w:spacing w:after="40"/>
        <w:ind w:left="1020"/>
        <w:jc w:val="both"/>
      </w:pPr>
      <w:r>
        <w:t>ab)</w:t>
      </w:r>
      <w:r>
        <w:tab/>
        <w:t>fakturační údaje,</w:t>
      </w:r>
    </w:p>
    <w:p w14:paraId="03D862FA" w14:textId="77777777" w:rsidR="001102E7" w:rsidRDefault="007034CD">
      <w:pPr>
        <w:pStyle w:val="Zkladntext1"/>
        <w:shd w:val="clear" w:color="auto" w:fill="auto"/>
        <w:tabs>
          <w:tab w:val="left" w:pos="1381"/>
        </w:tabs>
        <w:spacing w:after="120"/>
        <w:ind w:left="1020"/>
        <w:jc w:val="both"/>
      </w:pPr>
      <w:proofErr w:type="spellStart"/>
      <w:r>
        <w:t>ac</w:t>
      </w:r>
      <w:proofErr w:type="spellEnd"/>
      <w:r>
        <w:t>)</w:t>
      </w:r>
      <w:r>
        <w:tab/>
        <w:t>údaje týkající se odběrného místa/odběrných míst,</w:t>
      </w:r>
    </w:p>
    <w:p w14:paraId="1F59B0AB" w14:textId="77777777" w:rsidR="001102E7" w:rsidRDefault="007034CD">
      <w:pPr>
        <w:pStyle w:val="Zkladntext1"/>
        <w:numPr>
          <w:ilvl w:val="0"/>
          <w:numId w:val="10"/>
        </w:numPr>
        <w:shd w:val="clear" w:color="auto" w:fill="auto"/>
        <w:tabs>
          <w:tab w:val="left" w:pos="1003"/>
        </w:tabs>
        <w:spacing w:after="40"/>
        <w:ind w:left="1020" w:hanging="300"/>
        <w:jc w:val="both"/>
      </w:pPr>
      <w:r>
        <w:rPr>
          <w:b/>
          <w:bCs/>
        </w:rPr>
        <w:t>oznamovací povahy</w:t>
      </w:r>
      <w:r>
        <w:t>, které Zákazníkovi umožňují oznamovat Obchodní</w:t>
      </w:r>
      <w:r>
        <w:t>kovi změny údajů uvedených ve Smlouvě, které nemají vliv na její změny, například změny:</w:t>
      </w:r>
    </w:p>
    <w:p w14:paraId="4EDB4B2A" w14:textId="77777777" w:rsidR="001102E7" w:rsidRDefault="007034CD">
      <w:pPr>
        <w:pStyle w:val="Zkladntext1"/>
        <w:shd w:val="clear" w:color="auto" w:fill="auto"/>
        <w:spacing w:after="220"/>
        <w:jc w:val="both"/>
      </w:pPr>
      <w:r>
        <w:t>ČÍSLO SMLOUVY ZÁKAZNÍKA:</w:t>
      </w:r>
    </w:p>
    <w:p w14:paraId="4DDF6931" w14:textId="77777777" w:rsidR="001102E7" w:rsidRDefault="007034CD">
      <w:pPr>
        <w:pStyle w:val="Zkladntext1"/>
        <w:shd w:val="clear" w:color="auto" w:fill="auto"/>
        <w:tabs>
          <w:tab w:val="left" w:pos="1370"/>
        </w:tabs>
        <w:spacing w:after="40"/>
        <w:ind w:firstLine="1000"/>
        <w:jc w:val="both"/>
      </w:pPr>
      <w:r>
        <w:lastRenderedPageBreak/>
        <w:t>bb)</w:t>
      </w:r>
      <w:r>
        <w:tab/>
        <w:t>zasílacích adres,</w:t>
      </w:r>
    </w:p>
    <w:p w14:paraId="0ED35BF7" w14:textId="77777777" w:rsidR="001102E7" w:rsidRDefault="007034CD">
      <w:pPr>
        <w:pStyle w:val="Zkladntext1"/>
        <w:shd w:val="clear" w:color="auto" w:fill="auto"/>
        <w:tabs>
          <w:tab w:val="left" w:pos="1361"/>
        </w:tabs>
        <w:spacing w:after="40"/>
        <w:ind w:firstLine="1000"/>
        <w:jc w:val="both"/>
      </w:pPr>
      <w:proofErr w:type="spellStart"/>
      <w:r>
        <w:t>bc</w:t>
      </w:r>
      <w:proofErr w:type="spellEnd"/>
      <w:r>
        <w:t>)</w:t>
      </w:r>
      <w:r>
        <w:tab/>
        <w:t>bankovních spojení,</w:t>
      </w:r>
    </w:p>
    <w:p w14:paraId="5D7BBA11" w14:textId="77777777" w:rsidR="001102E7" w:rsidRDefault="007034CD">
      <w:pPr>
        <w:pStyle w:val="Zkladntext1"/>
        <w:shd w:val="clear" w:color="auto" w:fill="auto"/>
        <w:tabs>
          <w:tab w:val="left" w:pos="1370"/>
        </w:tabs>
        <w:spacing w:after="120"/>
        <w:ind w:firstLine="1000"/>
        <w:jc w:val="both"/>
      </w:pPr>
      <w:proofErr w:type="spellStart"/>
      <w:r>
        <w:t>bd</w:t>
      </w:r>
      <w:proofErr w:type="spellEnd"/>
      <w:r>
        <w:t>)</w:t>
      </w:r>
      <w:r>
        <w:tab/>
        <w:t>e-mailu,</w:t>
      </w:r>
    </w:p>
    <w:p w14:paraId="6E9E05E0" w14:textId="77777777" w:rsidR="001102E7" w:rsidRDefault="007034CD">
      <w:pPr>
        <w:pStyle w:val="Zkladntext1"/>
        <w:numPr>
          <w:ilvl w:val="0"/>
          <w:numId w:val="10"/>
        </w:numPr>
        <w:shd w:val="clear" w:color="auto" w:fill="auto"/>
        <w:tabs>
          <w:tab w:val="left" w:pos="1001"/>
        </w:tabs>
        <w:spacing w:after="40"/>
        <w:ind w:firstLine="720"/>
        <w:jc w:val="both"/>
      </w:pPr>
      <w:r>
        <w:rPr>
          <w:b/>
          <w:bCs/>
        </w:rPr>
        <w:t>Elektronická fakturace</w:t>
      </w:r>
    </w:p>
    <w:p w14:paraId="3F544B33" w14:textId="77777777" w:rsidR="001102E7" w:rsidRDefault="007034CD">
      <w:pPr>
        <w:pStyle w:val="Zkladntext1"/>
        <w:shd w:val="clear" w:color="auto" w:fill="auto"/>
        <w:spacing w:after="120"/>
        <w:ind w:left="1000"/>
        <w:jc w:val="both"/>
      </w:pPr>
      <w:r>
        <w:t xml:space="preserve">Zákazník může na Zákaznickém portálu zažádat o </w:t>
      </w:r>
      <w:r>
        <w:t xml:space="preserve">aktivaci služby elektronické fakturace, na jejímž základě budou veškeré následně vystavené faktury doručovány Zákazníkovi jejich uložením ve formátu PDF na jeho Účtu v Zákaznickém portálu a současně zasílány na emailovou adresu Zákazníka, namísto zasílání </w:t>
      </w:r>
      <w:r>
        <w:t>prostřednictvím provozovatele poštovních služeb, pokud se ve Smlouvě a v těchto OPD nedohodnou obě smluvní strany jinak.</w:t>
      </w:r>
    </w:p>
    <w:p w14:paraId="1FD5C1DD" w14:textId="77777777" w:rsidR="001102E7" w:rsidRDefault="007034CD">
      <w:pPr>
        <w:pStyle w:val="Zkladntext1"/>
        <w:shd w:val="clear" w:color="auto" w:fill="auto"/>
        <w:spacing w:after="120"/>
        <w:ind w:left="580" w:hanging="280"/>
        <w:jc w:val="both"/>
      </w:pPr>
      <w:r>
        <w:rPr>
          <w:b/>
          <w:bCs/>
          <w:sz w:val="15"/>
          <w:szCs w:val="15"/>
        </w:rPr>
        <w:t xml:space="preserve">• </w:t>
      </w:r>
      <w:r>
        <w:t>Obchodník je oprávněn podmínit přihlašování na Účet, navrhování změn Smlouvy či aktivaci některých služeb Zákaznického portálu zaslán</w:t>
      </w:r>
      <w:r>
        <w:t>ím SMS zprávy s ověřovacím kódem, který bude nutné pro tyto účely do Zákaznického portálu zadat či jiným vhodným způsobem ověřovat totožnost Zákazníka. Obchodník je také oprávněn požadovat po Zákazníkovi pro tyto účely doložení úředních dokladů, považuje-l</w:t>
      </w:r>
      <w:r>
        <w:t>i to pro dané jednání za potřebné.</w:t>
      </w:r>
    </w:p>
    <w:p w14:paraId="667B090F" w14:textId="77777777" w:rsidR="001102E7" w:rsidRDefault="007034CD">
      <w:pPr>
        <w:pStyle w:val="Zkladntext1"/>
        <w:shd w:val="clear" w:color="auto" w:fill="auto"/>
        <w:spacing w:after="120"/>
        <w:ind w:left="580" w:hanging="280"/>
        <w:jc w:val="both"/>
      </w:pPr>
      <w:r>
        <w:rPr>
          <w:b/>
          <w:bCs/>
          <w:sz w:val="15"/>
          <w:szCs w:val="15"/>
        </w:rPr>
        <w:t xml:space="preserve">• </w:t>
      </w:r>
      <w:r>
        <w:t>Obchodník je povinen technicky zabezpečit ochranu a důvěrnost údajů obsažených na Účtech Zákaznického portálu. Zákazník je povinen zabezpečit přihlašovací údaje k Účtu a datové nosiče, na nichž jsou tyto údaje a veškeré</w:t>
      </w:r>
      <w:r>
        <w:t xml:space="preserve"> s nimi související údaje uloženy takovým způsobem, aby nemohly být zneužity neoprávněnými osobami. Za tímto účelem Zákazník učiní veškerá nezbytná opatření, která lze po něm rozumně požadovat. Obchodník neodpovídá za zneužití přihlašovacích údajů k Účtu n</w:t>
      </w:r>
      <w:r>
        <w:t>eoprávněnou osobou. Jakmile se Zákazník dozví o zneužití nebo o možnosti zneužití jeho přihlašovacích údajů, je tuto skutečnost povinen okamžitě nahlásit Obchodníkovi.</w:t>
      </w:r>
    </w:p>
    <w:p w14:paraId="1917731F" w14:textId="77777777" w:rsidR="001102E7" w:rsidRDefault="007034CD">
      <w:pPr>
        <w:pStyle w:val="Zkladntext1"/>
        <w:shd w:val="clear" w:color="auto" w:fill="auto"/>
        <w:spacing w:after="120"/>
        <w:ind w:left="580" w:hanging="280"/>
        <w:jc w:val="both"/>
      </w:pPr>
      <w:r>
        <w:rPr>
          <w:b/>
          <w:bCs/>
          <w:sz w:val="15"/>
          <w:szCs w:val="15"/>
        </w:rPr>
        <w:t xml:space="preserve">• </w:t>
      </w:r>
      <w:r>
        <w:t>Dojde-li k zániku Smlouvy, Zákazník bude moci Zákaznický portál užívat ještě 12 měsíců</w:t>
      </w:r>
      <w:r>
        <w:t xml:space="preserve"> od zániku Smlouvy. Zákazník může kdykoliv používání Zákaznického portálu ukončit, je však povinen tuto skutečnost bez zbytečného odkladu písemně oznámit Obchodníkovi.</w:t>
      </w:r>
    </w:p>
    <w:p w14:paraId="33A82A9A" w14:textId="77777777" w:rsidR="001102E7" w:rsidRDefault="007034CD">
      <w:pPr>
        <w:pStyle w:val="Zkladntext1"/>
        <w:shd w:val="clear" w:color="auto" w:fill="auto"/>
        <w:spacing w:after="340"/>
        <w:ind w:left="580" w:hanging="280"/>
        <w:jc w:val="both"/>
      </w:pPr>
      <w:r>
        <w:rPr>
          <w:b/>
          <w:bCs/>
          <w:sz w:val="15"/>
          <w:szCs w:val="15"/>
        </w:rPr>
        <w:t xml:space="preserve">• </w:t>
      </w:r>
      <w:r>
        <w:t xml:space="preserve">Nebude-li Zákazníkovi umožněn přístup do Zákaznického portálu Obchodníka dle vymezení </w:t>
      </w:r>
      <w:r>
        <w:t>v odst. 11 tohoto článku, má Zákazník nárok na smluvní pokutu ve výši 500 Kč za každý kalendářní den, kdy mu nebyl takový přístup umožněn, pokud se nejedná o plánované odstávky Zákaznického portálu z důvodů údržby systému, vyšší moci apod. Úhradou této sml</w:t>
      </w:r>
      <w:r>
        <w:t>uvní pokuty není dotčeno právo Zákazníka na náhradu škody.</w:t>
      </w:r>
    </w:p>
    <w:p w14:paraId="55773494" w14:textId="77777777" w:rsidR="001102E7" w:rsidRDefault="007034CD">
      <w:pPr>
        <w:pStyle w:val="Zkladntext1"/>
        <w:numPr>
          <w:ilvl w:val="0"/>
          <w:numId w:val="9"/>
        </w:numPr>
        <w:shd w:val="clear" w:color="auto" w:fill="auto"/>
        <w:tabs>
          <w:tab w:val="left" w:pos="361"/>
        </w:tabs>
        <w:spacing w:after="40"/>
        <w:jc w:val="both"/>
      </w:pPr>
      <w:r>
        <w:t xml:space="preserve">Obchodník zajistí pro SMO služby centrálního přístupu do zabezpečeného zákaznického portálu, pomocí kterého bude mít SMO přístup k informacím mezi Obchodníkem a všemi Zákazníky, se kterými byla na </w:t>
      </w:r>
      <w:r>
        <w:t>základě výsledku zadávacího řízení veřejné zakázky „Dodávky elektrické energie pro statutární město Ostrava a městské organizace na rok 2025“ uzavřena Smlouva. Tento portál bude splňovat následující požadavky:</w:t>
      </w:r>
    </w:p>
    <w:p w14:paraId="5928FB6A" w14:textId="77777777" w:rsidR="001102E7" w:rsidRDefault="007034CD">
      <w:pPr>
        <w:pStyle w:val="Zkladntext1"/>
        <w:shd w:val="clear" w:color="auto" w:fill="auto"/>
        <w:spacing w:after="120"/>
        <w:ind w:left="580" w:hanging="280"/>
        <w:jc w:val="both"/>
      </w:pPr>
      <w:r>
        <w:rPr>
          <w:b/>
          <w:bCs/>
          <w:sz w:val="15"/>
          <w:szCs w:val="15"/>
        </w:rPr>
        <w:t xml:space="preserve">• </w:t>
      </w:r>
      <w:r>
        <w:t xml:space="preserve">Zákaznický portál je zabezpečená </w:t>
      </w:r>
      <w:r>
        <w:t>internetová aplikace dostupná na internetových stránkách Obchodníka, kde budou SMO zpřístupňovány informace týkající se plnění souvisejícího se Smlouvami uzavřenými mezi Obchodníkem a jednotlivými Zákazníky. Užití Zákaznického portálu není zpoplatněno.</w:t>
      </w:r>
    </w:p>
    <w:p w14:paraId="1441EFB2" w14:textId="77777777" w:rsidR="001102E7" w:rsidRDefault="007034CD">
      <w:pPr>
        <w:pStyle w:val="Zkladntext1"/>
        <w:shd w:val="clear" w:color="auto" w:fill="auto"/>
        <w:spacing w:after="120"/>
        <w:ind w:left="580" w:hanging="280"/>
        <w:jc w:val="both"/>
      </w:pPr>
      <w:r>
        <w:rPr>
          <w:b/>
          <w:bCs/>
          <w:sz w:val="15"/>
          <w:szCs w:val="15"/>
        </w:rPr>
        <w:t xml:space="preserve">• </w:t>
      </w:r>
      <w:r>
        <w:t>P</w:t>
      </w:r>
      <w:r>
        <w:t>ožádá-li SMO o zřízení samostatného účtu (dále jen „Účet“) na Zákaznickém portálu, Obchodník předá SMO nejpozději do 5 kalendářních dní buď osobně, nebo jiným způsobem na základě společné dohody, přihlašovací kódy k účtu a případně též jiné údaje, na zákla</w:t>
      </w:r>
      <w:r>
        <w:t>dě kterých, bude SMO moci aktivovat na internetových stránkách Obchodníka svůj účet.</w:t>
      </w:r>
    </w:p>
    <w:p w14:paraId="40953F81" w14:textId="77777777" w:rsidR="001102E7" w:rsidRDefault="007034CD">
      <w:pPr>
        <w:pStyle w:val="Zkladntext1"/>
        <w:shd w:val="clear" w:color="auto" w:fill="auto"/>
        <w:spacing w:after="120" w:line="257" w:lineRule="auto"/>
        <w:ind w:firstLine="300"/>
        <w:jc w:val="both"/>
      </w:pPr>
      <w:r>
        <w:rPr>
          <w:b/>
          <w:bCs/>
          <w:sz w:val="15"/>
          <w:szCs w:val="15"/>
        </w:rPr>
        <w:t xml:space="preserve">• </w:t>
      </w:r>
      <w:r>
        <w:t>Zákaznický portál poskytuje SMO následující funkce:</w:t>
      </w:r>
    </w:p>
    <w:p w14:paraId="38B20869" w14:textId="77777777" w:rsidR="001102E7" w:rsidRDefault="007034CD">
      <w:pPr>
        <w:pStyle w:val="Zkladntext1"/>
        <w:numPr>
          <w:ilvl w:val="0"/>
          <w:numId w:val="11"/>
        </w:numPr>
        <w:shd w:val="clear" w:color="auto" w:fill="auto"/>
        <w:tabs>
          <w:tab w:val="left" w:pos="1001"/>
        </w:tabs>
        <w:spacing w:after="40"/>
        <w:ind w:left="1000" w:hanging="360"/>
        <w:jc w:val="both"/>
      </w:pPr>
      <w:r>
        <w:rPr>
          <w:b/>
          <w:bCs/>
        </w:rPr>
        <w:t>Informativní povahy</w:t>
      </w:r>
      <w:r>
        <w:t xml:space="preserve">, které SMO zpřístupňují údaje týkající se plnění Smluv uzavřených mezi Obchodníkem a </w:t>
      </w:r>
      <w:r>
        <w:t>jednotlivými Zákazníky, a to například:</w:t>
      </w:r>
    </w:p>
    <w:p w14:paraId="20F9881A" w14:textId="77777777" w:rsidR="001102E7" w:rsidRDefault="007034CD">
      <w:pPr>
        <w:pStyle w:val="Zkladntext1"/>
        <w:shd w:val="clear" w:color="auto" w:fill="auto"/>
        <w:spacing w:after="120"/>
        <w:ind w:left="1000"/>
        <w:jc w:val="both"/>
      </w:pPr>
      <w:proofErr w:type="spellStart"/>
      <w:r>
        <w:t>aa</w:t>
      </w:r>
      <w:proofErr w:type="spellEnd"/>
      <w:r>
        <w:t>) údaje týkající se odběrného místa/odběrných míst v rozsahu fakturačních údajů dle Vyhlášky č. 70/2016 Sb. s možností exportu takových údajů jednotlivě pro každého Zákazníka/souhrnně pro všechny Zákazníky.</w:t>
      </w:r>
    </w:p>
    <w:p w14:paraId="1FE70CC3" w14:textId="77777777" w:rsidR="001102E7" w:rsidRDefault="007034CD">
      <w:pPr>
        <w:pStyle w:val="Nadpis30"/>
        <w:keepNext/>
        <w:keepLines/>
        <w:numPr>
          <w:ilvl w:val="0"/>
          <w:numId w:val="11"/>
        </w:numPr>
        <w:shd w:val="clear" w:color="auto" w:fill="auto"/>
        <w:tabs>
          <w:tab w:val="left" w:pos="1001"/>
        </w:tabs>
        <w:spacing w:after="40"/>
        <w:ind w:firstLine="640"/>
        <w:jc w:val="both"/>
      </w:pPr>
      <w:bookmarkStart w:id="36" w:name="bookmark36"/>
      <w:bookmarkStart w:id="37" w:name="bookmark37"/>
      <w:r>
        <w:t>Přehled</w:t>
      </w:r>
      <w:r>
        <w:t xml:space="preserve"> fakturace</w:t>
      </w:r>
      <w:bookmarkEnd w:id="36"/>
      <w:bookmarkEnd w:id="37"/>
    </w:p>
    <w:p w14:paraId="7DE15AF8" w14:textId="77777777" w:rsidR="001102E7" w:rsidRDefault="007034CD">
      <w:pPr>
        <w:pStyle w:val="Zkladntext1"/>
        <w:shd w:val="clear" w:color="auto" w:fill="auto"/>
        <w:spacing w:after="120"/>
        <w:ind w:left="1000"/>
        <w:jc w:val="both"/>
      </w:pPr>
      <w:r>
        <w:t>SMO může na Zákaznickém portálu zobrazit přehled fakturace, mezi Obchodníkem a Zákazníky. Současně má možnost po provedeném vyúčtování ze strany Obchodníka exportovat údaje o uhrazených platbách jednotlivě pro každého Zákazníka/souhrnně pro všec</w:t>
      </w:r>
      <w:r>
        <w:t>hny Zákazníky. Pokud Zákaznický portál Obchodníka neumožňuje zajistit tuto funkcionalitu, pak Obchodník zajistí zasílání fakturačních údajů v dohodnutých intervalech (měsíčně, kvartálně či ročně) na určené e-mailové adresy.</w:t>
      </w:r>
    </w:p>
    <w:p w14:paraId="496BDCE5" w14:textId="77777777" w:rsidR="001102E7" w:rsidRDefault="007034CD">
      <w:pPr>
        <w:pStyle w:val="Zkladntext1"/>
        <w:shd w:val="clear" w:color="auto" w:fill="auto"/>
        <w:spacing w:after="120"/>
        <w:ind w:left="580" w:hanging="280"/>
        <w:jc w:val="both"/>
      </w:pPr>
      <w:r>
        <w:rPr>
          <w:b/>
          <w:bCs/>
          <w:sz w:val="15"/>
          <w:szCs w:val="15"/>
        </w:rPr>
        <w:t xml:space="preserve">• </w:t>
      </w:r>
      <w:r>
        <w:t>Obchodník je povinen technicky</w:t>
      </w:r>
      <w:r>
        <w:t xml:space="preserve"> zabezpečit ochranu a důvěrnost údajů obsažených na Účtech Zákaznického portálu. SMO je povinno zabezpečit přihlašovací údaje k Účtu a datové nosiče, na nichž jsou tyto údaje a veškeré s nimi související údaje uloženy takovým způsobem, aby nemohly být zneu</w:t>
      </w:r>
      <w:r>
        <w:t xml:space="preserve">žity neoprávněnými osobami. Za tímto účelem SMO učiní veškerá nezbytná opatření, která lze po něm rozumně požadovat. Obchodník neodpovídá za zneužití přihlašovacích údajů k Účtu neoprávněnou osobou. Jakmile se SMO dozví o zneužití nebo o možnosti zneužití </w:t>
      </w:r>
      <w:r>
        <w:t>jeho přihlašovacích údajů, je tuto skutečnost povinen okamžitě nahlásit Obchodníkovi.</w:t>
      </w:r>
    </w:p>
    <w:p w14:paraId="4A062052" w14:textId="77777777" w:rsidR="001102E7" w:rsidRDefault="007034CD">
      <w:pPr>
        <w:pStyle w:val="Zkladntext1"/>
        <w:shd w:val="clear" w:color="auto" w:fill="auto"/>
        <w:spacing w:after="120"/>
        <w:ind w:firstLine="300"/>
        <w:jc w:val="both"/>
      </w:pPr>
      <w:r>
        <w:rPr>
          <w:b/>
          <w:bCs/>
          <w:sz w:val="15"/>
          <w:szCs w:val="15"/>
        </w:rPr>
        <w:t xml:space="preserve">• </w:t>
      </w:r>
      <w:r>
        <w:t>Dojde-li k zániku Smlouvy, SMO bude moci Zákaznický portál užívat ještě 12 měsíců od zániku Smlouvy.</w:t>
      </w:r>
    </w:p>
    <w:p w14:paraId="6812CF8A" w14:textId="77777777" w:rsidR="001102E7" w:rsidRDefault="007034CD">
      <w:pPr>
        <w:pStyle w:val="Zkladntext1"/>
        <w:shd w:val="clear" w:color="auto" w:fill="auto"/>
        <w:spacing w:after="120"/>
        <w:ind w:left="580" w:hanging="280"/>
        <w:jc w:val="both"/>
      </w:pPr>
      <w:r>
        <w:rPr>
          <w:b/>
          <w:bCs/>
          <w:sz w:val="15"/>
          <w:szCs w:val="15"/>
        </w:rPr>
        <w:t xml:space="preserve">• </w:t>
      </w:r>
      <w:r>
        <w:t xml:space="preserve">Nebude-li SMO umožněn přístup do Zákaznického portálu Obchodníka </w:t>
      </w:r>
      <w:r>
        <w:t xml:space="preserve">dle vymezení v odst. 12 tohoto článku, má SMO nárok na smluvní pokutu ve výši 500 Kč za každý kalendářní den, kdy mu nebyl takový přístup umožněn, pokud se nejedná o plánované odstávky Zákaznického portálu z důvodů údržby systému, vyšší moci apod. Úhradou </w:t>
      </w:r>
      <w:r>
        <w:t>této smluvní pokuty není dotčeno právo Zákazníka na náhradu škody</w:t>
      </w:r>
    </w:p>
    <w:p w14:paraId="34B0D499" w14:textId="77777777" w:rsidR="001102E7" w:rsidRDefault="007034CD">
      <w:pPr>
        <w:pStyle w:val="Zkladntext1"/>
        <w:shd w:val="clear" w:color="auto" w:fill="auto"/>
        <w:spacing w:after="760"/>
        <w:jc w:val="both"/>
      </w:pPr>
      <w:r>
        <w:t>ČÍSLO SMLOUVY ZÁKAZNÍKA:</w:t>
      </w:r>
    </w:p>
    <w:p w14:paraId="7ED8C7E5" w14:textId="77777777" w:rsidR="001102E7" w:rsidRDefault="007034CD">
      <w:pPr>
        <w:pStyle w:val="Nadpis30"/>
        <w:keepNext/>
        <w:keepLines/>
        <w:numPr>
          <w:ilvl w:val="0"/>
          <w:numId w:val="7"/>
        </w:numPr>
        <w:shd w:val="clear" w:color="auto" w:fill="auto"/>
        <w:tabs>
          <w:tab w:val="left" w:pos="318"/>
        </w:tabs>
      </w:pPr>
      <w:bookmarkStart w:id="38" w:name="bookmark38"/>
      <w:bookmarkStart w:id="39" w:name="bookmark39"/>
      <w:r>
        <w:t>Povinnosti Zákazníka</w:t>
      </w:r>
      <w:bookmarkEnd w:id="38"/>
      <w:bookmarkEnd w:id="39"/>
    </w:p>
    <w:p w14:paraId="5D79A5FC" w14:textId="77777777" w:rsidR="001102E7" w:rsidRDefault="007034CD">
      <w:pPr>
        <w:pStyle w:val="Zkladntext1"/>
        <w:numPr>
          <w:ilvl w:val="0"/>
          <w:numId w:val="12"/>
        </w:numPr>
        <w:shd w:val="clear" w:color="auto" w:fill="auto"/>
        <w:tabs>
          <w:tab w:val="left" w:pos="279"/>
        </w:tabs>
        <w:jc w:val="both"/>
      </w:pPr>
      <w:r>
        <w:t xml:space="preserve">Zákazník se zavazuje elektřinu dodávanou ze strany Obchodníka odebírat a za dodávky elektřiny platit cenu ve výši stanovené </w:t>
      </w:r>
      <w:r>
        <w:lastRenderedPageBreak/>
        <w:t xml:space="preserve">na základě </w:t>
      </w:r>
      <w:r>
        <w:t>Smlouvy a OPD.</w:t>
      </w:r>
    </w:p>
    <w:p w14:paraId="1EE18FE3" w14:textId="77777777" w:rsidR="001102E7" w:rsidRDefault="007034CD">
      <w:pPr>
        <w:pStyle w:val="Zkladntext1"/>
        <w:numPr>
          <w:ilvl w:val="0"/>
          <w:numId w:val="12"/>
        </w:numPr>
        <w:shd w:val="clear" w:color="auto" w:fill="auto"/>
        <w:tabs>
          <w:tab w:val="left" w:pos="279"/>
        </w:tabs>
        <w:jc w:val="both"/>
      </w:pPr>
      <w:r>
        <w:t>Zákazník se zavazuje zaplatit Obchodníkovi za distribuci elektřiny cenu stanovenou příslušným právním předpisem („regulovaná cena“) ve výši podle platného cenového rozhodnutí Energetického regulačního úřadu („ERÚ“).</w:t>
      </w:r>
    </w:p>
    <w:p w14:paraId="4E59BB0D" w14:textId="77777777" w:rsidR="001102E7" w:rsidRDefault="007034CD">
      <w:pPr>
        <w:pStyle w:val="Zkladntext1"/>
        <w:numPr>
          <w:ilvl w:val="0"/>
          <w:numId w:val="12"/>
        </w:numPr>
        <w:shd w:val="clear" w:color="auto" w:fill="auto"/>
        <w:tabs>
          <w:tab w:val="left" w:pos="279"/>
        </w:tabs>
        <w:jc w:val="both"/>
      </w:pPr>
      <w:r>
        <w:t>Zákazník je povinen zajis</w:t>
      </w:r>
      <w:r>
        <w:t>tit připojení svých OM k distribuční soustavě příslušného PDS způsobem a v souladu s Energetickým zákonem. Uzavření smlouvy o připojení je podmínkou pro zajištění distribuce elektřiny a souvisejících služeb dodávky ze strany Obchodníka.</w:t>
      </w:r>
    </w:p>
    <w:p w14:paraId="6369B56A" w14:textId="77777777" w:rsidR="001102E7" w:rsidRDefault="007034CD">
      <w:pPr>
        <w:pStyle w:val="Zkladntext1"/>
        <w:numPr>
          <w:ilvl w:val="0"/>
          <w:numId w:val="12"/>
        </w:numPr>
        <w:shd w:val="clear" w:color="auto" w:fill="auto"/>
        <w:tabs>
          <w:tab w:val="left" w:pos="279"/>
        </w:tabs>
        <w:jc w:val="both"/>
      </w:pPr>
      <w:r>
        <w:t>Zákazník je povinen</w:t>
      </w:r>
      <w:r>
        <w:t xml:space="preserve"> ukončit ke dni zahájení dodávky dle Smlouvy účinnost všech stávajících smluv, které má uzavřeny s obchodníky s elektřinou nebo výrobci elektřiny pro dodávky a distribuci elektřiny do OM. Zákazník je povinen po dobu trvání Smlouvy nebýt účastníkem smluvníc</w:t>
      </w:r>
      <w:r>
        <w:t>h vztahů s jiným dodavatelem nebo obchodníkem s elektřinou, jejichž předmětem by byla dodávka elektřiny do OM. To se netýká smluv, jejichž předmětem je dodávka elektřiny z OM do distribuční soustavy. Porušení povinnosti Zákazníka dle tohoto odstavce je pov</w:t>
      </w:r>
      <w:r>
        <w:t>ažováno za podstatné porušení Smlouvy a Obchodník je v takovém případě oprávněn od Smlouvy odstoupit dle podmínek uvedených v čl. VIII. odst. 3. OPD.</w:t>
      </w:r>
    </w:p>
    <w:p w14:paraId="69619F96" w14:textId="77777777" w:rsidR="001102E7" w:rsidRDefault="007034CD">
      <w:pPr>
        <w:pStyle w:val="Zkladntext1"/>
        <w:numPr>
          <w:ilvl w:val="0"/>
          <w:numId w:val="12"/>
        </w:numPr>
        <w:shd w:val="clear" w:color="auto" w:fill="auto"/>
        <w:tabs>
          <w:tab w:val="left" w:pos="279"/>
        </w:tabs>
        <w:jc w:val="both"/>
      </w:pPr>
      <w:r>
        <w:t xml:space="preserve">Zákazník je povinný poskytnout Obchodníkovi potřebnou součinnost k ukončení smluvních vztahů s předchozím </w:t>
      </w:r>
      <w:r>
        <w:t>dodavatelem elektřiny Zákazníka a k provedení registrace změny dodavatele v systému operátora trhu OTE.</w:t>
      </w:r>
    </w:p>
    <w:p w14:paraId="613435E6" w14:textId="77777777" w:rsidR="001102E7" w:rsidRDefault="007034CD">
      <w:pPr>
        <w:pStyle w:val="Zkladntext1"/>
        <w:numPr>
          <w:ilvl w:val="0"/>
          <w:numId w:val="12"/>
        </w:numPr>
        <w:shd w:val="clear" w:color="auto" w:fill="auto"/>
        <w:tabs>
          <w:tab w:val="left" w:pos="279"/>
        </w:tabs>
        <w:jc w:val="both"/>
      </w:pPr>
      <w:r>
        <w:t>Zákazník se zavazuje nepřekročit sjednaný rezervovaný příkon (hodnotu hl. jističe v A) sjednaný smlouvou o připojení s příslušným PDS. Překročí-li Zákaz</w:t>
      </w:r>
      <w:r>
        <w:t>ník hodnotu rezervovaného příkonu, odpovídá za škody vzniklé v souvislosti s takovým překročením.</w:t>
      </w:r>
    </w:p>
    <w:p w14:paraId="2B04B4CA" w14:textId="77777777" w:rsidR="001102E7" w:rsidRDefault="007034CD">
      <w:pPr>
        <w:pStyle w:val="Zkladntext1"/>
        <w:numPr>
          <w:ilvl w:val="0"/>
          <w:numId w:val="12"/>
        </w:numPr>
        <w:shd w:val="clear" w:color="auto" w:fill="auto"/>
        <w:tabs>
          <w:tab w:val="left" w:pos="279"/>
        </w:tabs>
        <w:spacing w:after="360"/>
        <w:jc w:val="both"/>
      </w:pPr>
      <w:r>
        <w:t>O změnu produktu/distribuční sazby může Zákazník požádat v souladu s podmínkami PDS prostřednictvím Obchodníka.</w:t>
      </w:r>
    </w:p>
    <w:p w14:paraId="6E986300" w14:textId="77777777" w:rsidR="001102E7" w:rsidRDefault="007034CD">
      <w:pPr>
        <w:pStyle w:val="Nadpis30"/>
        <w:keepNext/>
        <w:keepLines/>
        <w:numPr>
          <w:ilvl w:val="0"/>
          <w:numId w:val="7"/>
        </w:numPr>
        <w:shd w:val="clear" w:color="auto" w:fill="auto"/>
        <w:tabs>
          <w:tab w:val="left" w:pos="337"/>
        </w:tabs>
      </w:pPr>
      <w:bookmarkStart w:id="40" w:name="bookmark40"/>
      <w:bookmarkStart w:id="41" w:name="bookmark41"/>
      <w:r>
        <w:t>Měření dodávek elektřiny</w:t>
      </w:r>
      <w:bookmarkEnd w:id="40"/>
      <w:bookmarkEnd w:id="41"/>
    </w:p>
    <w:p w14:paraId="671AEAFD" w14:textId="77777777" w:rsidR="001102E7" w:rsidRDefault="007034CD">
      <w:pPr>
        <w:pStyle w:val="Zkladntext1"/>
        <w:numPr>
          <w:ilvl w:val="0"/>
          <w:numId w:val="13"/>
        </w:numPr>
        <w:shd w:val="clear" w:color="auto" w:fill="auto"/>
        <w:tabs>
          <w:tab w:val="left" w:pos="279"/>
        </w:tabs>
        <w:jc w:val="both"/>
      </w:pPr>
      <w:r>
        <w:t>Pro vyhodnocení dodáv</w:t>
      </w:r>
      <w:r>
        <w:t>ek elektřiny jsou podkladem odečty měřicího zařízení v OM prováděné příslušným PDS na základě a v souladu s Energetickým zákonem.</w:t>
      </w:r>
    </w:p>
    <w:p w14:paraId="0EB5CCA5" w14:textId="77777777" w:rsidR="001102E7" w:rsidRDefault="007034CD">
      <w:pPr>
        <w:pStyle w:val="Zkladntext1"/>
        <w:numPr>
          <w:ilvl w:val="0"/>
          <w:numId w:val="13"/>
        </w:numPr>
        <w:shd w:val="clear" w:color="auto" w:fill="auto"/>
        <w:tabs>
          <w:tab w:val="left" w:pos="279"/>
        </w:tabs>
        <w:jc w:val="both"/>
      </w:pPr>
      <w:r>
        <w:t>Měření dodávek elektřiny dle Smlouvy a předávání skutečných naměřených hodnot OTE za účelem vyhodnocení odchylek zajišťuje pří</w:t>
      </w:r>
      <w:r>
        <w:t>slušný PDS na základě a v souladu s Energetickým zákonem.</w:t>
      </w:r>
    </w:p>
    <w:p w14:paraId="6F789C85" w14:textId="77777777" w:rsidR="001102E7" w:rsidRDefault="007034CD">
      <w:pPr>
        <w:pStyle w:val="Zkladntext1"/>
        <w:numPr>
          <w:ilvl w:val="0"/>
          <w:numId w:val="13"/>
        </w:numPr>
        <w:shd w:val="clear" w:color="auto" w:fill="auto"/>
        <w:tabs>
          <w:tab w:val="left" w:pos="279"/>
        </w:tabs>
        <w:jc w:val="both"/>
      </w:pPr>
      <w:r>
        <w:t>Měření dodávek elektřiny je možné i na základě samoodečtu Zákazníkem za jiné období, než je období ukončené řádným odečtem elektřiny provedeném PDS. V tomto případě Obchodník provede mimořádnou fakt</w:t>
      </w:r>
      <w:r>
        <w:t>uraci za předpokladu, že Zákazník dodá samoodečet Obchodníkovi dohodnutým způsobem a v dohodnutém formátu nejpozději do 24.00 hodin druhého pracovního dne po skončení posledního kalendářního měsíce v období, pro které bude mimořádná fakturace dohodnuta. Po</w:t>
      </w:r>
      <w:r>
        <w:t>kud tento termín nebude dodržen, není Obchodník povinen vystavit fakturu za jiné než řádné odečtové období prováděné PDS.</w:t>
      </w:r>
    </w:p>
    <w:p w14:paraId="01199E92" w14:textId="77777777" w:rsidR="001102E7" w:rsidRDefault="007034CD">
      <w:pPr>
        <w:pStyle w:val="Zkladntext1"/>
        <w:numPr>
          <w:ilvl w:val="0"/>
          <w:numId w:val="13"/>
        </w:numPr>
        <w:shd w:val="clear" w:color="auto" w:fill="auto"/>
        <w:tabs>
          <w:tab w:val="left" w:pos="279"/>
        </w:tabs>
        <w:jc w:val="both"/>
      </w:pPr>
      <w:r>
        <w:t>Zákazník je povinen závady na měřicích zařízeních, včetně porušení zajištění proti neoprávněné manipulaci, které zjistí, neprodleně oz</w:t>
      </w:r>
      <w:r>
        <w:t>námit Obchodníkovi a příslušnému PDS. Jakýkoliv zásah do měřicího zařízení příslušného PDS je nepřípustný.</w:t>
      </w:r>
    </w:p>
    <w:p w14:paraId="4EE4EB14" w14:textId="77777777" w:rsidR="001102E7" w:rsidRDefault="007034CD">
      <w:pPr>
        <w:pStyle w:val="Zkladntext1"/>
        <w:numPr>
          <w:ilvl w:val="0"/>
          <w:numId w:val="13"/>
        </w:numPr>
        <w:shd w:val="clear" w:color="auto" w:fill="auto"/>
        <w:tabs>
          <w:tab w:val="left" w:pos="279"/>
        </w:tabs>
        <w:jc w:val="both"/>
      </w:pPr>
      <w:r>
        <w:t>Zákazník se zavazuje umožnit příslušnému zaměstnanci PDS nebo Obchodníka přístup k měřicímu zařízení a neměřeným částem odběrného elektrického zaříze</w:t>
      </w:r>
      <w:r>
        <w:t>ní za účelem provedení kontroly, odečtu, údržby, výměny či odebrání. Způsob přístupu k měřicímu zařízení vyplývá z jeho umístění.</w:t>
      </w:r>
    </w:p>
    <w:p w14:paraId="3F1B4645" w14:textId="77777777" w:rsidR="001102E7" w:rsidRDefault="007034CD">
      <w:pPr>
        <w:pStyle w:val="Zkladntext1"/>
        <w:numPr>
          <w:ilvl w:val="0"/>
          <w:numId w:val="13"/>
        </w:numPr>
        <w:shd w:val="clear" w:color="auto" w:fill="auto"/>
        <w:tabs>
          <w:tab w:val="left" w:pos="279"/>
        </w:tabs>
        <w:jc w:val="both"/>
      </w:pPr>
      <w:r>
        <w:t xml:space="preserve">Pravidelné odečty měřicího zařízení pro účely vyhodnocení a vyúčtování dodávek a odběru elektřiny provádí příslušný PDS podle </w:t>
      </w:r>
      <w:r>
        <w:t>platných právních předpisů.</w:t>
      </w:r>
    </w:p>
    <w:p w14:paraId="14638881" w14:textId="77777777" w:rsidR="001102E7" w:rsidRDefault="007034CD">
      <w:pPr>
        <w:pStyle w:val="Zkladntext1"/>
        <w:numPr>
          <w:ilvl w:val="0"/>
          <w:numId w:val="13"/>
        </w:numPr>
        <w:shd w:val="clear" w:color="auto" w:fill="auto"/>
        <w:tabs>
          <w:tab w:val="left" w:pos="279"/>
        </w:tabs>
        <w:spacing w:after="360"/>
        <w:jc w:val="both"/>
      </w:pPr>
      <w:r>
        <w:t>Bude-li mít Zákazník pochybnosti o správnosti hodnot pro vyúčtování odběru elektřiny, nebo zjistí-li na měřícím zařízení závadu, je povinen toto neprodleně oznámit Obchodníkovi. Postup pro přezkoušení měření, náhradu nákladů s ním spojených je upraven § 49</w:t>
      </w:r>
      <w:r>
        <w:t xml:space="preserve"> Energetického zákona. V případě, že naměřené hodnoty budou chybné, nebo budou některé z nich chybět, postupuje PDS při stanovení náhradních hodnot dle Vyhlášky č. </w:t>
      </w:r>
      <w:r>
        <w:rPr>
          <w:b/>
          <w:bCs/>
        </w:rPr>
        <w:t xml:space="preserve">359/2020 </w:t>
      </w:r>
      <w:r>
        <w:t>Sb.</w:t>
      </w:r>
    </w:p>
    <w:p w14:paraId="4978829F" w14:textId="77777777" w:rsidR="001102E7" w:rsidRDefault="007034CD">
      <w:pPr>
        <w:pStyle w:val="Nadpis30"/>
        <w:keepNext/>
        <w:keepLines/>
        <w:numPr>
          <w:ilvl w:val="0"/>
          <w:numId w:val="7"/>
        </w:numPr>
        <w:shd w:val="clear" w:color="auto" w:fill="auto"/>
        <w:tabs>
          <w:tab w:val="left" w:pos="294"/>
        </w:tabs>
      </w:pPr>
      <w:bookmarkStart w:id="42" w:name="bookmark42"/>
      <w:bookmarkStart w:id="43" w:name="bookmark43"/>
      <w:r>
        <w:t>Cena a platební podmínky</w:t>
      </w:r>
      <w:bookmarkEnd w:id="42"/>
      <w:bookmarkEnd w:id="43"/>
    </w:p>
    <w:p w14:paraId="2F37EBB9" w14:textId="77777777" w:rsidR="001102E7" w:rsidRDefault="007034CD">
      <w:pPr>
        <w:pStyle w:val="Zkladntext1"/>
        <w:numPr>
          <w:ilvl w:val="0"/>
          <w:numId w:val="14"/>
        </w:numPr>
        <w:shd w:val="clear" w:color="auto" w:fill="auto"/>
        <w:tabs>
          <w:tab w:val="left" w:pos="279"/>
        </w:tabs>
        <w:jc w:val="both"/>
      </w:pPr>
      <w:r>
        <w:t>Dodávky elektřiny a zajištění distribuce a související</w:t>
      </w:r>
      <w:r>
        <w:t>ch služeb dle Smlouvy, jakož i další případné poplatky dle Smlouvy, hradí Zákazník, který není plátce DPH, na základě platebního předpisu (dále jen „faktura“) a Zákazník, který je plátcem DPH, na základě daňového dokladu vystaveného podle příslušného právn</w:t>
      </w:r>
      <w:r>
        <w:t>ího předpisu (dále jen „faktura“). Fakturační období je vymezeno odečty měřicího zařízení na OM, Vyhláškou č. 408/2015 Sb. a Vyhláškou č. 70/2016 Sb. Faktura bude vystavena vždy po skončení příslušného fakturačního období. Datum uskutečnění zdanitelného pl</w:t>
      </w:r>
      <w:r>
        <w:t>nění je den zjištění skutečné spotřeby.</w:t>
      </w:r>
    </w:p>
    <w:p w14:paraId="0F5AE982" w14:textId="77777777" w:rsidR="001102E7" w:rsidRDefault="007034CD">
      <w:pPr>
        <w:pStyle w:val="Zkladntext1"/>
        <w:numPr>
          <w:ilvl w:val="0"/>
          <w:numId w:val="14"/>
        </w:numPr>
        <w:shd w:val="clear" w:color="auto" w:fill="auto"/>
        <w:tabs>
          <w:tab w:val="left" w:pos="279"/>
        </w:tabs>
        <w:jc w:val="both"/>
      </w:pPr>
      <w:r>
        <w:t xml:space="preserve">Platby budou provedeny na číslo bankovního účtu uvedené Obchodníkem ve faktuře, bez ohledu na číslo účtu uvedené v záhlaví Smlouvy. Účet musí být veden v tuzemsku a musí umožňovat dálkový přístup podle </w:t>
      </w:r>
      <w:proofErr w:type="spellStart"/>
      <w:r>
        <w:t>ust</w:t>
      </w:r>
      <w:proofErr w:type="spellEnd"/>
      <w:r>
        <w:t xml:space="preserve">. § 96 </w:t>
      </w:r>
      <w:r>
        <w:t>zákona o DPH. Všechny částky poukazované v Kč vzájemně Smluvními stranami na základě Smlouvy musí být prosté jakýchkoliv bankovních poplatků nebo jiných nákladů spojených s převodem na jejich účty.</w:t>
      </w:r>
    </w:p>
    <w:p w14:paraId="2DBCD6C7" w14:textId="77777777" w:rsidR="001102E7" w:rsidRDefault="007034CD">
      <w:pPr>
        <w:pStyle w:val="Zkladntext1"/>
        <w:numPr>
          <w:ilvl w:val="0"/>
          <w:numId w:val="14"/>
        </w:numPr>
        <w:shd w:val="clear" w:color="auto" w:fill="auto"/>
        <w:tabs>
          <w:tab w:val="left" w:pos="279"/>
        </w:tabs>
        <w:jc w:val="both"/>
      </w:pPr>
      <w:r>
        <w:t>Zákazník se zavazuje hradit Obchodníkovi převodním příkaze</w:t>
      </w:r>
      <w:r>
        <w:t>m měsíčně zálohové platby za dodávku elektřiny, a to ve výši:</w:t>
      </w:r>
    </w:p>
    <w:p w14:paraId="40884CC3" w14:textId="77777777" w:rsidR="001102E7" w:rsidRDefault="007034CD">
      <w:pPr>
        <w:pStyle w:val="Zkladntext1"/>
        <w:numPr>
          <w:ilvl w:val="0"/>
          <w:numId w:val="15"/>
        </w:numPr>
        <w:shd w:val="clear" w:color="auto" w:fill="auto"/>
        <w:tabs>
          <w:tab w:val="left" w:pos="583"/>
        </w:tabs>
        <w:spacing w:after="0"/>
        <w:ind w:left="600" w:hanging="300"/>
        <w:jc w:val="both"/>
      </w:pPr>
      <w:r>
        <w:t xml:space="preserve">1/12 z předpokládané roční spotřeby dle sjednaného zálohového kalendáře u OM s měřením typu "C" ve smyslu </w:t>
      </w:r>
      <w:proofErr w:type="spellStart"/>
      <w:r>
        <w:t>Vyhl</w:t>
      </w:r>
      <w:proofErr w:type="spellEnd"/>
      <w:r>
        <w:t xml:space="preserve">. č. </w:t>
      </w:r>
      <w:r>
        <w:rPr>
          <w:b/>
          <w:bCs/>
        </w:rPr>
        <w:t xml:space="preserve">359/2020 </w:t>
      </w:r>
      <w:r>
        <w:t>Sb.</w:t>
      </w:r>
    </w:p>
    <w:p w14:paraId="47F59EB8" w14:textId="77777777" w:rsidR="001102E7" w:rsidRDefault="007034CD">
      <w:pPr>
        <w:pStyle w:val="Zkladntext1"/>
        <w:numPr>
          <w:ilvl w:val="0"/>
          <w:numId w:val="15"/>
        </w:numPr>
        <w:shd w:val="clear" w:color="auto" w:fill="auto"/>
        <w:tabs>
          <w:tab w:val="left" w:pos="583"/>
        </w:tabs>
        <w:ind w:left="600" w:hanging="300"/>
        <w:jc w:val="both"/>
      </w:pPr>
      <w:proofErr w:type="gramStart"/>
      <w:r>
        <w:t>100%</w:t>
      </w:r>
      <w:proofErr w:type="gramEnd"/>
      <w:r>
        <w:t xml:space="preserve"> z předpokládané měsíční spotřeby dle sjednaného zálohového ka</w:t>
      </w:r>
      <w:r>
        <w:t xml:space="preserve">lendáře u OM s měřením jiným než typu "C" ve smyslu </w:t>
      </w:r>
      <w:proofErr w:type="spellStart"/>
      <w:r>
        <w:t>Vyhl</w:t>
      </w:r>
      <w:proofErr w:type="spellEnd"/>
      <w:r>
        <w:t xml:space="preserve">. č. </w:t>
      </w:r>
      <w:r>
        <w:rPr>
          <w:b/>
          <w:bCs/>
        </w:rPr>
        <w:t xml:space="preserve">359/2020 </w:t>
      </w:r>
      <w:r>
        <w:t>Sb.</w:t>
      </w:r>
    </w:p>
    <w:p w14:paraId="34D6D66E" w14:textId="77777777" w:rsidR="001102E7" w:rsidRDefault="007034CD">
      <w:pPr>
        <w:pStyle w:val="Zkladntext1"/>
        <w:shd w:val="clear" w:color="auto" w:fill="auto"/>
        <w:jc w:val="both"/>
      </w:pPr>
      <w:r>
        <w:t>na základě platebního předpisu záloh pro všechna odběrná místa Zákazníka s přiloženým rozpisem odběrných míst. Měsíční zálohy jsou splatné v jedné splátce nejdříve k 15. dni příslušn</w:t>
      </w:r>
      <w:r>
        <w:t>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w:t>
      </w:r>
      <w:r>
        <w:t>depsané v platebním předpisu záloh.</w:t>
      </w:r>
    </w:p>
    <w:p w14:paraId="30ED0EC8" w14:textId="77777777" w:rsidR="001102E7" w:rsidRDefault="007034CD">
      <w:pPr>
        <w:pStyle w:val="Zkladntext1"/>
        <w:shd w:val="clear" w:color="auto" w:fill="auto"/>
        <w:spacing w:after="220"/>
        <w:jc w:val="both"/>
      </w:pPr>
      <w:r>
        <w:t>ČÍSLO SMLOUVY ZÁKAZNÍKA:</w:t>
      </w:r>
    </w:p>
    <w:p w14:paraId="115CD9D0" w14:textId="77777777" w:rsidR="001102E7" w:rsidRDefault="007034CD">
      <w:pPr>
        <w:pStyle w:val="Zkladntext1"/>
        <w:shd w:val="clear" w:color="auto" w:fill="auto"/>
        <w:jc w:val="both"/>
      </w:pPr>
      <w:r>
        <w:t>V případě požadavku Zákazníka na vystavení platebních předpisů záloh členěných do skupin odběrných míst, zajistí Obchodník rozpis záloh dle požadavku Zákazníka, který bude upřesněn ve Smlouvě</w:t>
      </w:r>
    </w:p>
    <w:p w14:paraId="321CBB28" w14:textId="77777777" w:rsidR="001102E7" w:rsidRDefault="007034CD">
      <w:pPr>
        <w:pStyle w:val="Zkladntext1"/>
        <w:numPr>
          <w:ilvl w:val="0"/>
          <w:numId w:val="14"/>
        </w:numPr>
        <w:shd w:val="clear" w:color="auto" w:fill="auto"/>
        <w:tabs>
          <w:tab w:val="left" w:pos="285"/>
        </w:tabs>
        <w:jc w:val="both"/>
      </w:pPr>
      <w:r>
        <w:t>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w:t>
      </w:r>
      <w:r>
        <w:t xml:space="preserve">ky vrátí Obchodník na bankovní účet Zákazníka ve lhůtě do 30 kalendářních dnů po skončení fakturačního období, v němž </w:t>
      </w:r>
      <w:r>
        <w:lastRenderedPageBreak/>
        <w:t>se dodávka realizovala.</w:t>
      </w:r>
    </w:p>
    <w:p w14:paraId="1344C906" w14:textId="77777777" w:rsidR="001102E7" w:rsidRDefault="007034CD">
      <w:pPr>
        <w:pStyle w:val="Zkladntext1"/>
        <w:numPr>
          <w:ilvl w:val="0"/>
          <w:numId w:val="14"/>
        </w:numPr>
        <w:shd w:val="clear" w:color="auto" w:fill="auto"/>
        <w:tabs>
          <w:tab w:val="left" w:pos="285"/>
        </w:tabs>
        <w:jc w:val="both"/>
      </w:pPr>
      <w:r>
        <w:t>Výše zálohy na období do prvního vyúčtování dle Smlouvy se stanoví s ohledem na instalované spotřebiče v OM a sjed</w:t>
      </w:r>
      <w:r>
        <w:t>nanou jmenovitou proudovou hodnotu hlavního jističe před měřicím zařízením. Výše zálohy pro další období se stanoví podle skutečně dosažených hodnot dodávek elektřiny v období do prvního vyúčtování. Zákazník bude s výší záloh pro další fakturační období se</w:t>
      </w:r>
      <w:r>
        <w:t>známen na faktuře nebo v zálohovém kalendáři zaslaném nejpozději do konce kalendářního měsíce předcházejícího příslušnému fakturačnímu období.</w:t>
      </w:r>
    </w:p>
    <w:p w14:paraId="50E09656" w14:textId="77777777" w:rsidR="001102E7" w:rsidRDefault="007034CD">
      <w:pPr>
        <w:pStyle w:val="Zkladntext1"/>
        <w:numPr>
          <w:ilvl w:val="0"/>
          <w:numId w:val="14"/>
        </w:numPr>
        <w:shd w:val="clear" w:color="auto" w:fill="auto"/>
        <w:tabs>
          <w:tab w:val="left" w:pos="285"/>
        </w:tabs>
        <w:jc w:val="both"/>
      </w:pPr>
      <w:r>
        <w:t>Platby za dodávky elektrické energie, distribuce a souvisejících služeb, uhradí Zákazník převodním příkazem na zá</w:t>
      </w:r>
      <w:r>
        <w:t xml:space="preserve">kladě vystaveného daňového </w:t>
      </w:r>
      <w:proofErr w:type="gramStart"/>
      <w:r>
        <w:t>dokladu - faktury</w:t>
      </w:r>
      <w:proofErr w:type="gramEnd"/>
      <w:r>
        <w:t xml:space="preserve"> vystavené Obchodníkem s přiloženým vyúčtováním jednotlivých OM v rozsahu dle Vyhlášky č. 70/2016 Sb. Obchodník vystaví faktury ve lhůtě do 15 kalendářních dnů ode dne uskutečnění zdanitelného plnění. Faktura mus</w:t>
      </w:r>
      <w:r>
        <w:t>í dále obsahovat:</w:t>
      </w:r>
    </w:p>
    <w:p w14:paraId="52F4530F" w14:textId="77777777" w:rsidR="001102E7" w:rsidRDefault="007034CD">
      <w:pPr>
        <w:pStyle w:val="Zkladntext1"/>
        <w:numPr>
          <w:ilvl w:val="0"/>
          <w:numId w:val="16"/>
        </w:numPr>
        <w:shd w:val="clear" w:color="auto" w:fill="auto"/>
        <w:tabs>
          <w:tab w:val="left" w:pos="738"/>
        </w:tabs>
        <w:spacing w:after="0"/>
        <w:ind w:firstLine="440"/>
        <w:jc w:val="both"/>
      </w:pPr>
      <w:r>
        <w:t>náležitosti daňového dokladu dle § 29 Zákona o DPH;</w:t>
      </w:r>
    </w:p>
    <w:p w14:paraId="02233CEC" w14:textId="77777777" w:rsidR="001102E7" w:rsidRDefault="007034CD">
      <w:pPr>
        <w:pStyle w:val="Zkladntext1"/>
        <w:numPr>
          <w:ilvl w:val="0"/>
          <w:numId w:val="16"/>
        </w:numPr>
        <w:shd w:val="clear" w:color="auto" w:fill="auto"/>
        <w:tabs>
          <w:tab w:val="left" w:pos="738"/>
        </w:tabs>
        <w:spacing w:after="0"/>
        <w:ind w:firstLine="440"/>
        <w:jc w:val="both"/>
      </w:pPr>
      <w:r>
        <w:t>bankovní spojení Obchodníka;</w:t>
      </w:r>
    </w:p>
    <w:p w14:paraId="1CE4CE60" w14:textId="77777777" w:rsidR="001102E7" w:rsidRDefault="007034CD">
      <w:pPr>
        <w:pStyle w:val="Zkladntext1"/>
        <w:numPr>
          <w:ilvl w:val="0"/>
          <w:numId w:val="16"/>
        </w:numPr>
        <w:shd w:val="clear" w:color="auto" w:fill="auto"/>
        <w:tabs>
          <w:tab w:val="left" w:pos="738"/>
        </w:tabs>
        <w:spacing w:after="0"/>
        <w:ind w:firstLine="440"/>
        <w:jc w:val="both"/>
      </w:pPr>
      <w:r>
        <w:t>cenové údaje v souladu se Smlouvou.</w:t>
      </w:r>
    </w:p>
    <w:p w14:paraId="10CE0BE7" w14:textId="77777777" w:rsidR="001102E7" w:rsidRDefault="007034CD">
      <w:pPr>
        <w:pStyle w:val="Zkladntext1"/>
        <w:numPr>
          <w:ilvl w:val="0"/>
          <w:numId w:val="16"/>
        </w:numPr>
        <w:shd w:val="clear" w:color="auto" w:fill="auto"/>
        <w:tabs>
          <w:tab w:val="left" w:pos="738"/>
        </w:tabs>
        <w:spacing w:after="0"/>
        <w:ind w:firstLine="440"/>
        <w:jc w:val="both"/>
      </w:pPr>
      <w:r>
        <w:t>přehled zaplacených záloh zahrnutých do faktury;</w:t>
      </w:r>
    </w:p>
    <w:p w14:paraId="4BAB4AEC" w14:textId="77777777" w:rsidR="001102E7" w:rsidRDefault="007034CD">
      <w:pPr>
        <w:pStyle w:val="Zkladntext1"/>
        <w:numPr>
          <w:ilvl w:val="0"/>
          <w:numId w:val="16"/>
        </w:numPr>
        <w:shd w:val="clear" w:color="auto" w:fill="auto"/>
        <w:tabs>
          <w:tab w:val="left" w:pos="738"/>
        </w:tabs>
        <w:spacing w:after="120"/>
        <w:ind w:firstLine="440"/>
        <w:jc w:val="both"/>
      </w:pPr>
      <w:r>
        <w:t>detail spotřeby jednotlivých odběrných míst.</w:t>
      </w:r>
    </w:p>
    <w:p w14:paraId="05662DCF" w14:textId="77777777" w:rsidR="001102E7" w:rsidRDefault="007034CD">
      <w:pPr>
        <w:pStyle w:val="Zkladntext1"/>
        <w:shd w:val="clear" w:color="auto" w:fill="auto"/>
        <w:spacing w:after="120"/>
        <w:jc w:val="both"/>
      </w:pPr>
      <w:r>
        <w:t>Vystavené faktury budou zas</w:t>
      </w:r>
      <w:r>
        <w:t>lány v elektronické podobě e-mailem nebo prostřednictvím datové schránky Zákazníka na dohodnuté adresy, nedohodnou-li se Smluvní strany jinak.</w:t>
      </w:r>
    </w:p>
    <w:p w14:paraId="3BF80B28" w14:textId="77777777" w:rsidR="001102E7" w:rsidRDefault="007034CD">
      <w:pPr>
        <w:pStyle w:val="Zkladntext1"/>
        <w:numPr>
          <w:ilvl w:val="0"/>
          <w:numId w:val="14"/>
        </w:numPr>
        <w:shd w:val="clear" w:color="auto" w:fill="auto"/>
        <w:tabs>
          <w:tab w:val="left" w:pos="285"/>
        </w:tabs>
        <w:jc w:val="both"/>
      </w:pPr>
      <w:r>
        <w:t>Obchodník provede bezplatné mimořádné vyúčtování k 31.12. kalendářního roku, nebo po ukončení dodávek dle Smlouvy</w:t>
      </w:r>
      <w:r>
        <w:t xml:space="preserve">, na základě samoodečtu provedeném Zákazníkem ve smyslu čl. IV. odst. 3. těchto OPD a ve smyslu </w:t>
      </w:r>
      <w:proofErr w:type="spellStart"/>
      <w:r>
        <w:t>ust</w:t>
      </w:r>
      <w:proofErr w:type="spellEnd"/>
      <w:r>
        <w:t>. § 15 odst. 2. Vyhlášky č. 70/2016 Sb. Toto vyúčtování je Obchodník povinen provést do 30 dnů po skončení kalendářního roku nebo po ukončení dodávek dle Sml</w:t>
      </w:r>
      <w:r>
        <w:t>ouvy. V případě, že nebude proveden ve stanoveném termínu samoodečet, provede vyúčtování na základě předpokládané spotřeby (výpočet dle platné legislativy). Toto ustanovení platí i pro případ, že Obchodník ukončí dodávky z důvodu odstoupení od Smlouvy jedn</w:t>
      </w:r>
      <w:r>
        <w:t>é ze Smluvních stran, nebo při ztrátě licence k obchodu s elektřinou, nebo pokud Obchodník pozbyde možnost plnit dodávky elektřiny dle Smlouvy.</w:t>
      </w:r>
    </w:p>
    <w:p w14:paraId="35D0D6C6" w14:textId="77777777" w:rsidR="001102E7" w:rsidRDefault="007034CD">
      <w:pPr>
        <w:pStyle w:val="Zkladntext1"/>
        <w:numPr>
          <w:ilvl w:val="0"/>
          <w:numId w:val="14"/>
        </w:numPr>
        <w:shd w:val="clear" w:color="auto" w:fill="auto"/>
        <w:tabs>
          <w:tab w:val="left" w:pos="285"/>
        </w:tabs>
        <w:jc w:val="both"/>
      </w:pPr>
      <w:r>
        <w:t>Pokud o to Zákazník požádá, tak Obchodník provede mimořádné vyúčtování na základě samoodečtu provedeném Zákazník</w:t>
      </w:r>
      <w:r>
        <w:t>em. Za mimořádné vyúčtování si může Obchodník účtovat cenovou přirážku ve výši max. 80 Kč bez DPH za 1 fakturu.</w:t>
      </w:r>
    </w:p>
    <w:p w14:paraId="27CC2A38" w14:textId="77777777" w:rsidR="001102E7" w:rsidRDefault="007034CD">
      <w:pPr>
        <w:pStyle w:val="Zkladntext1"/>
        <w:numPr>
          <w:ilvl w:val="0"/>
          <w:numId w:val="14"/>
        </w:numPr>
        <w:shd w:val="clear" w:color="auto" w:fill="auto"/>
        <w:tabs>
          <w:tab w:val="left" w:pos="285"/>
        </w:tabs>
        <w:jc w:val="both"/>
      </w:pPr>
      <w:r>
        <w:t>Faktury jsou splatné do 30 dnů ode dne doručení faktury Zákazníkovi. Dnem zaplacení se rozumí den připsání platby na účet Obchodníka. Připadne-l</w:t>
      </w:r>
      <w:r>
        <w:t>i poslední den lhůty pro zaplacení faktury na den pracovního klidu, je posledním dnem lhůty pro zaplacení faktury první následující pracovní den.</w:t>
      </w:r>
    </w:p>
    <w:p w14:paraId="5E7C7A56" w14:textId="77777777" w:rsidR="001102E7" w:rsidRDefault="007034CD">
      <w:pPr>
        <w:pStyle w:val="Zkladntext1"/>
        <w:numPr>
          <w:ilvl w:val="0"/>
          <w:numId w:val="14"/>
        </w:numPr>
        <w:shd w:val="clear" w:color="auto" w:fill="auto"/>
        <w:tabs>
          <w:tab w:val="left" w:pos="361"/>
        </w:tabs>
        <w:jc w:val="both"/>
      </w:pPr>
      <w:r>
        <w:t>V případě prodlení Obchodníka s vystavením zúčtovací faktury Zákazníkovi ve lhůtě dle čl. V. odst. 6. a 7. OPD</w:t>
      </w:r>
      <w:r>
        <w:t>, či s uhrazením přeplatku Zákazníkovi ve lhůtě dle čl. V. odst. 4. OPD, je Obchodník povinen zaplatit Zákazníkovi smluvní pokutu ve výši 200,- Kč za každé dotčené odběrné místo a každý započatý den prodlení. Zaplacením smluvní pokuty není dotčeno právo Zá</w:t>
      </w:r>
      <w:r>
        <w:t xml:space="preserve">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w:t>
      </w:r>
      <w:r>
        <w:t>ke svému závazku.</w:t>
      </w:r>
    </w:p>
    <w:p w14:paraId="686E26D5" w14:textId="77777777" w:rsidR="001102E7" w:rsidRDefault="007034CD">
      <w:pPr>
        <w:pStyle w:val="Zkladntext1"/>
        <w:numPr>
          <w:ilvl w:val="0"/>
          <w:numId w:val="14"/>
        </w:numPr>
        <w:shd w:val="clear" w:color="auto" w:fill="auto"/>
        <w:tabs>
          <w:tab w:val="left" w:pos="361"/>
        </w:tabs>
        <w:jc w:val="both"/>
      </w:pPr>
      <w:r>
        <w:t>Vzniknou-li chyby nebo omyly při vyúčtování elektřiny nesprávným odečtem, použitím nesprávné sazby, početní chybou apod., mají Zákazník a Obchodník nárok na vyrovnání nesprávně vyúčtovaných částek. V případě chybného vyúčtování dodávky el</w:t>
      </w:r>
      <w:r>
        <w:t>ektřiny uplatní Zákazník písemně reklamaci u Obchodníka do 30 dnů ode dne doručení faktury, jinak se má zato, že údaje ve vystavené faktuře jsou správné. K reklamacím uplatněným později nemusí Obchodník přihlížet. Uplatněná reklamace nemá odkladný účinek n</w:t>
      </w:r>
      <w:r>
        <w:t>a splatnost vyúčtování. Pokud se jedná o reklamaci vyúčtování dodávky elektřiny, Obchodník reklamaci přezkoumá a písemně podá Zákazníkovi do 15 kalendářních dnů ode dne doručení reklamace zprávu o vyřízení reklamace. Je</w:t>
      </w:r>
      <w:r>
        <w:softHyphen/>
        <w:t>li na základě reklamace vystaven opr</w:t>
      </w:r>
      <w:r>
        <w:t xml:space="preserve">avný daňový doklad (opravná faktura), považuje se současně za informaci o výsledku reklamace. Pokud je reklamace Zákazníka shledána jako oprávněná, je Obchodník povinen ve lhůtě 30 dnů od doručení reklamace vypořádat rozdíly v platbách Zákazníka. Pokud se </w:t>
      </w:r>
      <w:r>
        <w:t>jedná o reklamaci vyúčtování platby za distribuci elektřiny, je Obchodník povinen do 15 kalendářních dnů ode dne obdržení reklamace Zákazníka vyúčtování platby za distribuci elektřiny reklamovat u příslušného PDS. Po dobu, po kterou reklamaci vyřizuje přís</w:t>
      </w:r>
      <w:r>
        <w:t>lušný PDS, lhůty pro vyřízení reklamace a vypořádání rozdílu v platbách ze strany Obchodníka neběží. Pokud Obchodník v uvedených lhůtách reklamaci Zákazníka nevyřídí, je Zákazník oprávněn požadovat po Obchodníkovi náhradu za nedodržení standardu postupem d</w:t>
      </w:r>
      <w:r>
        <w:t>le vyhlášky č. 540/2005 Sb.</w:t>
      </w:r>
    </w:p>
    <w:p w14:paraId="64D4A14D" w14:textId="77777777" w:rsidR="001102E7" w:rsidRDefault="007034CD">
      <w:pPr>
        <w:pStyle w:val="Zkladntext1"/>
        <w:numPr>
          <w:ilvl w:val="0"/>
          <w:numId w:val="14"/>
        </w:numPr>
        <w:shd w:val="clear" w:color="auto" w:fill="auto"/>
        <w:tabs>
          <w:tab w:val="left" w:pos="361"/>
        </w:tabs>
        <w:jc w:val="both"/>
      </w:pPr>
      <w:r>
        <w:t>Platby se provádějí v měně Kč, pokud se smluvní strany nedohodnou jinak. Bezhotovostní platby se provádějí z bankovních účtů vedených v Kč u peněžních ústavů působících na území České republiky. Pokud Zákazník poukáže platbu s n</w:t>
      </w:r>
      <w:r>
        <w:t>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4C3D04B4" w14:textId="77777777" w:rsidR="001102E7" w:rsidRDefault="007034CD">
      <w:pPr>
        <w:pStyle w:val="Zkladntext1"/>
        <w:numPr>
          <w:ilvl w:val="0"/>
          <w:numId w:val="14"/>
        </w:numPr>
        <w:shd w:val="clear" w:color="auto" w:fill="auto"/>
        <w:tabs>
          <w:tab w:val="left" w:pos="361"/>
        </w:tabs>
        <w:jc w:val="both"/>
      </w:pPr>
      <w:r>
        <w:t>Nastane-li p</w:t>
      </w:r>
      <w:r>
        <w:t>rodlení s úhradou kterékoli splatné pohledávky vyplývající ze smluvních vztahů a poskytnutých služeb dle Smlouvy, je Smluvní strana (dlužník), která je v prodlení, povinna zaplatit druhé Smluvní straně (věřiteli) zákonný úrok z prodlení ve výši stanovené p</w:t>
      </w:r>
      <w:r>
        <w:t>říslušným obecně závazným právním předpisem.</w:t>
      </w:r>
    </w:p>
    <w:p w14:paraId="5BEA3F49" w14:textId="77777777" w:rsidR="001102E7" w:rsidRDefault="007034CD">
      <w:pPr>
        <w:pStyle w:val="Zkladntext1"/>
        <w:numPr>
          <w:ilvl w:val="0"/>
          <w:numId w:val="14"/>
        </w:numPr>
        <w:shd w:val="clear" w:color="auto" w:fill="auto"/>
        <w:tabs>
          <w:tab w:val="left" w:pos="361"/>
        </w:tabs>
        <w:jc w:val="both"/>
      </w:pPr>
      <w:r>
        <w:t xml:space="preserve">Obchodník má právo účtovat Zákazníkovi náklady za úkony spojené s plněním Smlouvy, které budou vyvolány Zákazníkem nebo za úkony, které vznikly z důvodů na jeho straně (zejména náklady spojené s </w:t>
      </w:r>
      <w:r>
        <w:t>přerušením a obnovením dodávky elektřiny v případě neoprávněného odběru).</w:t>
      </w:r>
    </w:p>
    <w:p w14:paraId="448AC1D0" w14:textId="77777777" w:rsidR="001102E7" w:rsidRDefault="007034CD">
      <w:pPr>
        <w:pStyle w:val="Zkladntext1"/>
        <w:numPr>
          <w:ilvl w:val="0"/>
          <w:numId w:val="14"/>
        </w:numPr>
        <w:shd w:val="clear" w:color="auto" w:fill="auto"/>
        <w:tabs>
          <w:tab w:val="left" w:pos="361"/>
        </w:tabs>
        <w:jc w:val="both"/>
      </w:pPr>
      <w:r>
        <w:t xml:space="preserve">Zákazník je povinen sdělit Obchodníkovi, zda je současně rovněž výrobcem elektřiny, a pokud ano, </w:t>
      </w:r>
      <w:proofErr w:type="gramStart"/>
      <w:r>
        <w:t>výrobcem</w:t>
      </w:r>
      <w:proofErr w:type="gramEnd"/>
      <w:r>
        <w:t xml:space="preserve"> které kategorie. Zákazník tuto skutečnost uvede v seznamu odběrných míst, kt</w:t>
      </w:r>
      <w:r>
        <w:t>erý je Přílohou č. 3 Smlouvy. Pokud Zákazník Obchodníkovi nesdělí výše uvedené údaje dle skutečného stavu, nenese Obchodník odpovědnost za nesprávné vyúčtování ceny za distribuci elektřiny a následnou potřebu opravy účetních dokladů.</w:t>
      </w:r>
    </w:p>
    <w:p w14:paraId="1A3A30CA" w14:textId="77777777" w:rsidR="001102E7" w:rsidRDefault="007034CD">
      <w:pPr>
        <w:pStyle w:val="Zkladntext1"/>
        <w:numPr>
          <w:ilvl w:val="0"/>
          <w:numId w:val="14"/>
        </w:numPr>
        <w:shd w:val="clear" w:color="auto" w:fill="auto"/>
        <w:tabs>
          <w:tab w:val="left" w:pos="361"/>
        </w:tabs>
        <w:jc w:val="both"/>
      </w:pPr>
      <w:r>
        <w:t>Smluvní strany prohlaš</w:t>
      </w:r>
      <w:r>
        <w:t>ují, že nesplnění povinnosti kterékoliv platby podle předchozích ustanovení čl. V. ani po písemné výzvě k zaplacení, budou považovat za podstatné porušení této Smlouvy; tato písemná výzva může obsahovat upozornění Zákazníka</w:t>
      </w:r>
    </w:p>
    <w:p w14:paraId="456E8242" w14:textId="77777777" w:rsidR="001102E7" w:rsidRDefault="007034CD">
      <w:pPr>
        <w:pStyle w:val="Zkladntext1"/>
        <w:shd w:val="clear" w:color="auto" w:fill="auto"/>
        <w:spacing w:after="220"/>
        <w:jc w:val="both"/>
      </w:pPr>
      <w:r>
        <w:t>ČÍSLO SMLOUVY ZÁKAZNÍKA:</w:t>
      </w:r>
    </w:p>
    <w:p w14:paraId="3B8805C1" w14:textId="77777777" w:rsidR="001102E7" w:rsidRDefault="007034CD">
      <w:pPr>
        <w:pStyle w:val="Zkladntext1"/>
        <w:shd w:val="clear" w:color="auto" w:fill="auto"/>
        <w:spacing w:after="360"/>
        <w:jc w:val="both"/>
      </w:pPr>
      <w:r>
        <w:t>na post</w:t>
      </w:r>
      <w:r>
        <w:t>up Obchodníka podle čl. VII. OPD; nesplní-li ani opakovaně písemné výzvy Obchodníka Zákazníkovi k zaplacení dlužné částky opravňuje Obchodníka k postupu podle čl. VIII. odst. 3.a) OPD.</w:t>
      </w:r>
    </w:p>
    <w:p w14:paraId="6C51868A" w14:textId="77777777" w:rsidR="001102E7" w:rsidRDefault="007034CD">
      <w:pPr>
        <w:pStyle w:val="Nadpis30"/>
        <w:keepNext/>
        <w:keepLines/>
        <w:numPr>
          <w:ilvl w:val="0"/>
          <w:numId w:val="7"/>
        </w:numPr>
        <w:shd w:val="clear" w:color="auto" w:fill="auto"/>
        <w:tabs>
          <w:tab w:val="left" w:pos="337"/>
        </w:tabs>
      </w:pPr>
      <w:bookmarkStart w:id="44" w:name="bookmark44"/>
      <w:bookmarkStart w:id="45" w:name="bookmark45"/>
      <w:r>
        <w:lastRenderedPageBreak/>
        <w:t>Regulace odběru elektřiny</w:t>
      </w:r>
      <w:bookmarkEnd w:id="44"/>
      <w:bookmarkEnd w:id="45"/>
    </w:p>
    <w:p w14:paraId="0EA35CA3" w14:textId="77777777" w:rsidR="001102E7" w:rsidRDefault="007034CD">
      <w:pPr>
        <w:pStyle w:val="Zkladntext1"/>
        <w:numPr>
          <w:ilvl w:val="0"/>
          <w:numId w:val="17"/>
        </w:numPr>
        <w:shd w:val="clear" w:color="auto" w:fill="auto"/>
        <w:tabs>
          <w:tab w:val="left" w:pos="281"/>
        </w:tabs>
        <w:jc w:val="both"/>
      </w:pPr>
      <w:r>
        <w:t>Pro řešení důsledků živelných událostí, opatř</w:t>
      </w:r>
      <w:r>
        <w:t>ení státních orgánů za nouzového stavu, stavu ohrožení státu nebo válečného stavu, havárií na zařízeních pro výrobu, přenos a distribuci elektřiny, smogové situace, teroristického činu a dalších vymezených událostí, je PDS v souladu s platnými právními pře</w:t>
      </w:r>
      <w:r>
        <w:t>dpisy povinen usměrňovat spotřebu elektřiny a vyhlašovat regulační opatření. Vyhlášení regulace je závazné pro všechny účastníky trhu s elektřinou.</w:t>
      </w:r>
    </w:p>
    <w:p w14:paraId="2C25A079" w14:textId="77777777" w:rsidR="001102E7" w:rsidRDefault="007034CD">
      <w:pPr>
        <w:pStyle w:val="Zkladntext1"/>
        <w:numPr>
          <w:ilvl w:val="0"/>
          <w:numId w:val="17"/>
        </w:numPr>
        <w:shd w:val="clear" w:color="auto" w:fill="auto"/>
        <w:tabs>
          <w:tab w:val="left" w:pos="281"/>
        </w:tabs>
        <w:jc w:val="both"/>
      </w:pPr>
      <w:r>
        <w:t xml:space="preserve">OM s hodnotou hlavního jističe před elektroměrem 200 A </w:t>
      </w:r>
      <w:proofErr w:type="spellStart"/>
      <w:r>
        <w:t>a</w:t>
      </w:r>
      <w:proofErr w:type="spellEnd"/>
      <w:r>
        <w:t xml:space="preserve"> vyšší se stanovuje bezpečnostní minimum. Bezpečnost</w:t>
      </w:r>
      <w:r>
        <w:t>ním minimem se rozumí nejnižší hodnota odebíraného výkonu, která je po ukončení výroby nezbytně nutná pro zajištění bezpečnosti technologie odběrného zařízení, vlivu na okolní prostředí a obsluhujících pracovníků. Tito zákazníci jsou povinni dle platných p</w:t>
      </w:r>
      <w:r>
        <w:t>ředpisů provést soupis jednotlivých spotřebičů a rozbor jejich bezpečnostního a technologického minima spotřeby a takto zjištěné bezpečnostní minimum uvést ve Smlouvě. Pokud Zákazník ve Smlouvě hodnotu bezpečnostního minima nevyplní, platí, že hodnota bezp</w:t>
      </w:r>
      <w:r>
        <w:t>ečnostního minima se rovná nule.</w:t>
      </w:r>
    </w:p>
    <w:p w14:paraId="3A8A11D5" w14:textId="77777777" w:rsidR="001102E7" w:rsidRDefault="007034CD">
      <w:pPr>
        <w:pStyle w:val="Zkladntext1"/>
        <w:numPr>
          <w:ilvl w:val="0"/>
          <w:numId w:val="17"/>
        </w:numPr>
        <w:shd w:val="clear" w:color="auto" w:fill="auto"/>
        <w:tabs>
          <w:tab w:val="left" w:pos="281"/>
        </w:tabs>
        <w:jc w:val="both"/>
      </w:pPr>
      <w:r>
        <w:t>Zákazník je povinen sledovat pravidelná hlášení o energetické situaci v hromadných sdělovacích prostředcích a v souladu s Energetickým zákonem je povinen se jimi řídit.</w:t>
      </w:r>
    </w:p>
    <w:p w14:paraId="5DDAE3FB" w14:textId="77777777" w:rsidR="001102E7" w:rsidRDefault="007034CD">
      <w:pPr>
        <w:pStyle w:val="Zkladntext1"/>
        <w:numPr>
          <w:ilvl w:val="0"/>
          <w:numId w:val="17"/>
        </w:numPr>
        <w:shd w:val="clear" w:color="auto" w:fill="auto"/>
        <w:tabs>
          <w:tab w:val="left" w:pos="281"/>
        </w:tabs>
        <w:spacing w:after="360"/>
        <w:jc w:val="both"/>
      </w:pPr>
      <w:r>
        <w:t>Zákazník je povinen řídit se pokyny Obchodníka nebo př</w:t>
      </w:r>
      <w:r>
        <w:t>íslušného PDS či provozovatele přenosové soustavy k regulaci odběru elektřiny a strpět jejich oprávnění k provedení omezení nebo přerušení dodávek elektřiny v případech stavu nouze a předcházení stavu nouze.</w:t>
      </w:r>
    </w:p>
    <w:p w14:paraId="3168F897" w14:textId="77777777" w:rsidR="001102E7" w:rsidRDefault="007034CD">
      <w:pPr>
        <w:pStyle w:val="Nadpis30"/>
        <w:keepNext/>
        <w:keepLines/>
        <w:numPr>
          <w:ilvl w:val="0"/>
          <w:numId w:val="7"/>
        </w:numPr>
        <w:shd w:val="clear" w:color="auto" w:fill="auto"/>
        <w:tabs>
          <w:tab w:val="left" w:pos="380"/>
        </w:tabs>
      </w:pPr>
      <w:bookmarkStart w:id="46" w:name="bookmark46"/>
      <w:bookmarkStart w:id="47" w:name="bookmark47"/>
      <w:r>
        <w:t>Omezení a přerušení dodávek elektřiny</w:t>
      </w:r>
      <w:bookmarkEnd w:id="46"/>
      <w:bookmarkEnd w:id="47"/>
    </w:p>
    <w:p w14:paraId="23157B9E" w14:textId="77777777" w:rsidR="001102E7" w:rsidRDefault="007034CD">
      <w:pPr>
        <w:pStyle w:val="Zkladntext1"/>
        <w:numPr>
          <w:ilvl w:val="0"/>
          <w:numId w:val="18"/>
        </w:numPr>
        <w:shd w:val="clear" w:color="auto" w:fill="auto"/>
        <w:tabs>
          <w:tab w:val="left" w:pos="281"/>
        </w:tabs>
        <w:spacing w:after="120"/>
        <w:jc w:val="both"/>
      </w:pPr>
      <w:r>
        <w:t>Obchodník nebo příslušný PDS mají právo omezit nebo přerušit v nezbytném rozsahu dodávky elektřiny v OM v případech stanovených Energetickým zákonem, zejména při neoprávněném odběru.</w:t>
      </w:r>
    </w:p>
    <w:p w14:paraId="0A34302C" w14:textId="77777777" w:rsidR="001102E7" w:rsidRDefault="007034CD">
      <w:pPr>
        <w:pStyle w:val="Zkladntext1"/>
        <w:numPr>
          <w:ilvl w:val="0"/>
          <w:numId w:val="18"/>
        </w:numPr>
        <w:shd w:val="clear" w:color="auto" w:fill="auto"/>
        <w:tabs>
          <w:tab w:val="left" w:pos="281"/>
        </w:tabs>
        <w:spacing w:after="0"/>
        <w:jc w:val="both"/>
      </w:pPr>
      <w:r>
        <w:t>Obchodník je oprávněn z důvodu neplacení ceny za sdružené služby nebo zál</w:t>
      </w:r>
      <w:r>
        <w:t>oh na sdružené služby dodávky elektřiny ukončit nebo přerušit dodávku elektřiny v OM, pro která je uzavřena Smlouva, jestliže Zákazník:</w:t>
      </w:r>
    </w:p>
    <w:p w14:paraId="0F28BE50" w14:textId="77777777" w:rsidR="001102E7" w:rsidRDefault="007034CD">
      <w:pPr>
        <w:pStyle w:val="Zkladntext1"/>
        <w:shd w:val="clear" w:color="auto" w:fill="auto"/>
        <w:spacing w:after="0"/>
        <w:ind w:firstLine="300"/>
        <w:jc w:val="both"/>
      </w:pPr>
      <w:r>
        <w:t>a) opakovaně nedodrží smluvený způsob platby za odebranou elektřinu včetně záloh;</w:t>
      </w:r>
    </w:p>
    <w:p w14:paraId="2919AAA0" w14:textId="77777777" w:rsidR="001102E7" w:rsidRDefault="007034CD">
      <w:pPr>
        <w:pStyle w:val="Zkladntext1"/>
        <w:shd w:val="clear" w:color="auto" w:fill="auto"/>
        <w:ind w:firstLine="300"/>
        <w:jc w:val="both"/>
      </w:pPr>
      <w:r>
        <w:t>b) neplní platební povinnosti vyplývaj</w:t>
      </w:r>
      <w:r>
        <w:t>ící z výsledků vyhodnocení a zúčtování skutečného odběru.</w:t>
      </w:r>
    </w:p>
    <w:p w14:paraId="58B3925E" w14:textId="77777777" w:rsidR="001102E7" w:rsidRDefault="007034CD">
      <w:pPr>
        <w:pStyle w:val="Zkladntext1"/>
        <w:numPr>
          <w:ilvl w:val="0"/>
          <w:numId w:val="18"/>
        </w:numPr>
        <w:shd w:val="clear" w:color="auto" w:fill="auto"/>
        <w:tabs>
          <w:tab w:val="left" w:pos="281"/>
        </w:tabs>
        <w:spacing w:after="360"/>
        <w:jc w:val="both"/>
      </w:pPr>
      <w:r>
        <w:t xml:space="preserve">Omezením nebo přerušením dodávek elektřiny v těchto případech nevzniká Zákazníkovi právo na náhradu škody a ušlého zisku vůči Obchodníkovi nebo příslušném PDS. To neplatí, nesplní-li Obchodník nebo příslušný PDS své zákonné povinnosti. Zákazník je povinen </w:t>
      </w:r>
      <w:r>
        <w:t xml:space="preserve">nahradit Obchodníkovi a PDS náklady vynaložené na přerušení a obnovení dodávky elektřiny z důvodu svého prodlení se splněním </w:t>
      </w:r>
      <w:r>
        <w:rPr>
          <w:b/>
          <w:bCs/>
        </w:rPr>
        <w:t xml:space="preserve">závazku </w:t>
      </w:r>
      <w:r>
        <w:t>a náklady spojené s vymáháním pohledávky.</w:t>
      </w:r>
    </w:p>
    <w:p w14:paraId="7C02FC9B" w14:textId="77777777" w:rsidR="001102E7" w:rsidRDefault="007034CD">
      <w:pPr>
        <w:pStyle w:val="Nadpis30"/>
        <w:keepNext/>
        <w:keepLines/>
        <w:numPr>
          <w:ilvl w:val="0"/>
          <w:numId w:val="7"/>
        </w:numPr>
        <w:shd w:val="clear" w:color="auto" w:fill="auto"/>
        <w:tabs>
          <w:tab w:val="left" w:pos="423"/>
        </w:tabs>
      </w:pPr>
      <w:bookmarkStart w:id="48" w:name="bookmark48"/>
      <w:bookmarkStart w:id="49" w:name="bookmark49"/>
      <w:r>
        <w:t>Ukončení Smlouvy a dodávky elektřiny</w:t>
      </w:r>
      <w:bookmarkEnd w:id="48"/>
      <w:bookmarkEnd w:id="49"/>
    </w:p>
    <w:p w14:paraId="19A1CC0F" w14:textId="77777777" w:rsidR="001102E7" w:rsidRDefault="007034CD">
      <w:pPr>
        <w:pStyle w:val="Zkladntext1"/>
        <w:numPr>
          <w:ilvl w:val="0"/>
          <w:numId w:val="19"/>
        </w:numPr>
        <w:shd w:val="clear" w:color="auto" w:fill="auto"/>
        <w:tabs>
          <w:tab w:val="left" w:pos="281"/>
        </w:tabs>
        <w:spacing w:after="120"/>
        <w:jc w:val="both"/>
      </w:pPr>
      <w:r>
        <w:t xml:space="preserve">Smlouva může být ukončena dohodou Smluvních </w:t>
      </w:r>
      <w:r>
        <w:t>stran, a to zejména v případech, kdy Zákazník fakticky ukončí odběr v OM (z důvodu stěhování, ukončení činnosti atd.).</w:t>
      </w:r>
    </w:p>
    <w:p w14:paraId="6F1E17C4" w14:textId="77777777" w:rsidR="001102E7" w:rsidRDefault="007034CD">
      <w:pPr>
        <w:pStyle w:val="Zkladntext1"/>
        <w:numPr>
          <w:ilvl w:val="0"/>
          <w:numId w:val="19"/>
        </w:numPr>
        <w:shd w:val="clear" w:color="auto" w:fill="auto"/>
        <w:tabs>
          <w:tab w:val="left" w:pos="281"/>
        </w:tabs>
        <w:spacing w:after="120"/>
        <w:jc w:val="both"/>
      </w:pPr>
      <w:r>
        <w:t>Účinnost Smlouvy, nebo její části v případě dodávky do více OM, skončí ukončením připojení OM místa k distribuční soustavě.</w:t>
      </w:r>
    </w:p>
    <w:p w14:paraId="70829C82" w14:textId="77777777" w:rsidR="001102E7" w:rsidRDefault="007034CD">
      <w:pPr>
        <w:pStyle w:val="Zkladntext1"/>
        <w:numPr>
          <w:ilvl w:val="0"/>
          <w:numId w:val="19"/>
        </w:numPr>
        <w:shd w:val="clear" w:color="auto" w:fill="auto"/>
        <w:tabs>
          <w:tab w:val="left" w:pos="281"/>
        </w:tabs>
        <w:spacing w:after="120"/>
        <w:jc w:val="both"/>
      </w:pPr>
      <w:r>
        <w:t xml:space="preserve">Obchodník je </w:t>
      </w:r>
      <w:r>
        <w:t>oprávněn od Smlouvy odstoupit:</w:t>
      </w:r>
    </w:p>
    <w:p w14:paraId="5DBB0D0D" w14:textId="77777777" w:rsidR="001102E7" w:rsidRDefault="007034CD">
      <w:pPr>
        <w:pStyle w:val="Zkladntext1"/>
        <w:shd w:val="clear" w:color="auto" w:fill="auto"/>
        <w:ind w:left="580" w:hanging="280"/>
        <w:jc w:val="both"/>
      </w:pPr>
      <w:r>
        <w:t xml:space="preserve">a) v případě opakovaného podstatného porušení Smlouvy ze strany Zákazníka, zejména v případě, že Zákazník je v prodlení s placením za sdružené služby dodávky elektřiny déle než 30 dnů, a v dalších případech </w:t>
      </w:r>
      <w:r>
        <w:t>stanovených Smlouvou či OPD. Odstoupení je třeba učinit v písemné formě a doručit ho Zákazníkovi. Odstoupení je účinné 7. dnem, nebo později určeným dnem, po doručení oznámení o odstoupení Zákazníkovi.</w:t>
      </w:r>
    </w:p>
    <w:p w14:paraId="6BF0A63A" w14:textId="77777777" w:rsidR="001102E7" w:rsidRDefault="007034CD">
      <w:pPr>
        <w:pStyle w:val="Zkladntext1"/>
        <w:shd w:val="clear" w:color="auto" w:fill="auto"/>
        <w:ind w:left="580" w:hanging="280"/>
        <w:jc w:val="both"/>
      </w:pPr>
      <w:r>
        <w:t>b) v případě, že se Zákazník dostane do úpadku ve smys</w:t>
      </w:r>
      <w:r>
        <w:t xml:space="preserve">lu </w:t>
      </w:r>
      <w:proofErr w:type="spellStart"/>
      <w:r>
        <w:t>ust</w:t>
      </w:r>
      <w:proofErr w:type="spellEnd"/>
      <w:r>
        <w:t>. § 3 Insolvenčního zákona. Odstoupení je účinné dnem doručení písemného oznámení o odstoupení Zákazníkovi.</w:t>
      </w:r>
    </w:p>
    <w:p w14:paraId="0A25FE9A" w14:textId="77777777" w:rsidR="001102E7" w:rsidRDefault="007034CD">
      <w:pPr>
        <w:pStyle w:val="Zkladntext1"/>
        <w:numPr>
          <w:ilvl w:val="0"/>
          <w:numId w:val="19"/>
        </w:numPr>
        <w:shd w:val="clear" w:color="auto" w:fill="auto"/>
        <w:tabs>
          <w:tab w:val="left" w:pos="281"/>
        </w:tabs>
        <w:spacing w:after="120"/>
        <w:jc w:val="both"/>
      </w:pPr>
      <w:r>
        <w:t>Zákazník je oprávněn od Smlouvy odstoupit v případě podstatného porušení Smlouvy ze strany Obchodníka. Za podstatné porušení Smlouvy ze strany</w:t>
      </w:r>
      <w:r>
        <w:t xml:space="preserve"> Obchodníka je považováno zejména omezení či přerušení dodávek elektřiny, nebo také v případě, kdy Obchodník ztratí způsobilost být subjektem zúčtování nebo nastane jiná událost, jenž může ohrozit i potencionálně budoucí dodávky Zákazníkovi nad rámec podmí</w:t>
      </w:r>
      <w:r>
        <w:t>nek stanovených platnými právními předpisy a pravidly provozování distribuční soustavy PDS, nejedná-li se o přerušení dodávky elektřiny z důvodu vyšší moci. Odstoupení je účinné 7. dnem, nebo později určeným dnem, po doručení oznámení o odstoupení Obchodní</w:t>
      </w:r>
      <w:r>
        <w:t>kovi. Zákazník je oprávněn od Smlouvy odstoupit s okamžitou účinností rovněž v případě, že s Obchodníkem bude zahájeno insolvenční řízení.</w:t>
      </w:r>
    </w:p>
    <w:p w14:paraId="6EA5136A" w14:textId="77777777" w:rsidR="001102E7" w:rsidRDefault="007034CD">
      <w:pPr>
        <w:pStyle w:val="Zkladntext1"/>
        <w:numPr>
          <w:ilvl w:val="0"/>
          <w:numId w:val="19"/>
        </w:numPr>
        <w:shd w:val="clear" w:color="auto" w:fill="auto"/>
        <w:tabs>
          <w:tab w:val="left" w:pos="281"/>
        </w:tabs>
        <w:spacing w:after="120"/>
        <w:jc w:val="both"/>
      </w:pPr>
      <w:r>
        <w:t>Pokud Zákazník trvale opustil OM a neukončil smluvní vztah s Obchodníkem, pak účinnost Smlouvy končí odebráním měřicí</w:t>
      </w:r>
      <w:r>
        <w:t>ho zařízení nebo zahájením dodávky elektřiny na základě smlouvy o dodávce elektřiny či smlouvy o sdružených službách dodávky elektřiny uzavřené s novým zákazníkem pro toto OM.</w:t>
      </w:r>
    </w:p>
    <w:p w14:paraId="4DE6AF8F" w14:textId="77777777" w:rsidR="001102E7" w:rsidRDefault="007034CD">
      <w:pPr>
        <w:pStyle w:val="Zkladntext1"/>
        <w:numPr>
          <w:ilvl w:val="0"/>
          <w:numId w:val="19"/>
        </w:numPr>
        <w:shd w:val="clear" w:color="auto" w:fill="auto"/>
        <w:tabs>
          <w:tab w:val="left" w:pos="281"/>
        </w:tabs>
        <w:spacing w:after="120"/>
        <w:jc w:val="both"/>
      </w:pPr>
      <w:r>
        <w:t>Zákazník je povinen poskytnout Obchodníkovi nebo příslušnému PDS potřebnou souči</w:t>
      </w:r>
      <w:r>
        <w:t>nnost při ukončení dodávek elektřiny realizovaných podle Smlouvy.</w:t>
      </w:r>
    </w:p>
    <w:p w14:paraId="25E9EA13" w14:textId="77777777" w:rsidR="001102E7" w:rsidRDefault="007034CD">
      <w:pPr>
        <w:pStyle w:val="Zkladntext1"/>
        <w:numPr>
          <w:ilvl w:val="0"/>
          <w:numId w:val="19"/>
        </w:numPr>
        <w:shd w:val="clear" w:color="auto" w:fill="auto"/>
        <w:tabs>
          <w:tab w:val="left" w:pos="281"/>
        </w:tabs>
        <w:spacing w:after="120"/>
        <w:jc w:val="both"/>
      </w:pPr>
      <w:r>
        <w:t>Pro vyhodnocení dodávek elektřiny je rozhodující odečet měřicího zařízení v OM, příp. náhradní hodnoty stanovené podle podmínek příslušného PDS, k poslednímu dni dodávky elektřiny.</w:t>
      </w:r>
    </w:p>
    <w:p w14:paraId="19C5AEAD" w14:textId="77777777" w:rsidR="001102E7" w:rsidRDefault="007034CD">
      <w:pPr>
        <w:pStyle w:val="Zkladntext1"/>
        <w:numPr>
          <w:ilvl w:val="0"/>
          <w:numId w:val="19"/>
        </w:numPr>
        <w:shd w:val="clear" w:color="auto" w:fill="auto"/>
        <w:tabs>
          <w:tab w:val="left" w:pos="281"/>
        </w:tabs>
        <w:spacing w:after="360"/>
        <w:jc w:val="both"/>
      </w:pPr>
      <w:r>
        <w:t>V případě</w:t>
      </w:r>
      <w:r>
        <w:t xml:space="preserve"> ukončení dodávek ze strany Obchodníka má Zákazník právo využít dodávky elektřiny od dodavatele poslední instance postupem podle § 12a Energetického zákona.</w:t>
      </w:r>
    </w:p>
    <w:p w14:paraId="4FCAD92C" w14:textId="77777777" w:rsidR="001102E7" w:rsidRDefault="007034CD">
      <w:pPr>
        <w:pStyle w:val="Zkladntext1"/>
        <w:numPr>
          <w:ilvl w:val="0"/>
          <w:numId w:val="7"/>
        </w:numPr>
        <w:shd w:val="clear" w:color="auto" w:fill="auto"/>
        <w:tabs>
          <w:tab w:val="left" w:pos="337"/>
        </w:tabs>
        <w:spacing w:after="120"/>
        <w:jc w:val="center"/>
      </w:pPr>
      <w:r>
        <w:rPr>
          <w:b/>
          <w:bCs/>
        </w:rPr>
        <w:t>Předcházení škodám, náhrada škod</w:t>
      </w:r>
    </w:p>
    <w:p w14:paraId="33FA3AE9" w14:textId="77777777" w:rsidR="001102E7" w:rsidRDefault="007034CD">
      <w:pPr>
        <w:pStyle w:val="Zkladntext1"/>
        <w:shd w:val="clear" w:color="auto" w:fill="auto"/>
        <w:spacing w:after="220"/>
        <w:jc w:val="both"/>
      </w:pPr>
      <w:r>
        <w:t>ČÍSLO SMLOUVY ZÁKAZNÍKA:</w:t>
      </w:r>
    </w:p>
    <w:p w14:paraId="21B2D2E4" w14:textId="77777777" w:rsidR="001102E7" w:rsidRDefault="007034CD">
      <w:pPr>
        <w:pStyle w:val="Zkladntext1"/>
        <w:numPr>
          <w:ilvl w:val="0"/>
          <w:numId w:val="20"/>
        </w:numPr>
        <w:shd w:val="clear" w:color="auto" w:fill="auto"/>
        <w:tabs>
          <w:tab w:val="left" w:pos="276"/>
        </w:tabs>
        <w:jc w:val="both"/>
      </w:pPr>
      <w:r>
        <w:t>Každá Smluvní strana odpovídá za škodu zp</w:t>
      </w:r>
      <w:r>
        <w:t>ůsobenou druhé Smluvní straně porušením povinnosti vyplývající ze Smlouvy. Smluvní strany jsou zbaveny odpovědnosti za částečné nebo úplné neplnění povinností daných Smlouvou, a to v případech stanovených zákonem, a dále v případech, kdy toto neplnění bylo</w:t>
      </w:r>
      <w:r>
        <w:t xml:space="preserve"> výsledkem nějaké události nebo okolnosti způsobené vyšší mocí.</w:t>
      </w:r>
    </w:p>
    <w:p w14:paraId="64512AED" w14:textId="77777777" w:rsidR="001102E7" w:rsidRDefault="007034CD">
      <w:pPr>
        <w:pStyle w:val="Zkladntext1"/>
        <w:numPr>
          <w:ilvl w:val="0"/>
          <w:numId w:val="20"/>
        </w:numPr>
        <w:shd w:val="clear" w:color="auto" w:fill="auto"/>
        <w:tabs>
          <w:tab w:val="left" w:pos="276"/>
        </w:tabs>
        <w:jc w:val="both"/>
      </w:pPr>
      <w:r>
        <w:lastRenderedPageBreak/>
        <w:t>Pro účely Smlouvy rozumí Smluvní strany pod pojmem „vyšší moc“ takovou mimořádnou a neodvratitelnou událost nebo okolnost, která nastala nezávisle na vůli Smluvní strany, která nemohla být při</w:t>
      </w:r>
      <w:r>
        <w:t xml:space="preserve"> uzavření Smlouvy předvídána a jejíž následky brání Smluvní straně v úplném či částečném plnění závazků podle Smlouvy, jako například válka, teroristické akce, blokáda, sabotáž, požár velkého rozsahu, živelná pohroma, rozhodnutí státních orgánů s dopadem n</w:t>
      </w:r>
      <w:r>
        <w:t>a plnění dle této Smlouvy, změny zákonů a jiných právních předpisů s dopadem na plnění dle Smlouvy či stavy nouze dle Energetického zákona.</w:t>
      </w:r>
    </w:p>
    <w:p w14:paraId="18E8A57C" w14:textId="77777777" w:rsidR="001102E7" w:rsidRDefault="007034CD">
      <w:pPr>
        <w:pStyle w:val="Zkladntext1"/>
        <w:numPr>
          <w:ilvl w:val="0"/>
          <w:numId w:val="20"/>
        </w:numPr>
        <w:shd w:val="clear" w:color="auto" w:fill="auto"/>
        <w:tabs>
          <w:tab w:val="left" w:pos="276"/>
        </w:tabs>
        <w:spacing w:after="360"/>
        <w:jc w:val="both"/>
      </w:pPr>
      <w:r>
        <w:t>O vzniku situace vyšší moci a jejích bližších okolnostech uvědomí Smluvní strana odvolávající se na vyšší moc neprod</w:t>
      </w:r>
      <w:r>
        <w:t>leně druhou Smluvní stranu. Stejným způsobem bude druhá Smluvní strana informována o pominutí situace vyšší moci, a pokud bude o to požádána, předloží důvěryhodný důkaz o existenci této skutečnosti.</w:t>
      </w:r>
    </w:p>
    <w:p w14:paraId="3021424A" w14:textId="77777777" w:rsidR="001102E7" w:rsidRDefault="007034CD">
      <w:pPr>
        <w:pStyle w:val="Nadpis30"/>
        <w:keepNext/>
        <w:keepLines/>
        <w:numPr>
          <w:ilvl w:val="0"/>
          <w:numId w:val="7"/>
        </w:numPr>
        <w:shd w:val="clear" w:color="auto" w:fill="auto"/>
        <w:tabs>
          <w:tab w:val="left" w:pos="294"/>
        </w:tabs>
      </w:pPr>
      <w:bookmarkStart w:id="50" w:name="bookmark50"/>
      <w:bookmarkStart w:id="51" w:name="bookmark51"/>
      <w:r>
        <w:t>Důvěrnost a registr smluv</w:t>
      </w:r>
      <w:bookmarkEnd w:id="50"/>
      <w:bookmarkEnd w:id="51"/>
    </w:p>
    <w:p w14:paraId="06F8EC39" w14:textId="77777777" w:rsidR="001102E7" w:rsidRDefault="007034CD">
      <w:pPr>
        <w:pStyle w:val="Zkladntext1"/>
        <w:numPr>
          <w:ilvl w:val="0"/>
          <w:numId w:val="21"/>
        </w:numPr>
        <w:shd w:val="clear" w:color="auto" w:fill="auto"/>
        <w:tabs>
          <w:tab w:val="left" w:pos="276"/>
        </w:tabs>
      </w:pPr>
      <w:r>
        <w:t xml:space="preserve">Smluvní strany </w:t>
      </w:r>
      <w:r>
        <w:t>prohlašují, že veškeré ekonomické, finanční, technické, obchodní, právní, služební a společenské údaje a informace, které vyplynou ze Smlouvy nebo při činnostech zajišťujících naplnění Smlouvy, budou považovat za společné důvěrné informace. Za důvěrné info</w:t>
      </w:r>
      <w:r>
        <w:t>rmace dle věty předchozí se nepovažují informace nezbytné pro uveřejnění Smlouvy v registru smluv dle odst. 6 a násl. tohoto článku.</w:t>
      </w:r>
    </w:p>
    <w:p w14:paraId="168B0A4C" w14:textId="77777777" w:rsidR="001102E7" w:rsidRDefault="007034CD">
      <w:pPr>
        <w:pStyle w:val="Zkladntext1"/>
        <w:numPr>
          <w:ilvl w:val="0"/>
          <w:numId w:val="21"/>
        </w:numPr>
        <w:shd w:val="clear" w:color="auto" w:fill="auto"/>
        <w:tabs>
          <w:tab w:val="left" w:pos="276"/>
        </w:tabs>
      </w:pPr>
      <w:r>
        <w:t>Smluvní strany se vzájemně zavazují, že tyto důvěrné informace budou chránit a utajovat před třetími osobami. Žádná ze smlu</w:t>
      </w:r>
      <w:r>
        <w:t>vních stran bez písemného souhlasu druhé smluvní strany neposkytne informace o obsahu této Smlouvy, s výjimkou veřejně publikovaných informací nebo poskytovaných na základě povinnosti ustanovené obecně závazným právním předpisem nebo smlouvy s OTE, a to an</w:t>
      </w:r>
      <w:r>
        <w:t>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w:t>
      </w:r>
      <w:r>
        <w:t>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w:t>
      </w:r>
      <w:r>
        <w:t xml:space="preserve">jících zadavatelů ve smyslu </w:t>
      </w:r>
      <w:proofErr w:type="spellStart"/>
      <w:r>
        <w:t>ust</w:t>
      </w:r>
      <w:proofErr w:type="spellEnd"/>
      <w:r>
        <w:t>. § 9 zákona č. 134/2016 Sb., o zadávání veřejných zakázek.</w:t>
      </w:r>
    </w:p>
    <w:p w14:paraId="6F16B2F0" w14:textId="77777777" w:rsidR="001102E7" w:rsidRDefault="007034CD">
      <w:pPr>
        <w:pStyle w:val="Zkladntext1"/>
        <w:numPr>
          <w:ilvl w:val="0"/>
          <w:numId w:val="21"/>
        </w:numPr>
        <w:shd w:val="clear" w:color="auto" w:fill="auto"/>
        <w:tabs>
          <w:tab w:val="left" w:pos="276"/>
        </w:tabs>
      </w:pPr>
      <w:r>
        <w:t>Smluvní strany se zavazují chránit osobní údaje subjektu údajů v souladu se zákonem č. 110/2019 Sb., o zpracování osobních údajů, v platném znění, a nařízením Evrops</w:t>
      </w:r>
      <w:r>
        <w:t>kého parlamentu a Rady (EU) 2016/679 ze dne 27. 4. 2016 o ochraně fyzických osob v souvislosti se zpracováním osobních údajů a o volném pohybu těchto údajů a o zrušení směrnice 95/46/ES (obecné nařízení o ochraně osobních údajů).</w:t>
      </w:r>
    </w:p>
    <w:p w14:paraId="54DB9D45" w14:textId="77777777" w:rsidR="001102E7" w:rsidRDefault="007034CD">
      <w:pPr>
        <w:pStyle w:val="Zkladntext1"/>
        <w:numPr>
          <w:ilvl w:val="0"/>
          <w:numId w:val="21"/>
        </w:numPr>
        <w:shd w:val="clear" w:color="auto" w:fill="auto"/>
        <w:tabs>
          <w:tab w:val="left" w:pos="276"/>
        </w:tabs>
      </w:pPr>
      <w:r>
        <w:t>Zákazník je oprávněn posky</w:t>
      </w:r>
      <w:r>
        <w:t>tovat důvěrné informace ovládající osobě (dle zákona o obchodních korporacích) a dále třetím osobám, které Zákazník pověřil plněním kterýchkoli svých zákonných či smluvních povinností souvisejících s touto Smlouvou.</w:t>
      </w:r>
    </w:p>
    <w:p w14:paraId="082D321E" w14:textId="77777777" w:rsidR="001102E7" w:rsidRDefault="007034CD">
      <w:pPr>
        <w:pStyle w:val="Zkladntext1"/>
        <w:numPr>
          <w:ilvl w:val="0"/>
          <w:numId w:val="21"/>
        </w:numPr>
        <w:shd w:val="clear" w:color="auto" w:fill="auto"/>
        <w:tabs>
          <w:tab w:val="left" w:pos="276"/>
        </w:tabs>
      </w:pPr>
      <w:r>
        <w:t>Povinnost mlčenlivosti dle ustanovení to</w:t>
      </w:r>
      <w:r>
        <w:t>hoto článku Smlouvy se rovněž nevztahuje na informační povinnost vyplývající z obecně platných právních předpisů.</w:t>
      </w:r>
    </w:p>
    <w:p w14:paraId="48E85867" w14:textId="77777777" w:rsidR="001102E7" w:rsidRDefault="007034CD">
      <w:pPr>
        <w:pStyle w:val="Zkladntext1"/>
        <w:numPr>
          <w:ilvl w:val="0"/>
          <w:numId w:val="21"/>
        </w:numPr>
        <w:shd w:val="clear" w:color="auto" w:fill="auto"/>
        <w:tabs>
          <w:tab w:val="left" w:pos="276"/>
        </w:tabs>
      </w:pPr>
      <w:r>
        <w:t xml:space="preserve">V případě, že Smlouva podléhá uveřejnění v registru smluv dle zákona č. 340/2015 Sb., o registru smluv, Smluvní strany se dohodly, že Smlouvu </w:t>
      </w:r>
      <w:r>
        <w:t>bez zbytečného odkladu, nejpozději do 30 dnů od uzavření Smlouvy, uveřejní Zákazník. Při uveřejnění je Zákazník povinen postupovat tak, aby nebyla ohrožena doba zahájení plnění ze Smlouvy, pokud si ji Smluvní strany sjednaly, případně vyplývá-li z účelu Sm</w:t>
      </w:r>
      <w:r>
        <w:t>louvy. Pro uveřejnění opravy uveřejněné Smlouvy nebo metadat Smlouvy platí ustanovení tohoto článku o uveřejnění přiměřeně.</w:t>
      </w:r>
    </w:p>
    <w:p w14:paraId="14944767" w14:textId="77777777" w:rsidR="001102E7" w:rsidRDefault="007034CD">
      <w:pPr>
        <w:pStyle w:val="Zkladntext1"/>
        <w:numPr>
          <w:ilvl w:val="0"/>
          <w:numId w:val="21"/>
        </w:numPr>
        <w:shd w:val="clear" w:color="auto" w:fill="auto"/>
        <w:tabs>
          <w:tab w:val="left" w:pos="276"/>
        </w:tabs>
      </w:pPr>
      <w:r>
        <w:t>Smluvní strany se zavazují zajistit, aby ve Smlouvě k uveřejnění v registru smluv byly chráněny formou znečitelnění podpisy osob zas</w:t>
      </w:r>
      <w:r>
        <w:t>tupujících Smluvní strany.</w:t>
      </w:r>
    </w:p>
    <w:p w14:paraId="1784080C" w14:textId="77777777" w:rsidR="001102E7" w:rsidRDefault="007034CD">
      <w:pPr>
        <w:pStyle w:val="Zkladntext1"/>
        <w:numPr>
          <w:ilvl w:val="0"/>
          <w:numId w:val="21"/>
        </w:numPr>
        <w:shd w:val="clear" w:color="auto" w:fill="auto"/>
        <w:tabs>
          <w:tab w:val="left" w:pos="276"/>
        </w:tabs>
      </w:pPr>
      <w:r>
        <w:t xml:space="preserve">Pro případ porušení některé z povinností sjednaných v čl. X. OPD, Smluvní strany sjednávají smluvní pokutu ve výši </w:t>
      </w:r>
      <w:proofErr w:type="gramStart"/>
      <w:r>
        <w:t>10.000,-</w:t>
      </w:r>
      <w:proofErr w:type="gramEnd"/>
      <w:r>
        <w:t xml:space="preserve"> Kč za každé jednotlivé porušení, kterou bude Smluvní strana povinná povinna zaplatit druhé Smluvní straně</w:t>
      </w:r>
      <w:r>
        <w:t>, pokud tato nárok na smluvní pokutu uplatní, a to v termínu shodném s ostatními platebními podmínkami. Zaplacením smluvní pokuty není dotčen nárok na náhradu škody převyšující smluvní pokutu.</w:t>
      </w:r>
    </w:p>
    <w:p w14:paraId="3F356EBB" w14:textId="77777777" w:rsidR="001102E7" w:rsidRDefault="007034CD">
      <w:pPr>
        <w:pStyle w:val="Zkladntext1"/>
        <w:numPr>
          <w:ilvl w:val="0"/>
          <w:numId w:val="21"/>
        </w:numPr>
        <w:shd w:val="clear" w:color="auto" w:fill="auto"/>
        <w:tabs>
          <w:tab w:val="left" w:pos="276"/>
        </w:tabs>
        <w:spacing w:after="360"/>
      </w:pPr>
      <w:r>
        <w:t>V případě, že Smlouva nepodléhá uveřejnění podle zákona o regis</w:t>
      </w:r>
      <w:r>
        <w:t>tru smluv a Smluvní strany se nad rámec toho dohodnou, že Smlouvu uveřejní, nebudou se na Smlouvu aplikovat ustanovení zákona o registru smluv, která se týkají účinnosti Smlouvy, případně následků spojených s neuveřejněním Smlouvy v registru smluv. Nad rám</w:t>
      </w:r>
      <w:r>
        <w:t>ec uvedeného, se v případě uveřejnění Smlouvy bez dohody s Obchodníkem aplikují v plném rozsahu ustanovení tohoto článku.</w:t>
      </w:r>
    </w:p>
    <w:p w14:paraId="7FE5C283" w14:textId="77777777" w:rsidR="001102E7" w:rsidRDefault="007034CD">
      <w:pPr>
        <w:pStyle w:val="Nadpis30"/>
        <w:keepNext/>
        <w:keepLines/>
        <w:numPr>
          <w:ilvl w:val="0"/>
          <w:numId w:val="7"/>
        </w:numPr>
        <w:shd w:val="clear" w:color="auto" w:fill="auto"/>
        <w:tabs>
          <w:tab w:val="left" w:pos="337"/>
        </w:tabs>
      </w:pPr>
      <w:bookmarkStart w:id="52" w:name="bookmark52"/>
      <w:bookmarkStart w:id="53" w:name="bookmark53"/>
      <w:r>
        <w:t>Řešení sporů</w:t>
      </w:r>
      <w:bookmarkEnd w:id="52"/>
      <w:bookmarkEnd w:id="53"/>
    </w:p>
    <w:p w14:paraId="2C641FD7" w14:textId="77777777" w:rsidR="001102E7" w:rsidRDefault="007034CD">
      <w:pPr>
        <w:pStyle w:val="Zkladntext1"/>
        <w:shd w:val="clear" w:color="auto" w:fill="auto"/>
      </w:pPr>
      <w:r>
        <w:rPr>
          <w:b/>
          <w:bCs/>
        </w:rPr>
        <w:t xml:space="preserve">1. </w:t>
      </w:r>
      <w:r>
        <w:t>Smluvní strany vynaloží veškeré úsilí, aby případné spory vyplývající z této Smlouvy, byly urovnány smírnou cestou. Za</w:t>
      </w:r>
      <w:r>
        <w:t>vazují se postupovat tak, aby situace byla objektivně vyřešena, a k dosažení tohoto cíle si budou poskytovat potřebnou součinnost.</w:t>
      </w:r>
    </w:p>
    <w:p w14:paraId="18264583" w14:textId="77777777" w:rsidR="001102E7" w:rsidRDefault="007034CD">
      <w:pPr>
        <w:pStyle w:val="Zkladntext1"/>
        <w:numPr>
          <w:ilvl w:val="0"/>
          <w:numId w:val="22"/>
        </w:numPr>
        <w:shd w:val="clear" w:color="auto" w:fill="auto"/>
        <w:tabs>
          <w:tab w:val="left" w:pos="276"/>
        </w:tabs>
      </w:pPr>
      <w:r>
        <w:t>Kterákoliv strana je oprávněna předložit spor k rozhodnutí Energetickému regulačnímu úřadu v případech, kdy je dána příslušno</w:t>
      </w:r>
      <w:r>
        <w:t>st tohoto úřadu dle Energetického zákona.</w:t>
      </w:r>
    </w:p>
    <w:p w14:paraId="0F45743B" w14:textId="77777777" w:rsidR="001102E7" w:rsidRDefault="007034CD">
      <w:pPr>
        <w:pStyle w:val="Zkladntext1"/>
        <w:numPr>
          <w:ilvl w:val="0"/>
          <w:numId w:val="22"/>
        </w:numPr>
        <w:shd w:val="clear" w:color="auto" w:fill="auto"/>
        <w:tabs>
          <w:tab w:val="left" w:pos="276"/>
        </w:tabs>
        <w:spacing w:after="360"/>
      </w:pPr>
      <w:r>
        <w:t>Ve smyslu ustanovení § 89a OSŘ se obě smluvní strany dohodly, že v případě řešení sporů soudní cestou bude místně příslušným soudem Okresní soud v Ostravě, popř. Krajský soud v Ostravě.</w:t>
      </w:r>
    </w:p>
    <w:p w14:paraId="7688B367" w14:textId="77777777" w:rsidR="001102E7" w:rsidRDefault="007034CD">
      <w:pPr>
        <w:pStyle w:val="Nadpis30"/>
        <w:keepNext/>
        <w:keepLines/>
        <w:numPr>
          <w:ilvl w:val="0"/>
          <w:numId w:val="7"/>
        </w:numPr>
        <w:shd w:val="clear" w:color="auto" w:fill="auto"/>
        <w:tabs>
          <w:tab w:val="left" w:pos="380"/>
        </w:tabs>
      </w:pPr>
      <w:bookmarkStart w:id="54" w:name="bookmark54"/>
      <w:bookmarkStart w:id="55" w:name="bookmark55"/>
      <w:r>
        <w:t>Doručování</w:t>
      </w:r>
      <w:bookmarkEnd w:id="54"/>
      <w:bookmarkEnd w:id="55"/>
    </w:p>
    <w:p w14:paraId="75576A8E" w14:textId="77777777" w:rsidR="001102E7" w:rsidRDefault="007034CD">
      <w:pPr>
        <w:pStyle w:val="Zkladntext1"/>
        <w:shd w:val="clear" w:color="auto" w:fill="auto"/>
      </w:pPr>
      <w:r>
        <w:rPr>
          <w:b/>
          <w:bCs/>
        </w:rPr>
        <w:t xml:space="preserve">1. </w:t>
      </w:r>
      <w:r>
        <w:t xml:space="preserve">Smluvní </w:t>
      </w:r>
      <w:r>
        <w:t>strany se dohodly na tomto vzájemném způsobu doručování písemností; není-li ve Smlouvě nebo OPD uvedeno jinak, lze jakékoliv sdělení či jiný dokument, jenž má nebo může být doručen podle této Smlouvy, doručit:</w:t>
      </w:r>
    </w:p>
    <w:p w14:paraId="359FB868" w14:textId="77777777" w:rsidR="001102E7" w:rsidRDefault="007034CD">
      <w:pPr>
        <w:pStyle w:val="Zkladntext1"/>
        <w:shd w:val="clear" w:color="auto" w:fill="auto"/>
        <w:spacing w:after="0"/>
        <w:ind w:firstLine="380"/>
      </w:pPr>
      <w:r>
        <w:t>a) osobně;</w:t>
      </w:r>
    </w:p>
    <w:p w14:paraId="4B723A22" w14:textId="77777777" w:rsidR="001102E7" w:rsidRDefault="007034CD">
      <w:pPr>
        <w:pStyle w:val="Zkladntext1"/>
        <w:shd w:val="clear" w:color="auto" w:fill="auto"/>
        <w:spacing w:after="0"/>
        <w:ind w:firstLine="380"/>
      </w:pPr>
      <w:r>
        <w:t>b) doporučeným dopisem;</w:t>
      </w:r>
    </w:p>
    <w:p w14:paraId="782D07B6" w14:textId="77777777" w:rsidR="001102E7" w:rsidRDefault="007034CD">
      <w:pPr>
        <w:pStyle w:val="Zkladntext1"/>
        <w:numPr>
          <w:ilvl w:val="0"/>
          <w:numId w:val="15"/>
        </w:numPr>
        <w:shd w:val="clear" w:color="auto" w:fill="auto"/>
        <w:tabs>
          <w:tab w:val="left" w:pos="740"/>
        </w:tabs>
        <w:ind w:firstLine="380"/>
      </w:pPr>
      <w:r>
        <w:t>e-mailem;</w:t>
      </w:r>
    </w:p>
    <w:p w14:paraId="728DB764" w14:textId="77777777" w:rsidR="001102E7" w:rsidRDefault="007034CD">
      <w:pPr>
        <w:pStyle w:val="Zkladntext1"/>
        <w:shd w:val="clear" w:color="auto" w:fill="auto"/>
        <w:spacing w:after="220"/>
        <w:jc w:val="both"/>
      </w:pPr>
      <w:r>
        <w:t>Č</w:t>
      </w:r>
      <w:r>
        <w:t>ÍSLO SMLOUVY ZÁKAZNÍKA:</w:t>
      </w:r>
    </w:p>
    <w:p w14:paraId="41C17548" w14:textId="77777777" w:rsidR="001102E7" w:rsidRDefault="007034CD">
      <w:pPr>
        <w:pStyle w:val="Zkladntext1"/>
        <w:numPr>
          <w:ilvl w:val="0"/>
          <w:numId w:val="15"/>
        </w:numPr>
        <w:shd w:val="clear" w:color="auto" w:fill="auto"/>
        <w:tabs>
          <w:tab w:val="left" w:pos="740"/>
        </w:tabs>
        <w:spacing w:after="120"/>
        <w:ind w:firstLine="380"/>
      </w:pPr>
      <w:r>
        <w:t>datovou schránkou</w:t>
      </w:r>
    </w:p>
    <w:p w14:paraId="35BD3209" w14:textId="77777777" w:rsidR="001102E7" w:rsidRDefault="007034CD">
      <w:pPr>
        <w:pStyle w:val="Zkladntext1"/>
        <w:shd w:val="clear" w:color="auto" w:fill="auto"/>
        <w:spacing w:after="120"/>
        <w:jc w:val="both"/>
      </w:pPr>
      <w:r>
        <w:t xml:space="preserve">na adresu té které Smluvní strany uvedené v záhlaví této Smlouvy nebo jinou adresu, která bude po uzavření této Smlouvy písemně sdělena druhé Smluvní straně; pokud jde o doručení e-mailem na e-mailovou </w:t>
      </w:r>
      <w:r>
        <w:t>adresu, která bude po uzavření této Smlouvy písemně sdělena druhé Smluvní straně.</w:t>
      </w:r>
    </w:p>
    <w:p w14:paraId="363545CF" w14:textId="77777777" w:rsidR="001102E7" w:rsidRDefault="007034CD">
      <w:pPr>
        <w:pStyle w:val="Zkladntext1"/>
        <w:shd w:val="clear" w:color="auto" w:fill="auto"/>
        <w:jc w:val="both"/>
      </w:pPr>
      <w:r>
        <w:rPr>
          <w:b/>
          <w:bCs/>
        </w:rPr>
        <w:lastRenderedPageBreak/>
        <w:t xml:space="preserve">2. </w:t>
      </w:r>
      <w:r>
        <w:t>Jakékoliv sdělení, oznámení či jiný dokument bude považován za doručený, pokud je doručováno:</w:t>
      </w:r>
    </w:p>
    <w:p w14:paraId="34C3D511" w14:textId="77777777" w:rsidR="001102E7" w:rsidRDefault="007034CD">
      <w:pPr>
        <w:pStyle w:val="Zkladntext1"/>
        <w:shd w:val="clear" w:color="auto" w:fill="auto"/>
        <w:spacing w:after="0"/>
        <w:ind w:firstLine="380"/>
      </w:pPr>
      <w:r>
        <w:t>a) osobně, v okamžiku doručení;</w:t>
      </w:r>
    </w:p>
    <w:p w14:paraId="57D1AFDC" w14:textId="77777777" w:rsidR="001102E7" w:rsidRDefault="007034CD">
      <w:pPr>
        <w:pStyle w:val="Zkladntext1"/>
        <w:shd w:val="clear" w:color="auto" w:fill="auto"/>
        <w:spacing w:after="0"/>
        <w:ind w:left="740" w:hanging="360"/>
        <w:jc w:val="both"/>
      </w:pPr>
      <w:r>
        <w:t>b) doporučenou poštou, den skutečného doručen</w:t>
      </w:r>
      <w:r>
        <w:t>í a v případě pochybností pět pracovních dnů poté, co bylo poštovním úřadem vystaveno potvrzení o odeslání;</w:t>
      </w:r>
    </w:p>
    <w:p w14:paraId="22547E17" w14:textId="77777777" w:rsidR="001102E7" w:rsidRDefault="007034CD">
      <w:pPr>
        <w:pStyle w:val="Zkladntext1"/>
        <w:numPr>
          <w:ilvl w:val="0"/>
          <w:numId w:val="11"/>
        </w:numPr>
        <w:shd w:val="clear" w:color="auto" w:fill="auto"/>
        <w:tabs>
          <w:tab w:val="left" w:pos="740"/>
        </w:tabs>
        <w:spacing w:after="360"/>
        <w:ind w:left="740" w:hanging="360"/>
        <w:jc w:val="both"/>
      </w:pPr>
      <w:r>
        <w:t xml:space="preserve">e-mailem, tři hodiny po odeslání, jestliže je doručováno do 12.00 hod. v pracovní den, event. v 10.00 hod následujícího pracovního dne, </w:t>
      </w:r>
      <w:r>
        <w:t>jestliže je doručováno po 12.00 hodině nebo v den, který není dnem pracovním.</w:t>
      </w:r>
    </w:p>
    <w:p w14:paraId="1E75F2CD" w14:textId="77777777" w:rsidR="001102E7" w:rsidRDefault="007034CD">
      <w:pPr>
        <w:pStyle w:val="Nadpis30"/>
        <w:keepNext/>
        <w:keepLines/>
        <w:numPr>
          <w:ilvl w:val="0"/>
          <w:numId w:val="7"/>
        </w:numPr>
        <w:shd w:val="clear" w:color="auto" w:fill="auto"/>
        <w:tabs>
          <w:tab w:val="left" w:pos="428"/>
        </w:tabs>
      </w:pPr>
      <w:bookmarkStart w:id="56" w:name="bookmark56"/>
      <w:bookmarkStart w:id="57" w:name="bookmark57"/>
      <w:r>
        <w:t>Závěrečná ustanovení</w:t>
      </w:r>
      <w:bookmarkEnd w:id="56"/>
      <w:bookmarkEnd w:id="57"/>
    </w:p>
    <w:p w14:paraId="2DF07006" w14:textId="77777777" w:rsidR="001102E7" w:rsidRDefault="007034CD">
      <w:pPr>
        <w:pStyle w:val="Zkladntext1"/>
        <w:shd w:val="clear" w:color="auto" w:fill="auto"/>
        <w:jc w:val="both"/>
      </w:pPr>
      <w:r>
        <w:rPr>
          <w:b/>
          <w:bCs/>
        </w:rPr>
        <w:t xml:space="preserve">1. </w:t>
      </w:r>
      <w:r>
        <w:t>Podmínky odchylující se od OPD sjednají obě smluvní strany ve Smlouvě. V případě rozporů mezi ujednáními v OPD a ujednáními ve Smlouvě mají přednost ujedn</w:t>
      </w:r>
      <w:r>
        <w:t>ání Smlouvy.</w:t>
      </w:r>
    </w:p>
    <w:p w14:paraId="7C066FF1" w14:textId="77777777" w:rsidR="001102E7" w:rsidRDefault="007034CD">
      <w:pPr>
        <w:pStyle w:val="Zkladntext1"/>
        <w:shd w:val="clear" w:color="auto" w:fill="auto"/>
        <w:spacing w:after="120"/>
        <w:jc w:val="both"/>
        <w:sectPr w:rsidR="001102E7">
          <w:headerReference w:type="default" r:id="rId11"/>
          <w:footerReference w:type="default" r:id="rId12"/>
          <w:pgSz w:w="11900" w:h="16840"/>
          <w:pgMar w:top="1233" w:right="1373" w:bottom="1423" w:left="1374" w:header="0" w:footer="3" w:gutter="0"/>
          <w:pgNumType w:start="1"/>
          <w:cols w:space="720"/>
          <w:noEndnote/>
          <w:docGrid w:linePitch="360"/>
        </w:sectPr>
      </w:pPr>
      <w:r>
        <w:rPr>
          <w:b/>
          <w:bCs/>
        </w:rPr>
        <w:t xml:space="preserve">2. </w:t>
      </w:r>
      <w:r>
        <w:t xml:space="preserve">Ve věcech neupravených OPD a Smlouvou se postupuje dle příslušných právních předpisů. Ukáže-li se nebo </w:t>
      </w:r>
      <w:r>
        <w:t>stane-li se některé ustanovení Smlouvy nebo OPD neplatným nebo neúčinným, zůstávají ostatní ustanovení Smlouvy a OPD v platnosti a zbývající obsah smlouvy a OPD bude nahrazen příslušnými ustanoveními platných právních předpisů.</w:t>
      </w:r>
    </w:p>
    <w:p w14:paraId="1E01619F" w14:textId="77777777" w:rsidR="001102E7" w:rsidRDefault="001102E7">
      <w:pPr>
        <w:spacing w:line="239" w:lineRule="exact"/>
        <w:rPr>
          <w:sz w:val="19"/>
          <w:szCs w:val="19"/>
        </w:rPr>
      </w:pPr>
    </w:p>
    <w:p w14:paraId="360AC7FC" w14:textId="77777777" w:rsidR="001102E7" w:rsidRDefault="001102E7">
      <w:pPr>
        <w:spacing w:line="1" w:lineRule="exact"/>
        <w:sectPr w:rsidR="001102E7">
          <w:headerReference w:type="default" r:id="rId13"/>
          <w:footerReference w:type="default" r:id="rId14"/>
          <w:pgSz w:w="11900" w:h="16840"/>
          <w:pgMar w:top="1354" w:right="1412" w:bottom="1224" w:left="1412" w:header="0" w:footer="3" w:gutter="0"/>
          <w:cols w:space="720"/>
          <w:noEndnote/>
          <w:docGrid w:linePitch="360"/>
        </w:sectPr>
      </w:pPr>
    </w:p>
    <w:p w14:paraId="56A6E35D" w14:textId="77777777" w:rsidR="001102E7" w:rsidRDefault="007034CD">
      <w:pPr>
        <w:pStyle w:val="Nadpis10"/>
        <w:keepNext/>
        <w:keepLines/>
        <w:framePr w:w="2006" w:h="1056" w:wrap="none" w:vAnchor="text" w:hAnchor="page" w:x="5089" w:y="21"/>
        <w:shd w:val="clear" w:color="auto" w:fill="auto"/>
        <w:spacing w:after="0" w:line="307" w:lineRule="auto"/>
      </w:pPr>
      <w:bookmarkStart w:id="58" w:name="bookmark58"/>
      <w:bookmarkStart w:id="59" w:name="bookmark59"/>
      <w:r>
        <w:t>Příloha č. 2</w:t>
      </w:r>
      <w:r>
        <w:br/>
        <w:t>Cena elektřiny</w:t>
      </w:r>
      <w:bookmarkEnd w:id="58"/>
      <w:bookmarkEnd w:id="59"/>
    </w:p>
    <w:p w14:paraId="5B6D584D" w14:textId="77777777" w:rsidR="001102E7" w:rsidRDefault="007034CD">
      <w:pPr>
        <w:spacing w:line="360" w:lineRule="exact"/>
      </w:pPr>
      <w:r>
        <w:rPr>
          <w:noProof/>
        </w:rPr>
        <w:drawing>
          <wp:anchor distT="0" distB="0" distL="0" distR="0" simplePos="0" relativeHeight="62914709" behindDoc="1" locked="0" layoutInCell="1" allowOverlap="1" wp14:anchorId="1A6CA2AF" wp14:editId="54A9C1A7">
            <wp:simplePos x="0" y="0"/>
            <wp:positionH relativeFrom="page">
              <wp:posOffset>896620</wp:posOffset>
            </wp:positionH>
            <wp:positionV relativeFrom="paragraph">
              <wp:posOffset>895985</wp:posOffset>
            </wp:positionV>
            <wp:extent cx="5767070" cy="2767330"/>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5"/>
                    <a:stretch/>
                  </pic:blipFill>
                  <pic:spPr>
                    <a:xfrm>
                      <a:off x="0" y="0"/>
                      <a:ext cx="5767070" cy="2767330"/>
                    </a:xfrm>
                    <a:prstGeom prst="rect">
                      <a:avLst/>
                    </a:prstGeom>
                  </pic:spPr>
                </pic:pic>
              </a:graphicData>
            </a:graphic>
          </wp:anchor>
        </w:drawing>
      </w:r>
    </w:p>
    <w:p w14:paraId="0CE162EF" w14:textId="77777777" w:rsidR="001102E7" w:rsidRDefault="001102E7">
      <w:pPr>
        <w:spacing w:line="360" w:lineRule="exact"/>
      </w:pPr>
    </w:p>
    <w:p w14:paraId="3D9D1FF3" w14:textId="77777777" w:rsidR="001102E7" w:rsidRDefault="001102E7">
      <w:pPr>
        <w:spacing w:line="360" w:lineRule="exact"/>
      </w:pPr>
    </w:p>
    <w:p w14:paraId="4FDF7ECC" w14:textId="77777777" w:rsidR="001102E7" w:rsidRDefault="001102E7">
      <w:pPr>
        <w:spacing w:line="360" w:lineRule="exact"/>
      </w:pPr>
    </w:p>
    <w:p w14:paraId="4C1049ED" w14:textId="77777777" w:rsidR="001102E7" w:rsidRDefault="001102E7">
      <w:pPr>
        <w:spacing w:line="360" w:lineRule="exact"/>
      </w:pPr>
    </w:p>
    <w:p w14:paraId="27F0DF91" w14:textId="77777777" w:rsidR="001102E7" w:rsidRDefault="001102E7">
      <w:pPr>
        <w:spacing w:line="360" w:lineRule="exact"/>
      </w:pPr>
    </w:p>
    <w:p w14:paraId="5EBD88AD" w14:textId="77777777" w:rsidR="001102E7" w:rsidRDefault="001102E7">
      <w:pPr>
        <w:spacing w:line="360" w:lineRule="exact"/>
      </w:pPr>
    </w:p>
    <w:p w14:paraId="28314E3C" w14:textId="77777777" w:rsidR="001102E7" w:rsidRDefault="001102E7">
      <w:pPr>
        <w:spacing w:line="360" w:lineRule="exact"/>
      </w:pPr>
    </w:p>
    <w:p w14:paraId="0693112B" w14:textId="77777777" w:rsidR="001102E7" w:rsidRDefault="001102E7">
      <w:pPr>
        <w:spacing w:line="360" w:lineRule="exact"/>
      </w:pPr>
    </w:p>
    <w:p w14:paraId="53064908" w14:textId="77777777" w:rsidR="001102E7" w:rsidRDefault="001102E7">
      <w:pPr>
        <w:spacing w:line="360" w:lineRule="exact"/>
      </w:pPr>
    </w:p>
    <w:p w14:paraId="332C8A67" w14:textId="77777777" w:rsidR="001102E7" w:rsidRDefault="001102E7">
      <w:pPr>
        <w:spacing w:line="360" w:lineRule="exact"/>
      </w:pPr>
    </w:p>
    <w:p w14:paraId="4EC66ABB" w14:textId="77777777" w:rsidR="001102E7" w:rsidRDefault="001102E7">
      <w:pPr>
        <w:spacing w:line="360" w:lineRule="exact"/>
      </w:pPr>
    </w:p>
    <w:p w14:paraId="2CF9758E" w14:textId="77777777" w:rsidR="001102E7" w:rsidRDefault="001102E7">
      <w:pPr>
        <w:spacing w:line="360" w:lineRule="exact"/>
      </w:pPr>
    </w:p>
    <w:p w14:paraId="791F9875" w14:textId="77777777" w:rsidR="001102E7" w:rsidRDefault="001102E7">
      <w:pPr>
        <w:spacing w:line="360" w:lineRule="exact"/>
      </w:pPr>
    </w:p>
    <w:p w14:paraId="4C28B278" w14:textId="77777777" w:rsidR="001102E7" w:rsidRDefault="001102E7">
      <w:pPr>
        <w:spacing w:line="360" w:lineRule="exact"/>
      </w:pPr>
    </w:p>
    <w:p w14:paraId="50538A12" w14:textId="77777777" w:rsidR="001102E7" w:rsidRDefault="001102E7">
      <w:pPr>
        <w:spacing w:after="369" w:line="1" w:lineRule="exact"/>
      </w:pPr>
    </w:p>
    <w:p w14:paraId="2FE4C4A2" w14:textId="77777777" w:rsidR="001102E7" w:rsidRDefault="001102E7">
      <w:pPr>
        <w:spacing w:line="1" w:lineRule="exact"/>
        <w:sectPr w:rsidR="001102E7">
          <w:type w:val="continuous"/>
          <w:pgSz w:w="11900" w:h="16840"/>
          <w:pgMar w:top="1354" w:right="1412" w:bottom="1224" w:left="1412"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912"/>
        <w:gridCol w:w="826"/>
        <w:gridCol w:w="1190"/>
        <w:gridCol w:w="1190"/>
        <w:gridCol w:w="1421"/>
        <w:gridCol w:w="1430"/>
        <w:gridCol w:w="907"/>
        <w:gridCol w:w="725"/>
        <w:gridCol w:w="734"/>
      </w:tblGrid>
      <w:tr w:rsidR="001102E7" w14:paraId="27E3D870" w14:textId="77777777">
        <w:tblPrEx>
          <w:tblCellMar>
            <w:top w:w="0" w:type="dxa"/>
            <w:bottom w:w="0" w:type="dxa"/>
          </w:tblCellMar>
        </w:tblPrEx>
        <w:trPr>
          <w:trHeight w:hRule="exact" w:val="341"/>
          <w:jc w:val="center"/>
        </w:trPr>
        <w:tc>
          <w:tcPr>
            <w:tcW w:w="518" w:type="dxa"/>
            <w:tcBorders>
              <w:top w:val="single" w:sz="4" w:space="0" w:color="auto"/>
              <w:left w:val="single" w:sz="4" w:space="0" w:color="auto"/>
            </w:tcBorders>
            <w:shd w:val="clear" w:color="auto" w:fill="C0C0C0"/>
            <w:vAlign w:val="center"/>
          </w:tcPr>
          <w:p w14:paraId="76584A7F" w14:textId="77777777" w:rsidR="001102E7" w:rsidRDefault="007034CD">
            <w:pPr>
              <w:pStyle w:val="Jin0"/>
              <w:shd w:val="clear" w:color="auto" w:fill="auto"/>
              <w:spacing w:after="0"/>
              <w:jc w:val="center"/>
              <w:rPr>
                <w:sz w:val="9"/>
                <w:szCs w:val="9"/>
              </w:rPr>
            </w:pPr>
            <w:r>
              <w:rPr>
                <w:b/>
                <w:bCs/>
                <w:color w:val="404040"/>
                <w:sz w:val="9"/>
                <w:szCs w:val="9"/>
              </w:rPr>
              <w:lastRenderedPageBreak/>
              <w:t>Pořadí</w:t>
            </w:r>
          </w:p>
        </w:tc>
        <w:tc>
          <w:tcPr>
            <w:tcW w:w="912" w:type="dxa"/>
            <w:tcBorders>
              <w:top w:val="single" w:sz="4" w:space="0" w:color="auto"/>
            </w:tcBorders>
            <w:shd w:val="clear" w:color="auto" w:fill="C0C0C0"/>
            <w:vAlign w:val="center"/>
          </w:tcPr>
          <w:p w14:paraId="342EED90" w14:textId="77777777" w:rsidR="001102E7" w:rsidRDefault="007034CD">
            <w:pPr>
              <w:pStyle w:val="Jin0"/>
              <w:shd w:val="clear" w:color="auto" w:fill="auto"/>
              <w:spacing w:after="0"/>
              <w:jc w:val="center"/>
              <w:rPr>
                <w:sz w:val="9"/>
                <w:szCs w:val="9"/>
              </w:rPr>
            </w:pPr>
            <w:r>
              <w:rPr>
                <w:b/>
                <w:bCs/>
                <w:color w:val="404040"/>
                <w:sz w:val="9"/>
                <w:szCs w:val="9"/>
              </w:rPr>
              <w:t>Variabilní symbol</w:t>
            </w:r>
          </w:p>
        </w:tc>
        <w:tc>
          <w:tcPr>
            <w:tcW w:w="826" w:type="dxa"/>
            <w:tcBorders>
              <w:top w:val="single" w:sz="4" w:space="0" w:color="auto"/>
            </w:tcBorders>
            <w:shd w:val="clear" w:color="auto" w:fill="C0C0C0"/>
            <w:vAlign w:val="center"/>
          </w:tcPr>
          <w:p w14:paraId="075C77DF" w14:textId="77777777" w:rsidR="001102E7" w:rsidRDefault="007034CD">
            <w:pPr>
              <w:pStyle w:val="Jin0"/>
              <w:shd w:val="clear" w:color="auto" w:fill="auto"/>
              <w:spacing w:after="0"/>
              <w:jc w:val="center"/>
              <w:rPr>
                <w:sz w:val="9"/>
                <w:szCs w:val="9"/>
              </w:rPr>
            </w:pPr>
            <w:r>
              <w:rPr>
                <w:b/>
                <w:bCs/>
                <w:color w:val="404040"/>
                <w:sz w:val="9"/>
                <w:szCs w:val="9"/>
              </w:rPr>
              <w:t xml:space="preserve">Č. </w:t>
            </w:r>
            <w:r>
              <w:rPr>
                <w:b/>
                <w:bCs/>
                <w:color w:val="404040"/>
                <w:sz w:val="9"/>
                <w:szCs w:val="9"/>
              </w:rPr>
              <w:t>smlouvy</w:t>
            </w:r>
          </w:p>
        </w:tc>
        <w:tc>
          <w:tcPr>
            <w:tcW w:w="1190" w:type="dxa"/>
            <w:tcBorders>
              <w:top w:val="single" w:sz="4" w:space="0" w:color="auto"/>
            </w:tcBorders>
            <w:shd w:val="clear" w:color="auto" w:fill="C0C0C0"/>
            <w:vAlign w:val="center"/>
          </w:tcPr>
          <w:p w14:paraId="016F4F3A" w14:textId="77777777" w:rsidR="001102E7" w:rsidRDefault="007034CD">
            <w:pPr>
              <w:pStyle w:val="Jin0"/>
              <w:shd w:val="clear" w:color="auto" w:fill="auto"/>
              <w:spacing w:after="0"/>
              <w:jc w:val="center"/>
              <w:rPr>
                <w:sz w:val="9"/>
                <w:szCs w:val="9"/>
              </w:rPr>
            </w:pPr>
            <w:r>
              <w:rPr>
                <w:b/>
                <w:bCs/>
                <w:color w:val="404040"/>
                <w:sz w:val="9"/>
                <w:szCs w:val="9"/>
              </w:rPr>
              <w:t>EAN</w:t>
            </w:r>
          </w:p>
        </w:tc>
        <w:tc>
          <w:tcPr>
            <w:tcW w:w="1190" w:type="dxa"/>
            <w:tcBorders>
              <w:top w:val="single" w:sz="4" w:space="0" w:color="auto"/>
            </w:tcBorders>
            <w:shd w:val="clear" w:color="auto" w:fill="C0C0C0"/>
            <w:vAlign w:val="center"/>
          </w:tcPr>
          <w:p w14:paraId="263F13CD" w14:textId="77777777" w:rsidR="001102E7" w:rsidRDefault="007034CD">
            <w:pPr>
              <w:pStyle w:val="Jin0"/>
              <w:shd w:val="clear" w:color="auto" w:fill="auto"/>
              <w:spacing w:after="0"/>
              <w:rPr>
                <w:sz w:val="9"/>
                <w:szCs w:val="9"/>
              </w:rPr>
            </w:pPr>
            <w:r>
              <w:rPr>
                <w:b/>
                <w:bCs/>
                <w:color w:val="404040"/>
                <w:sz w:val="9"/>
                <w:szCs w:val="9"/>
              </w:rPr>
              <w:t>Adresa odběrného místa</w:t>
            </w:r>
          </w:p>
        </w:tc>
        <w:tc>
          <w:tcPr>
            <w:tcW w:w="1421" w:type="dxa"/>
            <w:tcBorders>
              <w:top w:val="single" w:sz="4" w:space="0" w:color="auto"/>
            </w:tcBorders>
            <w:shd w:val="clear" w:color="auto" w:fill="C0C0C0"/>
            <w:vAlign w:val="center"/>
          </w:tcPr>
          <w:p w14:paraId="5CE76DFF" w14:textId="77777777" w:rsidR="001102E7" w:rsidRDefault="007034CD">
            <w:pPr>
              <w:pStyle w:val="Jin0"/>
              <w:shd w:val="clear" w:color="auto" w:fill="auto"/>
              <w:spacing w:after="0" w:line="290" w:lineRule="auto"/>
              <w:jc w:val="center"/>
              <w:rPr>
                <w:sz w:val="9"/>
                <w:szCs w:val="9"/>
              </w:rPr>
            </w:pPr>
            <w:r>
              <w:rPr>
                <w:b/>
                <w:bCs/>
                <w:color w:val="404040"/>
                <w:sz w:val="9"/>
                <w:szCs w:val="9"/>
              </w:rPr>
              <w:t>Předpokládaná spotřeba VT (</w:t>
            </w:r>
            <w:proofErr w:type="spellStart"/>
            <w:r>
              <w:rPr>
                <w:b/>
                <w:bCs/>
                <w:color w:val="404040"/>
                <w:sz w:val="9"/>
                <w:szCs w:val="9"/>
              </w:rPr>
              <w:t>MWh</w:t>
            </w:r>
            <w:proofErr w:type="spellEnd"/>
            <w:r>
              <w:rPr>
                <w:b/>
                <w:bCs/>
                <w:color w:val="404040"/>
                <w:sz w:val="9"/>
                <w:szCs w:val="9"/>
              </w:rPr>
              <w:t>)</w:t>
            </w:r>
          </w:p>
        </w:tc>
        <w:tc>
          <w:tcPr>
            <w:tcW w:w="1430" w:type="dxa"/>
            <w:tcBorders>
              <w:top w:val="single" w:sz="4" w:space="0" w:color="auto"/>
            </w:tcBorders>
            <w:shd w:val="clear" w:color="auto" w:fill="C0C0C0"/>
            <w:vAlign w:val="center"/>
          </w:tcPr>
          <w:p w14:paraId="3573C2C4" w14:textId="77777777" w:rsidR="001102E7" w:rsidRDefault="007034CD">
            <w:pPr>
              <w:pStyle w:val="Jin0"/>
              <w:shd w:val="clear" w:color="auto" w:fill="auto"/>
              <w:spacing w:after="0" w:line="290" w:lineRule="auto"/>
              <w:jc w:val="center"/>
              <w:rPr>
                <w:sz w:val="9"/>
                <w:szCs w:val="9"/>
              </w:rPr>
            </w:pPr>
            <w:r>
              <w:rPr>
                <w:b/>
                <w:bCs/>
                <w:color w:val="404040"/>
                <w:sz w:val="9"/>
                <w:szCs w:val="9"/>
              </w:rPr>
              <w:t>Předpokládaná spotřeba NT (</w:t>
            </w:r>
            <w:proofErr w:type="spellStart"/>
            <w:r>
              <w:rPr>
                <w:b/>
                <w:bCs/>
                <w:color w:val="404040"/>
                <w:sz w:val="9"/>
                <w:szCs w:val="9"/>
              </w:rPr>
              <w:t>MWh</w:t>
            </w:r>
            <w:proofErr w:type="spellEnd"/>
            <w:r>
              <w:rPr>
                <w:b/>
                <w:bCs/>
                <w:color w:val="404040"/>
                <w:sz w:val="9"/>
                <w:szCs w:val="9"/>
              </w:rPr>
              <w:t>)</w:t>
            </w:r>
          </w:p>
        </w:tc>
        <w:tc>
          <w:tcPr>
            <w:tcW w:w="907" w:type="dxa"/>
            <w:tcBorders>
              <w:top w:val="single" w:sz="4" w:space="0" w:color="auto"/>
            </w:tcBorders>
            <w:shd w:val="clear" w:color="auto" w:fill="C0C0C0"/>
            <w:vAlign w:val="center"/>
          </w:tcPr>
          <w:p w14:paraId="3503A362" w14:textId="77777777" w:rsidR="001102E7" w:rsidRDefault="007034CD">
            <w:pPr>
              <w:pStyle w:val="Jin0"/>
              <w:shd w:val="clear" w:color="auto" w:fill="auto"/>
              <w:spacing w:after="0"/>
              <w:jc w:val="center"/>
              <w:rPr>
                <w:sz w:val="9"/>
                <w:szCs w:val="9"/>
              </w:rPr>
            </w:pPr>
            <w:r>
              <w:rPr>
                <w:b/>
                <w:bCs/>
                <w:color w:val="404040"/>
                <w:sz w:val="9"/>
                <w:szCs w:val="9"/>
              </w:rPr>
              <w:t>Distribuční sazba</w:t>
            </w:r>
          </w:p>
        </w:tc>
        <w:tc>
          <w:tcPr>
            <w:tcW w:w="725" w:type="dxa"/>
            <w:tcBorders>
              <w:top w:val="single" w:sz="4" w:space="0" w:color="auto"/>
            </w:tcBorders>
            <w:shd w:val="clear" w:color="auto" w:fill="C0C0C0"/>
            <w:vAlign w:val="center"/>
          </w:tcPr>
          <w:p w14:paraId="679FB9B2" w14:textId="77777777" w:rsidR="001102E7" w:rsidRDefault="007034CD">
            <w:pPr>
              <w:pStyle w:val="Jin0"/>
              <w:shd w:val="clear" w:color="auto" w:fill="auto"/>
              <w:spacing w:after="0"/>
              <w:jc w:val="center"/>
              <w:rPr>
                <w:sz w:val="9"/>
                <w:szCs w:val="9"/>
              </w:rPr>
            </w:pPr>
            <w:r>
              <w:rPr>
                <w:b/>
                <w:bCs/>
                <w:color w:val="404040"/>
                <w:sz w:val="9"/>
                <w:szCs w:val="9"/>
              </w:rPr>
              <w:t>Jistič</w:t>
            </w:r>
          </w:p>
        </w:tc>
        <w:tc>
          <w:tcPr>
            <w:tcW w:w="734" w:type="dxa"/>
            <w:tcBorders>
              <w:top w:val="single" w:sz="4" w:space="0" w:color="auto"/>
              <w:right w:val="single" w:sz="4" w:space="0" w:color="auto"/>
            </w:tcBorders>
            <w:shd w:val="clear" w:color="auto" w:fill="C0C0C0"/>
            <w:vAlign w:val="center"/>
          </w:tcPr>
          <w:p w14:paraId="75A3CC5C" w14:textId="77777777" w:rsidR="001102E7" w:rsidRDefault="007034CD">
            <w:pPr>
              <w:pStyle w:val="Jin0"/>
              <w:shd w:val="clear" w:color="auto" w:fill="auto"/>
              <w:spacing w:after="0"/>
              <w:jc w:val="center"/>
              <w:rPr>
                <w:sz w:val="9"/>
                <w:szCs w:val="9"/>
              </w:rPr>
            </w:pPr>
            <w:r>
              <w:rPr>
                <w:b/>
                <w:bCs/>
                <w:color w:val="404040"/>
                <w:sz w:val="9"/>
                <w:szCs w:val="9"/>
              </w:rPr>
              <w:t>Počet fází</w:t>
            </w:r>
          </w:p>
        </w:tc>
      </w:tr>
      <w:tr w:rsidR="001102E7" w14:paraId="57F5203D" w14:textId="77777777">
        <w:tblPrEx>
          <w:tblCellMar>
            <w:top w:w="0" w:type="dxa"/>
            <w:bottom w:w="0" w:type="dxa"/>
          </w:tblCellMar>
        </w:tblPrEx>
        <w:trPr>
          <w:trHeight w:hRule="exact" w:val="317"/>
          <w:jc w:val="center"/>
        </w:trPr>
        <w:tc>
          <w:tcPr>
            <w:tcW w:w="518" w:type="dxa"/>
            <w:tcBorders>
              <w:top w:val="single" w:sz="4" w:space="0" w:color="auto"/>
              <w:left w:val="single" w:sz="4" w:space="0" w:color="auto"/>
              <w:bottom w:val="single" w:sz="4" w:space="0" w:color="auto"/>
            </w:tcBorders>
            <w:shd w:val="clear" w:color="auto" w:fill="FFFFFF"/>
            <w:vAlign w:val="center"/>
          </w:tcPr>
          <w:p w14:paraId="6AF313A1" w14:textId="77777777" w:rsidR="001102E7" w:rsidRDefault="007034CD">
            <w:pPr>
              <w:pStyle w:val="Jin0"/>
              <w:shd w:val="clear" w:color="auto" w:fill="auto"/>
              <w:spacing w:after="0"/>
              <w:jc w:val="center"/>
              <w:rPr>
                <w:sz w:val="9"/>
                <w:szCs w:val="9"/>
              </w:rPr>
            </w:pPr>
            <w:r>
              <w:rPr>
                <w:sz w:val="9"/>
                <w:szCs w:val="9"/>
              </w:rPr>
              <w:t>1</w:t>
            </w:r>
          </w:p>
        </w:tc>
        <w:tc>
          <w:tcPr>
            <w:tcW w:w="912" w:type="dxa"/>
            <w:tcBorders>
              <w:top w:val="single" w:sz="4" w:space="0" w:color="auto"/>
              <w:left w:val="single" w:sz="4" w:space="0" w:color="auto"/>
              <w:bottom w:val="single" w:sz="4" w:space="0" w:color="auto"/>
            </w:tcBorders>
            <w:shd w:val="clear" w:color="auto" w:fill="FFFFFF"/>
            <w:vAlign w:val="center"/>
          </w:tcPr>
          <w:p w14:paraId="0A450A9E" w14:textId="77777777" w:rsidR="001102E7" w:rsidRDefault="007034CD">
            <w:pPr>
              <w:pStyle w:val="Jin0"/>
              <w:shd w:val="clear" w:color="auto" w:fill="auto"/>
              <w:spacing w:after="0"/>
              <w:jc w:val="center"/>
              <w:rPr>
                <w:sz w:val="9"/>
                <w:szCs w:val="9"/>
              </w:rPr>
            </w:pPr>
            <w:r>
              <w:rPr>
                <w:sz w:val="9"/>
                <w:szCs w:val="9"/>
              </w:rPr>
              <w:t>7500001094</w:t>
            </w:r>
          </w:p>
        </w:tc>
        <w:tc>
          <w:tcPr>
            <w:tcW w:w="826" w:type="dxa"/>
            <w:tcBorders>
              <w:top w:val="single" w:sz="4" w:space="0" w:color="auto"/>
              <w:left w:val="single" w:sz="4" w:space="0" w:color="auto"/>
              <w:bottom w:val="single" w:sz="4" w:space="0" w:color="auto"/>
            </w:tcBorders>
            <w:shd w:val="clear" w:color="auto" w:fill="FFFFFF"/>
            <w:vAlign w:val="center"/>
          </w:tcPr>
          <w:p w14:paraId="15B4FE15" w14:textId="77777777" w:rsidR="001102E7" w:rsidRDefault="007034CD">
            <w:pPr>
              <w:pStyle w:val="Jin0"/>
              <w:shd w:val="clear" w:color="auto" w:fill="auto"/>
              <w:spacing w:after="0"/>
              <w:jc w:val="center"/>
              <w:rPr>
                <w:sz w:val="9"/>
                <w:szCs w:val="9"/>
              </w:rPr>
            </w:pPr>
            <w:r>
              <w:rPr>
                <w:sz w:val="9"/>
                <w:szCs w:val="9"/>
              </w:rPr>
              <w:t>E001904</w:t>
            </w:r>
          </w:p>
        </w:tc>
        <w:tc>
          <w:tcPr>
            <w:tcW w:w="1190" w:type="dxa"/>
            <w:tcBorders>
              <w:top w:val="single" w:sz="4" w:space="0" w:color="auto"/>
              <w:left w:val="single" w:sz="4" w:space="0" w:color="auto"/>
              <w:bottom w:val="single" w:sz="4" w:space="0" w:color="auto"/>
            </w:tcBorders>
            <w:shd w:val="clear" w:color="auto" w:fill="FFFFFF"/>
            <w:vAlign w:val="center"/>
          </w:tcPr>
          <w:p w14:paraId="5B842553" w14:textId="77777777" w:rsidR="001102E7" w:rsidRDefault="007034CD">
            <w:pPr>
              <w:pStyle w:val="Jin0"/>
              <w:shd w:val="clear" w:color="auto" w:fill="auto"/>
              <w:spacing w:after="0"/>
              <w:jc w:val="center"/>
              <w:rPr>
                <w:sz w:val="9"/>
                <w:szCs w:val="9"/>
              </w:rPr>
            </w:pPr>
            <w:r>
              <w:rPr>
                <w:sz w:val="9"/>
                <w:szCs w:val="9"/>
              </w:rPr>
              <w:t>859182400509267923</w:t>
            </w:r>
          </w:p>
        </w:tc>
        <w:tc>
          <w:tcPr>
            <w:tcW w:w="1190" w:type="dxa"/>
            <w:tcBorders>
              <w:top w:val="single" w:sz="4" w:space="0" w:color="auto"/>
              <w:left w:val="single" w:sz="4" w:space="0" w:color="auto"/>
              <w:bottom w:val="single" w:sz="4" w:space="0" w:color="auto"/>
            </w:tcBorders>
            <w:shd w:val="clear" w:color="auto" w:fill="FFFFFF"/>
            <w:vAlign w:val="bottom"/>
          </w:tcPr>
          <w:p w14:paraId="7798B5BE" w14:textId="77777777" w:rsidR="001102E7" w:rsidRDefault="007034CD">
            <w:pPr>
              <w:pStyle w:val="Jin0"/>
              <w:shd w:val="clear" w:color="auto" w:fill="auto"/>
              <w:spacing w:after="0" w:line="276" w:lineRule="auto"/>
              <w:jc w:val="center"/>
              <w:rPr>
                <w:sz w:val="9"/>
                <w:szCs w:val="9"/>
              </w:rPr>
            </w:pPr>
            <w:r>
              <w:rPr>
                <w:sz w:val="9"/>
                <w:szCs w:val="9"/>
              </w:rPr>
              <w:t>CZ, 70200, Ostrava, Dvořákova 1037/4</w:t>
            </w:r>
          </w:p>
        </w:tc>
        <w:tc>
          <w:tcPr>
            <w:tcW w:w="1421" w:type="dxa"/>
            <w:tcBorders>
              <w:top w:val="single" w:sz="4" w:space="0" w:color="auto"/>
              <w:left w:val="single" w:sz="4" w:space="0" w:color="auto"/>
              <w:bottom w:val="single" w:sz="4" w:space="0" w:color="auto"/>
            </w:tcBorders>
            <w:shd w:val="clear" w:color="auto" w:fill="FFFFFF"/>
            <w:vAlign w:val="center"/>
          </w:tcPr>
          <w:p w14:paraId="38813D00" w14:textId="77777777" w:rsidR="001102E7" w:rsidRDefault="007034CD">
            <w:pPr>
              <w:pStyle w:val="Jin0"/>
              <w:shd w:val="clear" w:color="auto" w:fill="auto"/>
              <w:spacing w:after="0"/>
              <w:jc w:val="center"/>
              <w:rPr>
                <w:sz w:val="9"/>
                <w:szCs w:val="9"/>
              </w:rPr>
            </w:pPr>
            <w:r>
              <w:rPr>
                <w:sz w:val="9"/>
                <w:szCs w:val="9"/>
              </w:rPr>
              <w:t>4,228</w:t>
            </w:r>
          </w:p>
        </w:tc>
        <w:tc>
          <w:tcPr>
            <w:tcW w:w="1430" w:type="dxa"/>
            <w:tcBorders>
              <w:top w:val="single" w:sz="4" w:space="0" w:color="auto"/>
              <w:left w:val="single" w:sz="4" w:space="0" w:color="auto"/>
              <w:bottom w:val="single" w:sz="4" w:space="0" w:color="auto"/>
            </w:tcBorders>
            <w:shd w:val="clear" w:color="auto" w:fill="FFFFFF"/>
            <w:vAlign w:val="center"/>
          </w:tcPr>
          <w:p w14:paraId="510DEFF5" w14:textId="77777777" w:rsidR="001102E7" w:rsidRDefault="007034CD">
            <w:pPr>
              <w:pStyle w:val="Jin0"/>
              <w:shd w:val="clear" w:color="auto" w:fill="auto"/>
              <w:spacing w:after="0"/>
              <w:jc w:val="center"/>
              <w:rPr>
                <w:sz w:val="9"/>
                <w:szCs w:val="9"/>
              </w:rPr>
            </w:pPr>
            <w:r>
              <w:rPr>
                <w:sz w:val="9"/>
                <w:szCs w:val="9"/>
              </w:rPr>
              <w:t>0,951</w:t>
            </w:r>
          </w:p>
        </w:tc>
        <w:tc>
          <w:tcPr>
            <w:tcW w:w="907" w:type="dxa"/>
            <w:tcBorders>
              <w:top w:val="single" w:sz="4" w:space="0" w:color="auto"/>
              <w:left w:val="single" w:sz="4" w:space="0" w:color="auto"/>
              <w:bottom w:val="single" w:sz="4" w:space="0" w:color="auto"/>
            </w:tcBorders>
            <w:shd w:val="clear" w:color="auto" w:fill="FFFFFF"/>
            <w:vAlign w:val="center"/>
          </w:tcPr>
          <w:p w14:paraId="1EBB645F" w14:textId="77777777" w:rsidR="001102E7" w:rsidRDefault="007034CD">
            <w:pPr>
              <w:pStyle w:val="Jin0"/>
              <w:shd w:val="clear" w:color="auto" w:fill="auto"/>
              <w:spacing w:after="0"/>
              <w:jc w:val="center"/>
              <w:rPr>
                <w:sz w:val="9"/>
                <w:szCs w:val="9"/>
              </w:rPr>
            </w:pPr>
            <w:r>
              <w:rPr>
                <w:sz w:val="9"/>
                <w:szCs w:val="9"/>
              </w:rPr>
              <w:t>C25d</w:t>
            </w:r>
          </w:p>
        </w:tc>
        <w:tc>
          <w:tcPr>
            <w:tcW w:w="725" w:type="dxa"/>
            <w:tcBorders>
              <w:top w:val="single" w:sz="4" w:space="0" w:color="auto"/>
              <w:left w:val="single" w:sz="4" w:space="0" w:color="auto"/>
              <w:bottom w:val="single" w:sz="4" w:space="0" w:color="auto"/>
            </w:tcBorders>
            <w:shd w:val="clear" w:color="auto" w:fill="FFFFFF"/>
            <w:vAlign w:val="center"/>
          </w:tcPr>
          <w:p w14:paraId="1606463D" w14:textId="77777777" w:rsidR="001102E7" w:rsidRDefault="007034CD">
            <w:pPr>
              <w:pStyle w:val="Jin0"/>
              <w:shd w:val="clear" w:color="auto" w:fill="auto"/>
              <w:spacing w:after="0"/>
              <w:jc w:val="center"/>
              <w:rPr>
                <w:sz w:val="9"/>
                <w:szCs w:val="9"/>
              </w:rPr>
            </w:pPr>
            <w:r>
              <w:rPr>
                <w:sz w:val="9"/>
                <w:szCs w:val="9"/>
              </w:rPr>
              <w:t>25</w:t>
            </w: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09C14EB5" w14:textId="77777777" w:rsidR="001102E7" w:rsidRDefault="007034CD">
            <w:pPr>
              <w:pStyle w:val="Jin0"/>
              <w:shd w:val="clear" w:color="auto" w:fill="auto"/>
              <w:spacing w:after="0"/>
              <w:jc w:val="center"/>
              <w:rPr>
                <w:sz w:val="9"/>
                <w:szCs w:val="9"/>
              </w:rPr>
            </w:pPr>
            <w:r>
              <w:rPr>
                <w:sz w:val="9"/>
                <w:szCs w:val="9"/>
              </w:rPr>
              <w:t>3</w:t>
            </w:r>
          </w:p>
        </w:tc>
      </w:tr>
    </w:tbl>
    <w:p w14:paraId="71E29D9F" w14:textId="77777777" w:rsidR="001102E7" w:rsidRDefault="001102E7">
      <w:pPr>
        <w:sectPr w:rsidR="001102E7">
          <w:headerReference w:type="default" r:id="rId16"/>
          <w:footerReference w:type="default" r:id="rId17"/>
          <w:pgSz w:w="11900" w:h="16840"/>
          <w:pgMar w:top="1789" w:right="1035" w:bottom="1789" w:left="1011" w:header="0" w:footer="1361" w:gutter="0"/>
          <w:pgNumType w:start="16"/>
          <w:cols w:space="720"/>
          <w:noEndnote/>
          <w:docGrid w:linePitch="360"/>
        </w:sectPr>
      </w:pPr>
    </w:p>
    <w:p w14:paraId="1DC5D852" w14:textId="77777777" w:rsidR="001102E7" w:rsidRDefault="007034CD">
      <w:pPr>
        <w:pStyle w:val="Nadpis10"/>
        <w:keepNext/>
        <w:keepLines/>
        <w:shd w:val="clear" w:color="auto" w:fill="auto"/>
        <w:spacing w:after="100" w:line="240" w:lineRule="auto"/>
      </w:pPr>
      <w:bookmarkStart w:id="60" w:name="bookmark60"/>
      <w:bookmarkStart w:id="61" w:name="bookmark61"/>
      <w:r>
        <w:lastRenderedPageBreak/>
        <w:t>Příloha č. 4</w:t>
      </w:r>
      <w:bookmarkEnd w:id="60"/>
      <w:bookmarkEnd w:id="61"/>
    </w:p>
    <w:p w14:paraId="4A08897F" w14:textId="77777777" w:rsidR="001102E7" w:rsidRDefault="007034CD">
      <w:pPr>
        <w:pStyle w:val="Nadpis10"/>
        <w:keepNext/>
        <w:keepLines/>
        <w:shd w:val="clear" w:color="auto" w:fill="auto"/>
        <w:spacing w:after="720" w:line="240" w:lineRule="auto"/>
      </w:pPr>
      <w:bookmarkStart w:id="62" w:name="bookmark62"/>
      <w:bookmarkStart w:id="63" w:name="bookmark63"/>
      <w:r>
        <w:t>Kontakty a kontaktní osoby oprávněné k jednání pro naplnění</w:t>
      </w:r>
      <w:r>
        <w:br/>
        <w:t>Smlouvy</w:t>
      </w:r>
      <w:bookmarkEnd w:id="62"/>
      <w:bookmarkEnd w:id="63"/>
    </w:p>
    <w:p w14:paraId="448FA075" w14:textId="77777777" w:rsidR="001102E7" w:rsidRDefault="007034CD">
      <w:pPr>
        <w:pStyle w:val="Zkladntext40"/>
        <w:shd w:val="clear" w:color="auto" w:fill="auto"/>
        <w:spacing w:after="100"/>
      </w:pPr>
      <w:r>
        <w:t xml:space="preserve">Kontaktní osoby za </w:t>
      </w:r>
      <w:r>
        <w:rPr>
          <w:b/>
          <w:bCs/>
        </w:rPr>
        <w:t>Obchodníka</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3475"/>
        <w:gridCol w:w="922"/>
        <w:gridCol w:w="3206"/>
      </w:tblGrid>
      <w:tr w:rsidR="001102E7" w14:paraId="357D3CAD" w14:textId="77777777">
        <w:tblPrEx>
          <w:tblCellMar>
            <w:top w:w="0" w:type="dxa"/>
            <w:bottom w:w="0" w:type="dxa"/>
          </w:tblCellMar>
        </w:tblPrEx>
        <w:trPr>
          <w:trHeight w:hRule="exact" w:val="346"/>
          <w:jc w:val="center"/>
        </w:trPr>
        <w:tc>
          <w:tcPr>
            <w:tcW w:w="8525" w:type="dxa"/>
            <w:gridSpan w:val="4"/>
            <w:tcBorders>
              <w:top w:val="single" w:sz="4" w:space="0" w:color="auto"/>
              <w:left w:val="single" w:sz="4" w:space="0" w:color="auto"/>
              <w:right w:val="single" w:sz="4" w:space="0" w:color="auto"/>
            </w:tcBorders>
            <w:shd w:val="clear" w:color="auto" w:fill="FFFFFF"/>
          </w:tcPr>
          <w:p w14:paraId="550B81BE" w14:textId="77777777" w:rsidR="001102E7" w:rsidRDefault="007034CD">
            <w:pPr>
              <w:pStyle w:val="Jin0"/>
              <w:shd w:val="clear" w:color="auto" w:fill="auto"/>
              <w:spacing w:after="0"/>
              <w:jc w:val="center"/>
              <w:rPr>
                <w:sz w:val="18"/>
                <w:szCs w:val="18"/>
              </w:rPr>
            </w:pPr>
            <w:r>
              <w:rPr>
                <w:rFonts w:ascii="Calibri" w:eastAsia="Calibri" w:hAnsi="Calibri" w:cs="Calibri"/>
                <w:b/>
                <w:bCs/>
                <w:sz w:val="18"/>
                <w:szCs w:val="18"/>
              </w:rPr>
              <w:t>Osoby oprávněné k jednání ve věcech smluvních</w:t>
            </w:r>
          </w:p>
        </w:tc>
      </w:tr>
      <w:tr w:rsidR="001102E7" w14:paraId="52EF2179"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208D8CD8" w14:textId="77777777" w:rsidR="001102E7" w:rsidRDefault="007034CD">
            <w:pPr>
              <w:pStyle w:val="Jin0"/>
              <w:shd w:val="clear" w:color="auto" w:fill="auto"/>
              <w:spacing w:after="0"/>
              <w:rPr>
                <w:sz w:val="20"/>
                <w:szCs w:val="20"/>
              </w:rPr>
            </w:pPr>
            <w:r>
              <w:rPr>
                <w:rFonts w:ascii="Calibri" w:eastAsia="Calibri" w:hAnsi="Calibri" w:cs="Calibri"/>
                <w:sz w:val="20"/>
                <w:szCs w:val="20"/>
              </w:rPr>
              <w:t>jméno:</w:t>
            </w:r>
          </w:p>
        </w:tc>
        <w:tc>
          <w:tcPr>
            <w:tcW w:w="3475" w:type="dxa"/>
            <w:tcBorders>
              <w:top w:val="single" w:sz="4" w:space="0" w:color="auto"/>
              <w:left w:val="single" w:sz="4" w:space="0" w:color="auto"/>
            </w:tcBorders>
            <w:shd w:val="clear" w:color="auto" w:fill="FFFFFF"/>
          </w:tcPr>
          <w:p w14:paraId="716105B2" w14:textId="77777777" w:rsidR="001102E7" w:rsidRDefault="007034CD">
            <w:pPr>
              <w:pStyle w:val="Jin0"/>
              <w:shd w:val="clear" w:color="auto" w:fill="auto"/>
              <w:spacing w:after="0"/>
              <w:rPr>
                <w:sz w:val="20"/>
                <w:szCs w:val="20"/>
              </w:rPr>
            </w:pPr>
            <w:r>
              <w:rPr>
                <w:rFonts w:ascii="Calibri" w:eastAsia="Calibri" w:hAnsi="Calibri" w:cs="Calibri"/>
                <w:sz w:val="20"/>
                <w:szCs w:val="20"/>
              </w:rPr>
              <w:t xml:space="preserve">Markéta </w:t>
            </w:r>
            <w:r>
              <w:rPr>
                <w:rFonts w:ascii="Calibri" w:eastAsia="Calibri" w:hAnsi="Calibri" w:cs="Calibri"/>
                <w:sz w:val="20"/>
                <w:szCs w:val="20"/>
              </w:rPr>
              <w:t>Veverková</w:t>
            </w:r>
          </w:p>
        </w:tc>
        <w:tc>
          <w:tcPr>
            <w:tcW w:w="922" w:type="dxa"/>
            <w:tcBorders>
              <w:top w:val="single" w:sz="4" w:space="0" w:color="auto"/>
              <w:left w:val="single" w:sz="4" w:space="0" w:color="auto"/>
            </w:tcBorders>
            <w:shd w:val="clear" w:color="auto" w:fill="FFFFFF"/>
          </w:tcPr>
          <w:p w14:paraId="32246597" w14:textId="77777777" w:rsidR="001102E7" w:rsidRDefault="007034CD">
            <w:pPr>
              <w:pStyle w:val="Jin0"/>
              <w:shd w:val="clear" w:color="auto" w:fill="auto"/>
              <w:spacing w:after="0"/>
              <w:rPr>
                <w:sz w:val="20"/>
                <w:szCs w:val="20"/>
              </w:rPr>
            </w:pPr>
            <w:r>
              <w:rPr>
                <w:rFonts w:ascii="Calibri" w:eastAsia="Calibri" w:hAnsi="Calibri" w:cs="Calibri"/>
                <w:sz w:val="20"/>
                <w:szCs w:val="20"/>
              </w:rPr>
              <w:t>jméno:</w:t>
            </w:r>
          </w:p>
        </w:tc>
        <w:tc>
          <w:tcPr>
            <w:tcW w:w="3206" w:type="dxa"/>
            <w:tcBorders>
              <w:top w:val="single" w:sz="4" w:space="0" w:color="auto"/>
              <w:left w:val="single" w:sz="4" w:space="0" w:color="auto"/>
              <w:right w:val="single" w:sz="4" w:space="0" w:color="auto"/>
            </w:tcBorders>
            <w:shd w:val="clear" w:color="auto" w:fill="FFFFFF"/>
          </w:tcPr>
          <w:p w14:paraId="395A294C" w14:textId="77777777" w:rsidR="001102E7" w:rsidRDefault="007034CD">
            <w:pPr>
              <w:pStyle w:val="Jin0"/>
              <w:shd w:val="clear" w:color="auto" w:fill="auto"/>
              <w:spacing w:after="0"/>
              <w:rPr>
                <w:sz w:val="20"/>
                <w:szCs w:val="20"/>
              </w:rPr>
            </w:pPr>
            <w:r>
              <w:rPr>
                <w:rFonts w:ascii="Calibri" w:eastAsia="Calibri" w:hAnsi="Calibri" w:cs="Calibri"/>
                <w:sz w:val="20"/>
                <w:szCs w:val="20"/>
              </w:rPr>
              <w:t xml:space="preserve">Andrea </w:t>
            </w:r>
            <w:proofErr w:type="spellStart"/>
            <w:r>
              <w:rPr>
                <w:rFonts w:ascii="Calibri" w:eastAsia="Calibri" w:hAnsi="Calibri" w:cs="Calibri"/>
                <w:sz w:val="20"/>
                <w:szCs w:val="20"/>
              </w:rPr>
              <w:t>Calábková</w:t>
            </w:r>
            <w:proofErr w:type="spellEnd"/>
          </w:p>
        </w:tc>
      </w:tr>
      <w:tr w:rsidR="001102E7" w14:paraId="3203E7B0"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3AE40922" w14:textId="77777777" w:rsidR="001102E7" w:rsidRDefault="007034CD">
            <w:pPr>
              <w:pStyle w:val="Jin0"/>
              <w:shd w:val="clear" w:color="auto" w:fill="auto"/>
              <w:spacing w:after="0"/>
              <w:rPr>
                <w:sz w:val="20"/>
                <w:szCs w:val="20"/>
              </w:rPr>
            </w:pPr>
            <w:r>
              <w:rPr>
                <w:rFonts w:ascii="Calibri" w:eastAsia="Calibri" w:hAnsi="Calibri" w:cs="Calibri"/>
                <w:sz w:val="20"/>
                <w:szCs w:val="20"/>
              </w:rPr>
              <w:t>adresa:</w:t>
            </w:r>
          </w:p>
        </w:tc>
        <w:tc>
          <w:tcPr>
            <w:tcW w:w="3475" w:type="dxa"/>
            <w:tcBorders>
              <w:top w:val="single" w:sz="4" w:space="0" w:color="auto"/>
              <w:left w:val="single" w:sz="4" w:space="0" w:color="auto"/>
            </w:tcBorders>
            <w:shd w:val="clear" w:color="auto" w:fill="FFFFFF"/>
          </w:tcPr>
          <w:p w14:paraId="593F1F96" w14:textId="77777777" w:rsidR="001102E7" w:rsidRDefault="007034CD">
            <w:pPr>
              <w:pStyle w:val="Jin0"/>
              <w:shd w:val="clear" w:color="auto" w:fill="auto"/>
              <w:spacing w:after="0"/>
              <w:rPr>
                <w:sz w:val="20"/>
                <w:szCs w:val="20"/>
              </w:rPr>
            </w:pPr>
            <w:r>
              <w:rPr>
                <w:rFonts w:ascii="Calibri" w:eastAsia="Calibri" w:hAnsi="Calibri" w:cs="Calibri"/>
                <w:sz w:val="20"/>
                <w:szCs w:val="20"/>
              </w:rPr>
              <w:t>Radlická 364/152, Praha 5, 150 00</w:t>
            </w:r>
          </w:p>
        </w:tc>
        <w:tc>
          <w:tcPr>
            <w:tcW w:w="922" w:type="dxa"/>
            <w:tcBorders>
              <w:top w:val="single" w:sz="4" w:space="0" w:color="auto"/>
              <w:left w:val="single" w:sz="4" w:space="0" w:color="auto"/>
            </w:tcBorders>
            <w:shd w:val="clear" w:color="auto" w:fill="FFFFFF"/>
          </w:tcPr>
          <w:p w14:paraId="65ABAD35" w14:textId="77777777" w:rsidR="001102E7" w:rsidRDefault="007034CD">
            <w:pPr>
              <w:pStyle w:val="Jin0"/>
              <w:shd w:val="clear" w:color="auto" w:fill="auto"/>
              <w:spacing w:after="0"/>
              <w:rPr>
                <w:sz w:val="20"/>
                <w:szCs w:val="20"/>
              </w:rPr>
            </w:pPr>
            <w:r>
              <w:rPr>
                <w:rFonts w:ascii="Calibri" w:eastAsia="Calibri" w:hAnsi="Calibri" w:cs="Calibri"/>
                <w:sz w:val="20"/>
                <w:szCs w:val="20"/>
              </w:rPr>
              <w:t>adresa:</w:t>
            </w:r>
          </w:p>
        </w:tc>
        <w:tc>
          <w:tcPr>
            <w:tcW w:w="3206" w:type="dxa"/>
            <w:tcBorders>
              <w:top w:val="single" w:sz="4" w:space="0" w:color="auto"/>
              <w:left w:val="single" w:sz="4" w:space="0" w:color="auto"/>
              <w:right w:val="single" w:sz="4" w:space="0" w:color="auto"/>
            </w:tcBorders>
            <w:shd w:val="clear" w:color="auto" w:fill="FFFFFF"/>
          </w:tcPr>
          <w:p w14:paraId="0620C3CB" w14:textId="77777777" w:rsidR="001102E7" w:rsidRDefault="007034CD">
            <w:pPr>
              <w:pStyle w:val="Jin0"/>
              <w:shd w:val="clear" w:color="auto" w:fill="auto"/>
              <w:spacing w:after="0"/>
              <w:rPr>
                <w:sz w:val="20"/>
                <w:szCs w:val="20"/>
              </w:rPr>
            </w:pPr>
            <w:r>
              <w:rPr>
                <w:rFonts w:ascii="Calibri" w:eastAsia="Calibri" w:hAnsi="Calibri" w:cs="Calibri"/>
                <w:sz w:val="20"/>
                <w:szCs w:val="20"/>
              </w:rPr>
              <w:t>Dvořákova 1037/4</w:t>
            </w:r>
          </w:p>
        </w:tc>
      </w:tr>
      <w:tr w:rsidR="001102E7" w14:paraId="0A180FEE" w14:textId="77777777">
        <w:tblPrEx>
          <w:tblCellMar>
            <w:top w:w="0" w:type="dxa"/>
            <w:bottom w:w="0" w:type="dxa"/>
          </w:tblCellMar>
        </w:tblPrEx>
        <w:trPr>
          <w:trHeight w:hRule="exact" w:val="379"/>
          <w:jc w:val="center"/>
        </w:trPr>
        <w:tc>
          <w:tcPr>
            <w:tcW w:w="922" w:type="dxa"/>
            <w:tcBorders>
              <w:top w:val="single" w:sz="4" w:space="0" w:color="auto"/>
              <w:left w:val="single" w:sz="4" w:space="0" w:color="auto"/>
            </w:tcBorders>
            <w:shd w:val="clear" w:color="auto" w:fill="FFFFFF"/>
          </w:tcPr>
          <w:p w14:paraId="5ADC1377" w14:textId="77777777" w:rsidR="001102E7" w:rsidRDefault="007034CD">
            <w:pPr>
              <w:pStyle w:val="Jin0"/>
              <w:shd w:val="clear" w:color="auto" w:fill="auto"/>
              <w:spacing w:after="0"/>
              <w:rPr>
                <w:sz w:val="20"/>
                <w:szCs w:val="20"/>
              </w:rPr>
            </w:pPr>
            <w:r>
              <w:rPr>
                <w:rFonts w:ascii="Calibri" w:eastAsia="Calibri" w:hAnsi="Calibri" w:cs="Calibri"/>
                <w:sz w:val="20"/>
                <w:szCs w:val="20"/>
              </w:rPr>
              <w:t>e-mail:</w:t>
            </w:r>
          </w:p>
        </w:tc>
        <w:tc>
          <w:tcPr>
            <w:tcW w:w="3475" w:type="dxa"/>
            <w:tcBorders>
              <w:top w:val="single" w:sz="4" w:space="0" w:color="auto"/>
              <w:left w:val="single" w:sz="4" w:space="0" w:color="auto"/>
            </w:tcBorders>
            <w:shd w:val="clear" w:color="auto" w:fill="FFFFFF"/>
          </w:tcPr>
          <w:p w14:paraId="47E3B5D7" w14:textId="77777777" w:rsidR="001102E7" w:rsidRDefault="007034CD">
            <w:pPr>
              <w:pStyle w:val="Jin0"/>
              <w:shd w:val="clear" w:color="auto" w:fill="auto"/>
              <w:spacing w:after="0"/>
              <w:rPr>
                <w:sz w:val="20"/>
                <w:szCs w:val="20"/>
              </w:rPr>
            </w:pPr>
            <w:hyperlink r:id="rId18" w:history="1">
              <w:r>
                <w:rPr>
                  <w:rFonts w:ascii="Calibri" w:eastAsia="Calibri" w:hAnsi="Calibri" w:cs="Calibri"/>
                  <w:sz w:val="20"/>
                  <w:szCs w:val="20"/>
                  <w:lang w:val="en-US" w:eastAsia="en-US" w:bidi="en-US"/>
                </w:rPr>
                <w:t>marketa.veverkova@veolia.com</w:t>
              </w:r>
            </w:hyperlink>
          </w:p>
        </w:tc>
        <w:tc>
          <w:tcPr>
            <w:tcW w:w="922" w:type="dxa"/>
            <w:tcBorders>
              <w:top w:val="single" w:sz="4" w:space="0" w:color="auto"/>
              <w:left w:val="single" w:sz="4" w:space="0" w:color="auto"/>
            </w:tcBorders>
            <w:shd w:val="clear" w:color="auto" w:fill="FFFFFF"/>
          </w:tcPr>
          <w:p w14:paraId="05C3CB61" w14:textId="77777777" w:rsidR="001102E7" w:rsidRDefault="007034CD">
            <w:pPr>
              <w:pStyle w:val="Jin0"/>
              <w:shd w:val="clear" w:color="auto" w:fill="auto"/>
              <w:spacing w:after="0"/>
              <w:rPr>
                <w:sz w:val="20"/>
                <w:szCs w:val="20"/>
              </w:rPr>
            </w:pPr>
            <w:r>
              <w:rPr>
                <w:rFonts w:ascii="Calibri" w:eastAsia="Calibri" w:hAnsi="Calibri" w:cs="Calibri"/>
                <w:sz w:val="20"/>
                <w:szCs w:val="20"/>
              </w:rPr>
              <w:t>e-mail:</w:t>
            </w:r>
          </w:p>
        </w:tc>
        <w:tc>
          <w:tcPr>
            <w:tcW w:w="3206" w:type="dxa"/>
            <w:tcBorders>
              <w:top w:val="single" w:sz="4" w:space="0" w:color="auto"/>
              <w:left w:val="single" w:sz="4" w:space="0" w:color="auto"/>
              <w:right w:val="single" w:sz="4" w:space="0" w:color="auto"/>
            </w:tcBorders>
            <w:shd w:val="clear" w:color="auto" w:fill="FFFFFF"/>
          </w:tcPr>
          <w:p w14:paraId="435E0CA6" w14:textId="77777777" w:rsidR="001102E7" w:rsidRDefault="007034CD">
            <w:pPr>
              <w:pStyle w:val="Jin0"/>
              <w:shd w:val="clear" w:color="auto" w:fill="auto"/>
              <w:spacing w:after="0"/>
              <w:rPr>
                <w:sz w:val="20"/>
                <w:szCs w:val="20"/>
              </w:rPr>
            </w:pPr>
            <w:hyperlink r:id="rId19" w:history="1">
              <w:r>
                <w:rPr>
                  <w:rFonts w:ascii="Calibri" w:eastAsia="Calibri" w:hAnsi="Calibri" w:cs="Calibri"/>
                  <w:sz w:val="20"/>
                  <w:szCs w:val="20"/>
                  <w:lang w:val="en-US" w:eastAsia="en-US" w:bidi="en-US"/>
                </w:rPr>
                <w:t>ms-dvorakova@seznam.cz</w:t>
              </w:r>
            </w:hyperlink>
          </w:p>
        </w:tc>
      </w:tr>
      <w:tr w:rsidR="001102E7" w14:paraId="5EE9F006"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5827C5D9" w14:textId="77777777" w:rsidR="001102E7" w:rsidRDefault="007034CD">
            <w:pPr>
              <w:pStyle w:val="Jin0"/>
              <w:shd w:val="clear" w:color="auto" w:fill="auto"/>
              <w:spacing w:after="0"/>
              <w:rPr>
                <w:sz w:val="20"/>
                <w:szCs w:val="20"/>
              </w:rPr>
            </w:pPr>
            <w:r>
              <w:rPr>
                <w:rFonts w:ascii="Calibri" w:eastAsia="Calibri" w:hAnsi="Calibri" w:cs="Calibri"/>
                <w:sz w:val="20"/>
                <w:szCs w:val="20"/>
              </w:rPr>
              <w:t>telefon:</w:t>
            </w:r>
          </w:p>
        </w:tc>
        <w:tc>
          <w:tcPr>
            <w:tcW w:w="3475" w:type="dxa"/>
            <w:tcBorders>
              <w:top w:val="single" w:sz="4" w:space="0" w:color="auto"/>
              <w:left w:val="single" w:sz="4" w:space="0" w:color="auto"/>
            </w:tcBorders>
            <w:shd w:val="clear" w:color="auto" w:fill="FFFFFF"/>
          </w:tcPr>
          <w:p w14:paraId="08DDEC01" w14:textId="77777777" w:rsidR="001102E7" w:rsidRDefault="007034CD">
            <w:pPr>
              <w:pStyle w:val="Jin0"/>
              <w:shd w:val="clear" w:color="auto" w:fill="auto"/>
              <w:spacing w:after="0"/>
              <w:rPr>
                <w:sz w:val="20"/>
                <w:szCs w:val="20"/>
              </w:rPr>
            </w:pPr>
            <w:r>
              <w:rPr>
                <w:rFonts w:ascii="Calibri" w:eastAsia="Calibri" w:hAnsi="Calibri" w:cs="Calibri"/>
                <w:sz w:val="20"/>
                <w:szCs w:val="20"/>
              </w:rPr>
              <w:t>+420 601 135 255</w:t>
            </w:r>
          </w:p>
        </w:tc>
        <w:tc>
          <w:tcPr>
            <w:tcW w:w="922" w:type="dxa"/>
            <w:tcBorders>
              <w:top w:val="single" w:sz="4" w:space="0" w:color="auto"/>
              <w:left w:val="single" w:sz="4" w:space="0" w:color="auto"/>
            </w:tcBorders>
            <w:shd w:val="clear" w:color="auto" w:fill="FFFFFF"/>
          </w:tcPr>
          <w:p w14:paraId="44B3917E" w14:textId="77777777" w:rsidR="001102E7" w:rsidRDefault="007034CD">
            <w:pPr>
              <w:pStyle w:val="Jin0"/>
              <w:shd w:val="clear" w:color="auto" w:fill="auto"/>
              <w:spacing w:after="0"/>
              <w:rPr>
                <w:sz w:val="20"/>
                <w:szCs w:val="20"/>
              </w:rPr>
            </w:pPr>
            <w:r>
              <w:rPr>
                <w:rFonts w:ascii="Calibri" w:eastAsia="Calibri" w:hAnsi="Calibri" w:cs="Calibri"/>
                <w:sz w:val="20"/>
                <w:szCs w:val="20"/>
              </w:rPr>
              <w:t>telefon:</w:t>
            </w:r>
          </w:p>
        </w:tc>
        <w:tc>
          <w:tcPr>
            <w:tcW w:w="3206" w:type="dxa"/>
            <w:tcBorders>
              <w:top w:val="single" w:sz="4" w:space="0" w:color="auto"/>
              <w:left w:val="single" w:sz="4" w:space="0" w:color="auto"/>
              <w:right w:val="single" w:sz="4" w:space="0" w:color="auto"/>
            </w:tcBorders>
            <w:shd w:val="clear" w:color="auto" w:fill="FFFFFF"/>
          </w:tcPr>
          <w:p w14:paraId="37E17247" w14:textId="77777777" w:rsidR="001102E7" w:rsidRDefault="007034CD">
            <w:pPr>
              <w:pStyle w:val="Jin0"/>
              <w:shd w:val="clear" w:color="auto" w:fill="auto"/>
              <w:spacing w:after="0"/>
              <w:rPr>
                <w:sz w:val="20"/>
                <w:szCs w:val="20"/>
              </w:rPr>
            </w:pPr>
            <w:r>
              <w:rPr>
                <w:rFonts w:ascii="Calibri" w:eastAsia="Calibri" w:hAnsi="Calibri" w:cs="Calibri"/>
                <w:sz w:val="20"/>
                <w:szCs w:val="20"/>
              </w:rPr>
              <w:t>603437115</w:t>
            </w:r>
          </w:p>
        </w:tc>
      </w:tr>
      <w:tr w:rsidR="001102E7" w14:paraId="40DBA381" w14:textId="77777777">
        <w:tblPrEx>
          <w:tblCellMar>
            <w:top w:w="0" w:type="dxa"/>
            <w:bottom w:w="0" w:type="dxa"/>
          </w:tblCellMar>
        </w:tblPrEx>
        <w:trPr>
          <w:trHeight w:hRule="exact" w:val="389"/>
          <w:jc w:val="center"/>
        </w:trPr>
        <w:tc>
          <w:tcPr>
            <w:tcW w:w="922" w:type="dxa"/>
            <w:tcBorders>
              <w:top w:val="single" w:sz="4" w:space="0" w:color="auto"/>
              <w:left w:val="single" w:sz="4" w:space="0" w:color="auto"/>
              <w:bottom w:val="single" w:sz="4" w:space="0" w:color="auto"/>
            </w:tcBorders>
            <w:shd w:val="clear" w:color="auto" w:fill="FFFFFF"/>
          </w:tcPr>
          <w:p w14:paraId="4FA9F50A" w14:textId="77777777" w:rsidR="001102E7" w:rsidRDefault="007034CD">
            <w:pPr>
              <w:pStyle w:val="Jin0"/>
              <w:shd w:val="clear" w:color="auto" w:fill="auto"/>
              <w:spacing w:after="0"/>
              <w:rPr>
                <w:sz w:val="20"/>
                <w:szCs w:val="20"/>
              </w:rPr>
            </w:pPr>
            <w:r>
              <w:rPr>
                <w:rFonts w:ascii="Calibri" w:eastAsia="Calibri" w:hAnsi="Calibri" w:cs="Calibri"/>
                <w:sz w:val="20"/>
                <w:szCs w:val="20"/>
              </w:rPr>
              <w:t>fax:</w:t>
            </w:r>
          </w:p>
        </w:tc>
        <w:tc>
          <w:tcPr>
            <w:tcW w:w="3475" w:type="dxa"/>
            <w:tcBorders>
              <w:top w:val="single" w:sz="4" w:space="0" w:color="auto"/>
              <w:left w:val="single" w:sz="4" w:space="0" w:color="auto"/>
              <w:bottom w:val="single" w:sz="4" w:space="0" w:color="auto"/>
            </w:tcBorders>
            <w:shd w:val="clear" w:color="auto" w:fill="FFFFFF"/>
          </w:tcPr>
          <w:p w14:paraId="462A58D3" w14:textId="77777777" w:rsidR="001102E7" w:rsidRDefault="001102E7">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619E6879" w14:textId="77777777" w:rsidR="001102E7" w:rsidRDefault="007034CD">
            <w:pPr>
              <w:pStyle w:val="Jin0"/>
              <w:shd w:val="clear" w:color="auto" w:fill="auto"/>
              <w:spacing w:after="0"/>
              <w:rPr>
                <w:sz w:val="20"/>
                <w:szCs w:val="20"/>
              </w:rPr>
            </w:pPr>
            <w:r>
              <w:rPr>
                <w:rFonts w:ascii="Calibri" w:eastAsia="Calibri" w:hAnsi="Calibri" w:cs="Calibri"/>
                <w:sz w:val="20"/>
                <w:szCs w:val="20"/>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151AD149" w14:textId="77777777" w:rsidR="001102E7" w:rsidRDefault="001102E7">
            <w:pPr>
              <w:rPr>
                <w:sz w:val="10"/>
                <w:szCs w:val="10"/>
              </w:rPr>
            </w:pPr>
          </w:p>
        </w:tc>
      </w:tr>
    </w:tbl>
    <w:p w14:paraId="451C585D" w14:textId="77777777" w:rsidR="001102E7" w:rsidRDefault="001102E7">
      <w:pPr>
        <w:spacing w:after="3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3475"/>
        <w:gridCol w:w="922"/>
        <w:gridCol w:w="3206"/>
      </w:tblGrid>
      <w:tr w:rsidR="001102E7" w14:paraId="488CAAAA" w14:textId="77777777">
        <w:tblPrEx>
          <w:tblCellMar>
            <w:top w:w="0" w:type="dxa"/>
            <w:bottom w:w="0" w:type="dxa"/>
          </w:tblCellMar>
        </w:tblPrEx>
        <w:trPr>
          <w:trHeight w:hRule="exact" w:val="341"/>
          <w:jc w:val="center"/>
        </w:trPr>
        <w:tc>
          <w:tcPr>
            <w:tcW w:w="8525" w:type="dxa"/>
            <w:gridSpan w:val="4"/>
            <w:tcBorders>
              <w:top w:val="single" w:sz="4" w:space="0" w:color="auto"/>
              <w:left w:val="single" w:sz="4" w:space="0" w:color="auto"/>
              <w:right w:val="single" w:sz="4" w:space="0" w:color="auto"/>
            </w:tcBorders>
            <w:shd w:val="clear" w:color="auto" w:fill="FFFFFF"/>
          </w:tcPr>
          <w:p w14:paraId="6B76D315" w14:textId="77777777" w:rsidR="001102E7" w:rsidRDefault="007034CD">
            <w:pPr>
              <w:pStyle w:val="Jin0"/>
              <w:shd w:val="clear" w:color="auto" w:fill="auto"/>
              <w:spacing w:after="0"/>
              <w:jc w:val="center"/>
              <w:rPr>
                <w:sz w:val="18"/>
                <w:szCs w:val="18"/>
              </w:rPr>
            </w:pPr>
            <w:r>
              <w:rPr>
                <w:rFonts w:ascii="Calibri" w:eastAsia="Calibri" w:hAnsi="Calibri" w:cs="Calibri"/>
                <w:b/>
                <w:bCs/>
                <w:sz w:val="18"/>
                <w:szCs w:val="18"/>
              </w:rPr>
              <w:t>Osoby pověřené pro řešení ostatních požadavků:</w:t>
            </w:r>
          </w:p>
        </w:tc>
      </w:tr>
      <w:tr w:rsidR="001102E7" w14:paraId="4C61AC3A" w14:textId="77777777">
        <w:tblPrEx>
          <w:tblCellMar>
            <w:top w:w="0" w:type="dxa"/>
            <w:bottom w:w="0" w:type="dxa"/>
          </w:tblCellMar>
        </w:tblPrEx>
        <w:trPr>
          <w:trHeight w:hRule="exact" w:val="379"/>
          <w:jc w:val="center"/>
        </w:trPr>
        <w:tc>
          <w:tcPr>
            <w:tcW w:w="922" w:type="dxa"/>
            <w:tcBorders>
              <w:top w:val="single" w:sz="4" w:space="0" w:color="auto"/>
              <w:left w:val="single" w:sz="4" w:space="0" w:color="auto"/>
            </w:tcBorders>
            <w:shd w:val="clear" w:color="auto" w:fill="FFFFFF"/>
          </w:tcPr>
          <w:p w14:paraId="577C1419" w14:textId="77777777" w:rsidR="001102E7" w:rsidRDefault="007034CD">
            <w:pPr>
              <w:pStyle w:val="Jin0"/>
              <w:shd w:val="clear" w:color="auto" w:fill="auto"/>
              <w:spacing w:after="0"/>
              <w:rPr>
                <w:sz w:val="20"/>
                <w:szCs w:val="20"/>
              </w:rPr>
            </w:pPr>
            <w:r>
              <w:rPr>
                <w:rFonts w:ascii="Calibri" w:eastAsia="Calibri" w:hAnsi="Calibri" w:cs="Calibri"/>
                <w:sz w:val="20"/>
                <w:szCs w:val="20"/>
              </w:rPr>
              <w:t>jméno:</w:t>
            </w:r>
          </w:p>
        </w:tc>
        <w:tc>
          <w:tcPr>
            <w:tcW w:w="3475" w:type="dxa"/>
            <w:tcBorders>
              <w:top w:val="single" w:sz="4" w:space="0" w:color="auto"/>
              <w:left w:val="single" w:sz="4" w:space="0" w:color="auto"/>
            </w:tcBorders>
            <w:shd w:val="clear" w:color="auto" w:fill="FFFFFF"/>
          </w:tcPr>
          <w:p w14:paraId="4E1BE2D7" w14:textId="77777777" w:rsidR="001102E7" w:rsidRDefault="007034CD">
            <w:pPr>
              <w:pStyle w:val="Jin0"/>
              <w:shd w:val="clear" w:color="auto" w:fill="auto"/>
              <w:spacing w:after="0"/>
              <w:rPr>
                <w:sz w:val="20"/>
                <w:szCs w:val="20"/>
              </w:rPr>
            </w:pPr>
            <w:r>
              <w:rPr>
                <w:rFonts w:ascii="Calibri" w:eastAsia="Calibri" w:hAnsi="Calibri" w:cs="Calibri"/>
                <w:sz w:val="20"/>
                <w:szCs w:val="20"/>
              </w:rPr>
              <w:t>Zákaznický servis</w:t>
            </w:r>
          </w:p>
        </w:tc>
        <w:tc>
          <w:tcPr>
            <w:tcW w:w="922" w:type="dxa"/>
            <w:tcBorders>
              <w:top w:val="single" w:sz="4" w:space="0" w:color="auto"/>
              <w:left w:val="single" w:sz="4" w:space="0" w:color="auto"/>
            </w:tcBorders>
            <w:shd w:val="clear" w:color="auto" w:fill="FFFFFF"/>
          </w:tcPr>
          <w:p w14:paraId="1EDA3131" w14:textId="77777777" w:rsidR="001102E7" w:rsidRDefault="007034CD">
            <w:pPr>
              <w:pStyle w:val="Jin0"/>
              <w:shd w:val="clear" w:color="auto" w:fill="auto"/>
              <w:spacing w:after="0"/>
              <w:rPr>
                <w:sz w:val="20"/>
                <w:szCs w:val="20"/>
              </w:rPr>
            </w:pPr>
            <w:r>
              <w:rPr>
                <w:rFonts w:ascii="Calibri" w:eastAsia="Calibri" w:hAnsi="Calibri" w:cs="Calibri"/>
                <w:sz w:val="20"/>
                <w:szCs w:val="20"/>
              </w:rPr>
              <w:t>jméno:</w:t>
            </w:r>
          </w:p>
        </w:tc>
        <w:tc>
          <w:tcPr>
            <w:tcW w:w="3206" w:type="dxa"/>
            <w:tcBorders>
              <w:top w:val="single" w:sz="4" w:space="0" w:color="auto"/>
              <w:left w:val="single" w:sz="4" w:space="0" w:color="auto"/>
              <w:right w:val="single" w:sz="4" w:space="0" w:color="auto"/>
            </w:tcBorders>
            <w:shd w:val="clear" w:color="auto" w:fill="FFFFFF"/>
          </w:tcPr>
          <w:p w14:paraId="339DEB89" w14:textId="77777777" w:rsidR="001102E7" w:rsidRDefault="007034CD">
            <w:pPr>
              <w:pStyle w:val="Jin0"/>
              <w:shd w:val="clear" w:color="auto" w:fill="auto"/>
              <w:spacing w:after="0"/>
              <w:rPr>
                <w:sz w:val="20"/>
                <w:szCs w:val="20"/>
              </w:rPr>
            </w:pPr>
            <w:r>
              <w:rPr>
                <w:rFonts w:ascii="Calibri" w:eastAsia="Calibri" w:hAnsi="Calibri" w:cs="Calibri"/>
                <w:sz w:val="20"/>
                <w:szCs w:val="20"/>
              </w:rPr>
              <w:t xml:space="preserve">Andrea </w:t>
            </w:r>
            <w:proofErr w:type="spellStart"/>
            <w:r>
              <w:rPr>
                <w:rFonts w:ascii="Calibri" w:eastAsia="Calibri" w:hAnsi="Calibri" w:cs="Calibri"/>
                <w:sz w:val="20"/>
                <w:szCs w:val="20"/>
              </w:rPr>
              <w:t>Calábková</w:t>
            </w:r>
            <w:proofErr w:type="spellEnd"/>
          </w:p>
        </w:tc>
      </w:tr>
      <w:tr w:rsidR="001102E7" w14:paraId="76AEBEDF"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5A191585" w14:textId="77777777" w:rsidR="001102E7" w:rsidRDefault="007034CD">
            <w:pPr>
              <w:pStyle w:val="Jin0"/>
              <w:shd w:val="clear" w:color="auto" w:fill="auto"/>
              <w:spacing w:after="0"/>
              <w:rPr>
                <w:sz w:val="20"/>
                <w:szCs w:val="20"/>
              </w:rPr>
            </w:pPr>
            <w:r>
              <w:rPr>
                <w:rFonts w:ascii="Calibri" w:eastAsia="Calibri" w:hAnsi="Calibri" w:cs="Calibri"/>
                <w:sz w:val="20"/>
                <w:szCs w:val="20"/>
              </w:rPr>
              <w:t>adresa:</w:t>
            </w:r>
          </w:p>
        </w:tc>
        <w:tc>
          <w:tcPr>
            <w:tcW w:w="3475" w:type="dxa"/>
            <w:tcBorders>
              <w:top w:val="single" w:sz="4" w:space="0" w:color="auto"/>
              <w:left w:val="single" w:sz="4" w:space="0" w:color="auto"/>
            </w:tcBorders>
            <w:shd w:val="clear" w:color="auto" w:fill="FFFFFF"/>
          </w:tcPr>
          <w:p w14:paraId="0F5B711A" w14:textId="77777777" w:rsidR="001102E7" w:rsidRDefault="007034CD">
            <w:pPr>
              <w:pStyle w:val="Jin0"/>
              <w:shd w:val="clear" w:color="auto" w:fill="auto"/>
              <w:spacing w:after="0"/>
              <w:rPr>
                <w:sz w:val="20"/>
                <w:szCs w:val="20"/>
              </w:rPr>
            </w:pPr>
            <w:r>
              <w:rPr>
                <w:rFonts w:ascii="Calibri" w:eastAsia="Calibri" w:hAnsi="Calibri" w:cs="Calibri"/>
                <w:sz w:val="20"/>
                <w:szCs w:val="20"/>
              </w:rPr>
              <w:t xml:space="preserve">Radlická 364/152, Praha 5, </w:t>
            </w:r>
            <w:r>
              <w:rPr>
                <w:rFonts w:ascii="Calibri" w:eastAsia="Calibri" w:hAnsi="Calibri" w:cs="Calibri"/>
                <w:sz w:val="20"/>
                <w:szCs w:val="20"/>
              </w:rPr>
              <w:t>150 00</w:t>
            </w:r>
          </w:p>
        </w:tc>
        <w:tc>
          <w:tcPr>
            <w:tcW w:w="922" w:type="dxa"/>
            <w:tcBorders>
              <w:top w:val="single" w:sz="4" w:space="0" w:color="auto"/>
              <w:left w:val="single" w:sz="4" w:space="0" w:color="auto"/>
            </w:tcBorders>
            <w:shd w:val="clear" w:color="auto" w:fill="FFFFFF"/>
          </w:tcPr>
          <w:p w14:paraId="420EA77F" w14:textId="77777777" w:rsidR="001102E7" w:rsidRDefault="007034CD">
            <w:pPr>
              <w:pStyle w:val="Jin0"/>
              <w:shd w:val="clear" w:color="auto" w:fill="auto"/>
              <w:spacing w:after="0"/>
              <w:rPr>
                <w:sz w:val="20"/>
                <w:szCs w:val="20"/>
              </w:rPr>
            </w:pPr>
            <w:r>
              <w:rPr>
                <w:rFonts w:ascii="Calibri" w:eastAsia="Calibri" w:hAnsi="Calibri" w:cs="Calibri"/>
                <w:sz w:val="20"/>
                <w:szCs w:val="20"/>
              </w:rPr>
              <w:t>adresa:</w:t>
            </w:r>
          </w:p>
        </w:tc>
        <w:tc>
          <w:tcPr>
            <w:tcW w:w="3206" w:type="dxa"/>
            <w:tcBorders>
              <w:top w:val="single" w:sz="4" w:space="0" w:color="auto"/>
              <w:left w:val="single" w:sz="4" w:space="0" w:color="auto"/>
              <w:right w:val="single" w:sz="4" w:space="0" w:color="auto"/>
            </w:tcBorders>
            <w:shd w:val="clear" w:color="auto" w:fill="FFFFFF"/>
          </w:tcPr>
          <w:p w14:paraId="473C7DB1" w14:textId="77777777" w:rsidR="001102E7" w:rsidRDefault="007034CD">
            <w:pPr>
              <w:pStyle w:val="Jin0"/>
              <w:shd w:val="clear" w:color="auto" w:fill="auto"/>
              <w:spacing w:after="0"/>
              <w:rPr>
                <w:sz w:val="20"/>
                <w:szCs w:val="20"/>
              </w:rPr>
            </w:pPr>
            <w:r>
              <w:rPr>
                <w:rFonts w:ascii="Calibri" w:eastAsia="Calibri" w:hAnsi="Calibri" w:cs="Calibri"/>
                <w:sz w:val="20"/>
                <w:szCs w:val="20"/>
              </w:rPr>
              <w:t>Dvořákova 1037/4</w:t>
            </w:r>
          </w:p>
        </w:tc>
      </w:tr>
      <w:tr w:rsidR="001102E7" w14:paraId="37ED1D5B"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28DD6D78" w14:textId="77777777" w:rsidR="001102E7" w:rsidRDefault="007034CD">
            <w:pPr>
              <w:pStyle w:val="Jin0"/>
              <w:shd w:val="clear" w:color="auto" w:fill="auto"/>
              <w:spacing w:after="0"/>
              <w:rPr>
                <w:sz w:val="20"/>
                <w:szCs w:val="20"/>
              </w:rPr>
            </w:pPr>
            <w:r>
              <w:rPr>
                <w:rFonts w:ascii="Calibri" w:eastAsia="Calibri" w:hAnsi="Calibri" w:cs="Calibri"/>
                <w:sz w:val="20"/>
                <w:szCs w:val="20"/>
              </w:rPr>
              <w:t>e-mail:</w:t>
            </w:r>
          </w:p>
        </w:tc>
        <w:tc>
          <w:tcPr>
            <w:tcW w:w="3475" w:type="dxa"/>
            <w:tcBorders>
              <w:top w:val="single" w:sz="4" w:space="0" w:color="auto"/>
              <w:left w:val="single" w:sz="4" w:space="0" w:color="auto"/>
            </w:tcBorders>
            <w:shd w:val="clear" w:color="auto" w:fill="FFFFFF"/>
          </w:tcPr>
          <w:p w14:paraId="51BD6331" w14:textId="77777777" w:rsidR="001102E7" w:rsidRDefault="007034CD">
            <w:pPr>
              <w:pStyle w:val="Jin0"/>
              <w:shd w:val="clear" w:color="auto" w:fill="auto"/>
              <w:spacing w:after="0"/>
              <w:rPr>
                <w:sz w:val="20"/>
                <w:szCs w:val="20"/>
              </w:rPr>
            </w:pPr>
            <w:hyperlink r:id="rId20" w:history="1">
              <w:r>
                <w:rPr>
                  <w:rFonts w:ascii="Calibri" w:eastAsia="Calibri" w:hAnsi="Calibri" w:cs="Calibri"/>
                  <w:sz w:val="20"/>
                  <w:szCs w:val="20"/>
                  <w:lang w:val="en-US" w:eastAsia="en-US" w:bidi="en-US"/>
                </w:rPr>
                <w:t>zakaznik.komodity@veolia.com</w:t>
              </w:r>
            </w:hyperlink>
          </w:p>
        </w:tc>
        <w:tc>
          <w:tcPr>
            <w:tcW w:w="922" w:type="dxa"/>
            <w:tcBorders>
              <w:top w:val="single" w:sz="4" w:space="0" w:color="auto"/>
              <w:left w:val="single" w:sz="4" w:space="0" w:color="auto"/>
            </w:tcBorders>
            <w:shd w:val="clear" w:color="auto" w:fill="FFFFFF"/>
          </w:tcPr>
          <w:p w14:paraId="69933D65" w14:textId="77777777" w:rsidR="001102E7" w:rsidRDefault="007034CD">
            <w:pPr>
              <w:pStyle w:val="Jin0"/>
              <w:shd w:val="clear" w:color="auto" w:fill="auto"/>
              <w:spacing w:after="0"/>
              <w:rPr>
                <w:sz w:val="20"/>
                <w:szCs w:val="20"/>
              </w:rPr>
            </w:pPr>
            <w:r>
              <w:rPr>
                <w:rFonts w:ascii="Calibri" w:eastAsia="Calibri" w:hAnsi="Calibri" w:cs="Calibri"/>
                <w:sz w:val="20"/>
                <w:szCs w:val="20"/>
              </w:rPr>
              <w:t>e-mail:</w:t>
            </w:r>
          </w:p>
        </w:tc>
        <w:tc>
          <w:tcPr>
            <w:tcW w:w="3206" w:type="dxa"/>
            <w:tcBorders>
              <w:top w:val="single" w:sz="4" w:space="0" w:color="auto"/>
              <w:left w:val="single" w:sz="4" w:space="0" w:color="auto"/>
              <w:right w:val="single" w:sz="4" w:space="0" w:color="auto"/>
            </w:tcBorders>
            <w:shd w:val="clear" w:color="auto" w:fill="FFFFFF"/>
          </w:tcPr>
          <w:p w14:paraId="50A7296D" w14:textId="77777777" w:rsidR="001102E7" w:rsidRDefault="007034CD">
            <w:pPr>
              <w:pStyle w:val="Jin0"/>
              <w:shd w:val="clear" w:color="auto" w:fill="auto"/>
              <w:spacing w:after="0"/>
              <w:rPr>
                <w:sz w:val="20"/>
                <w:szCs w:val="20"/>
              </w:rPr>
            </w:pPr>
            <w:hyperlink r:id="rId21" w:history="1">
              <w:r>
                <w:rPr>
                  <w:rFonts w:ascii="Calibri" w:eastAsia="Calibri" w:hAnsi="Calibri" w:cs="Calibri"/>
                  <w:sz w:val="20"/>
                  <w:szCs w:val="20"/>
                  <w:lang w:val="en-US" w:eastAsia="en-US" w:bidi="en-US"/>
                </w:rPr>
                <w:t>ms-dvorakova@seznam.cz</w:t>
              </w:r>
            </w:hyperlink>
          </w:p>
        </w:tc>
      </w:tr>
      <w:tr w:rsidR="001102E7" w14:paraId="3A861A6E" w14:textId="77777777">
        <w:tblPrEx>
          <w:tblCellMar>
            <w:top w:w="0" w:type="dxa"/>
            <w:bottom w:w="0" w:type="dxa"/>
          </w:tblCellMar>
        </w:tblPrEx>
        <w:trPr>
          <w:trHeight w:hRule="exact" w:val="379"/>
          <w:jc w:val="center"/>
        </w:trPr>
        <w:tc>
          <w:tcPr>
            <w:tcW w:w="922" w:type="dxa"/>
            <w:tcBorders>
              <w:top w:val="single" w:sz="4" w:space="0" w:color="auto"/>
              <w:left w:val="single" w:sz="4" w:space="0" w:color="auto"/>
            </w:tcBorders>
            <w:shd w:val="clear" w:color="auto" w:fill="FFFFFF"/>
          </w:tcPr>
          <w:p w14:paraId="1E8BEEF9" w14:textId="77777777" w:rsidR="001102E7" w:rsidRDefault="007034CD">
            <w:pPr>
              <w:pStyle w:val="Jin0"/>
              <w:shd w:val="clear" w:color="auto" w:fill="auto"/>
              <w:spacing w:after="0"/>
              <w:rPr>
                <w:sz w:val="20"/>
                <w:szCs w:val="20"/>
              </w:rPr>
            </w:pPr>
            <w:r>
              <w:rPr>
                <w:rFonts w:ascii="Calibri" w:eastAsia="Calibri" w:hAnsi="Calibri" w:cs="Calibri"/>
                <w:sz w:val="20"/>
                <w:szCs w:val="20"/>
              </w:rPr>
              <w:t>telefon:</w:t>
            </w:r>
          </w:p>
        </w:tc>
        <w:tc>
          <w:tcPr>
            <w:tcW w:w="3475" w:type="dxa"/>
            <w:tcBorders>
              <w:top w:val="single" w:sz="4" w:space="0" w:color="auto"/>
              <w:left w:val="single" w:sz="4" w:space="0" w:color="auto"/>
            </w:tcBorders>
            <w:shd w:val="clear" w:color="auto" w:fill="FFFFFF"/>
          </w:tcPr>
          <w:p w14:paraId="795B81CC" w14:textId="77777777" w:rsidR="001102E7" w:rsidRDefault="007034CD">
            <w:pPr>
              <w:pStyle w:val="Jin0"/>
              <w:shd w:val="clear" w:color="auto" w:fill="auto"/>
              <w:spacing w:after="0"/>
              <w:rPr>
                <w:sz w:val="20"/>
                <w:szCs w:val="20"/>
              </w:rPr>
            </w:pPr>
            <w:r>
              <w:rPr>
                <w:rFonts w:ascii="Calibri" w:eastAsia="Calibri" w:hAnsi="Calibri" w:cs="Calibri"/>
                <w:sz w:val="20"/>
                <w:szCs w:val="20"/>
              </w:rPr>
              <w:t>+420 725 995 920</w:t>
            </w:r>
          </w:p>
        </w:tc>
        <w:tc>
          <w:tcPr>
            <w:tcW w:w="922" w:type="dxa"/>
            <w:tcBorders>
              <w:top w:val="single" w:sz="4" w:space="0" w:color="auto"/>
              <w:left w:val="single" w:sz="4" w:space="0" w:color="auto"/>
            </w:tcBorders>
            <w:shd w:val="clear" w:color="auto" w:fill="FFFFFF"/>
          </w:tcPr>
          <w:p w14:paraId="468F69EB" w14:textId="77777777" w:rsidR="001102E7" w:rsidRDefault="007034CD">
            <w:pPr>
              <w:pStyle w:val="Jin0"/>
              <w:shd w:val="clear" w:color="auto" w:fill="auto"/>
              <w:spacing w:after="0"/>
              <w:rPr>
                <w:sz w:val="20"/>
                <w:szCs w:val="20"/>
              </w:rPr>
            </w:pPr>
            <w:r>
              <w:rPr>
                <w:rFonts w:ascii="Calibri" w:eastAsia="Calibri" w:hAnsi="Calibri" w:cs="Calibri"/>
                <w:sz w:val="20"/>
                <w:szCs w:val="20"/>
              </w:rPr>
              <w:t>telefon:</w:t>
            </w:r>
          </w:p>
        </w:tc>
        <w:tc>
          <w:tcPr>
            <w:tcW w:w="3206" w:type="dxa"/>
            <w:tcBorders>
              <w:top w:val="single" w:sz="4" w:space="0" w:color="auto"/>
              <w:left w:val="single" w:sz="4" w:space="0" w:color="auto"/>
              <w:right w:val="single" w:sz="4" w:space="0" w:color="auto"/>
            </w:tcBorders>
            <w:shd w:val="clear" w:color="auto" w:fill="FFFFFF"/>
          </w:tcPr>
          <w:p w14:paraId="06DF2B20" w14:textId="77777777" w:rsidR="001102E7" w:rsidRDefault="007034CD">
            <w:pPr>
              <w:pStyle w:val="Jin0"/>
              <w:shd w:val="clear" w:color="auto" w:fill="auto"/>
              <w:spacing w:after="0"/>
              <w:rPr>
                <w:sz w:val="20"/>
                <w:szCs w:val="20"/>
              </w:rPr>
            </w:pPr>
            <w:r>
              <w:rPr>
                <w:rFonts w:ascii="Calibri" w:eastAsia="Calibri" w:hAnsi="Calibri" w:cs="Calibri"/>
                <w:sz w:val="20"/>
                <w:szCs w:val="20"/>
              </w:rPr>
              <w:t>603437115</w:t>
            </w:r>
          </w:p>
        </w:tc>
      </w:tr>
      <w:tr w:rsidR="001102E7" w14:paraId="3DBA1CA9" w14:textId="77777777">
        <w:tblPrEx>
          <w:tblCellMar>
            <w:top w:w="0" w:type="dxa"/>
            <w:bottom w:w="0" w:type="dxa"/>
          </w:tblCellMar>
        </w:tblPrEx>
        <w:trPr>
          <w:trHeight w:hRule="exact" w:val="384"/>
          <w:jc w:val="center"/>
        </w:trPr>
        <w:tc>
          <w:tcPr>
            <w:tcW w:w="922" w:type="dxa"/>
            <w:tcBorders>
              <w:top w:val="single" w:sz="4" w:space="0" w:color="auto"/>
              <w:left w:val="single" w:sz="4" w:space="0" w:color="auto"/>
              <w:bottom w:val="single" w:sz="4" w:space="0" w:color="auto"/>
            </w:tcBorders>
            <w:shd w:val="clear" w:color="auto" w:fill="FFFFFF"/>
          </w:tcPr>
          <w:p w14:paraId="45B0C374" w14:textId="77777777" w:rsidR="001102E7" w:rsidRDefault="007034CD">
            <w:pPr>
              <w:pStyle w:val="Jin0"/>
              <w:shd w:val="clear" w:color="auto" w:fill="auto"/>
              <w:spacing w:after="0"/>
              <w:rPr>
                <w:sz w:val="20"/>
                <w:szCs w:val="20"/>
              </w:rPr>
            </w:pPr>
            <w:r>
              <w:rPr>
                <w:rFonts w:ascii="Calibri" w:eastAsia="Calibri" w:hAnsi="Calibri" w:cs="Calibri"/>
                <w:sz w:val="20"/>
                <w:szCs w:val="20"/>
              </w:rPr>
              <w:t>fax:</w:t>
            </w:r>
          </w:p>
        </w:tc>
        <w:tc>
          <w:tcPr>
            <w:tcW w:w="3475" w:type="dxa"/>
            <w:tcBorders>
              <w:top w:val="single" w:sz="4" w:space="0" w:color="auto"/>
              <w:left w:val="single" w:sz="4" w:space="0" w:color="auto"/>
              <w:bottom w:val="single" w:sz="4" w:space="0" w:color="auto"/>
            </w:tcBorders>
            <w:shd w:val="clear" w:color="auto" w:fill="FFFFFF"/>
          </w:tcPr>
          <w:p w14:paraId="29471CA6" w14:textId="77777777" w:rsidR="001102E7" w:rsidRDefault="001102E7">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2822C82D" w14:textId="77777777" w:rsidR="001102E7" w:rsidRDefault="007034CD">
            <w:pPr>
              <w:pStyle w:val="Jin0"/>
              <w:shd w:val="clear" w:color="auto" w:fill="auto"/>
              <w:spacing w:after="0"/>
              <w:rPr>
                <w:sz w:val="20"/>
                <w:szCs w:val="20"/>
              </w:rPr>
            </w:pPr>
            <w:r>
              <w:rPr>
                <w:rFonts w:ascii="Calibri" w:eastAsia="Calibri" w:hAnsi="Calibri" w:cs="Calibri"/>
                <w:sz w:val="20"/>
                <w:szCs w:val="20"/>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59661ED8" w14:textId="77777777" w:rsidR="001102E7" w:rsidRDefault="001102E7">
            <w:pPr>
              <w:rPr>
                <w:sz w:val="10"/>
                <w:szCs w:val="10"/>
              </w:rPr>
            </w:pPr>
          </w:p>
        </w:tc>
      </w:tr>
    </w:tbl>
    <w:p w14:paraId="27EA5138" w14:textId="77777777" w:rsidR="001102E7" w:rsidRDefault="001102E7">
      <w:pPr>
        <w:sectPr w:rsidR="001102E7">
          <w:headerReference w:type="default" r:id="rId22"/>
          <w:footerReference w:type="default" r:id="rId23"/>
          <w:pgSz w:w="11900" w:h="16840"/>
          <w:pgMar w:top="1642" w:right="1656" w:bottom="1642" w:left="1522" w:header="0" w:footer="3" w:gutter="0"/>
          <w:pgNumType w:start="8"/>
          <w:cols w:space="720"/>
          <w:noEndnote/>
          <w:docGrid w:linePitch="360"/>
        </w:sectPr>
      </w:pPr>
    </w:p>
    <w:p w14:paraId="633A924E" w14:textId="77777777" w:rsidR="001102E7" w:rsidRDefault="007034CD">
      <w:pPr>
        <w:pStyle w:val="Zkladntext40"/>
        <w:shd w:val="clear" w:color="auto" w:fill="auto"/>
        <w:spacing w:after="220"/>
        <w:jc w:val="both"/>
      </w:pPr>
      <w:r>
        <w:lastRenderedPageBreak/>
        <w:t xml:space="preserve">Kontaktní osoby za </w:t>
      </w:r>
      <w:r>
        <w:rPr>
          <w:b/>
          <w:bCs/>
        </w:rPr>
        <w:t>Zákazníka</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3475"/>
        <w:gridCol w:w="922"/>
        <w:gridCol w:w="3206"/>
      </w:tblGrid>
      <w:tr w:rsidR="001102E7" w14:paraId="2F065414" w14:textId="77777777">
        <w:tblPrEx>
          <w:tblCellMar>
            <w:top w:w="0" w:type="dxa"/>
            <w:bottom w:w="0" w:type="dxa"/>
          </w:tblCellMar>
        </w:tblPrEx>
        <w:trPr>
          <w:trHeight w:hRule="exact" w:val="346"/>
          <w:jc w:val="center"/>
        </w:trPr>
        <w:tc>
          <w:tcPr>
            <w:tcW w:w="8525" w:type="dxa"/>
            <w:gridSpan w:val="4"/>
            <w:tcBorders>
              <w:top w:val="single" w:sz="4" w:space="0" w:color="auto"/>
              <w:left w:val="single" w:sz="4" w:space="0" w:color="auto"/>
              <w:right w:val="single" w:sz="4" w:space="0" w:color="auto"/>
            </w:tcBorders>
            <w:shd w:val="clear" w:color="auto" w:fill="FFFFFF"/>
          </w:tcPr>
          <w:p w14:paraId="590BA6AE" w14:textId="77777777" w:rsidR="001102E7" w:rsidRDefault="007034CD">
            <w:pPr>
              <w:pStyle w:val="Jin0"/>
              <w:shd w:val="clear" w:color="auto" w:fill="auto"/>
              <w:spacing w:after="0"/>
              <w:jc w:val="center"/>
              <w:rPr>
                <w:sz w:val="18"/>
                <w:szCs w:val="18"/>
              </w:rPr>
            </w:pPr>
            <w:r>
              <w:rPr>
                <w:rFonts w:ascii="Calibri" w:eastAsia="Calibri" w:hAnsi="Calibri" w:cs="Calibri"/>
                <w:b/>
                <w:bCs/>
                <w:sz w:val="18"/>
                <w:szCs w:val="18"/>
              </w:rPr>
              <w:t>Osoby oprávněné k jednání ve věcech smluvních</w:t>
            </w:r>
          </w:p>
        </w:tc>
      </w:tr>
      <w:tr w:rsidR="001102E7" w14:paraId="5EBF76CA"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20D44834"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jméno:</w:t>
            </w:r>
          </w:p>
        </w:tc>
        <w:tc>
          <w:tcPr>
            <w:tcW w:w="3475" w:type="dxa"/>
            <w:tcBorders>
              <w:top w:val="single" w:sz="4" w:space="0" w:color="auto"/>
              <w:left w:val="single" w:sz="4" w:space="0" w:color="auto"/>
            </w:tcBorders>
            <w:shd w:val="clear" w:color="auto" w:fill="FFFFFF"/>
          </w:tcPr>
          <w:p w14:paraId="0AE2AA91" w14:textId="77777777" w:rsidR="001102E7" w:rsidRDefault="007034CD">
            <w:pPr>
              <w:pStyle w:val="Jin0"/>
              <w:shd w:val="clear" w:color="auto" w:fill="auto"/>
              <w:spacing w:after="0"/>
              <w:rPr>
                <w:sz w:val="20"/>
                <w:szCs w:val="20"/>
              </w:rPr>
            </w:pPr>
            <w:r>
              <w:rPr>
                <w:rFonts w:ascii="Calibri" w:eastAsia="Calibri" w:hAnsi="Calibri" w:cs="Calibri"/>
                <w:sz w:val="20"/>
                <w:szCs w:val="20"/>
              </w:rPr>
              <w:t xml:space="preserve">Andrea </w:t>
            </w:r>
            <w:proofErr w:type="spellStart"/>
            <w:r>
              <w:rPr>
                <w:rFonts w:ascii="Calibri" w:eastAsia="Calibri" w:hAnsi="Calibri" w:cs="Calibri"/>
                <w:sz w:val="20"/>
                <w:szCs w:val="20"/>
              </w:rPr>
              <w:t>Calábková</w:t>
            </w:r>
            <w:proofErr w:type="spellEnd"/>
          </w:p>
        </w:tc>
        <w:tc>
          <w:tcPr>
            <w:tcW w:w="922" w:type="dxa"/>
            <w:tcBorders>
              <w:top w:val="single" w:sz="4" w:space="0" w:color="auto"/>
              <w:left w:val="single" w:sz="4" w:space="0" w:color="auto"/>
            </w:tcBorders>
            <w:shd w:val="clear" w:color="auto" w:fill="FFFFFF"/>
          </w:tcPr>
          <w:p w14:paraId="34B62E94"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jméno:</w:t>
            </w:r>
          </w:p>
        </w:tc>
        <w:tc>
          <w:tcPr>
            <w:tcW w:w="3206" w:type="dxa"/>
            <w:tcBorders>
              <w:top w:val="single" w:sz="4" w:space="0" w:color="auto"/>
              <w:left w:val="single" w:sz="4" w:space="0" w:color="auto"/>
              <w:right w:val="single" w:sz="4" w:space="0" w:color="auto"/>
            </w:tcBorders>
            <w:shd w:val="clear" w:color="auto" w:fill="FFFFFF"/>
          </w:tcPr>
          <w:p w14:paraId="4C25BC8E" w14:textId="77777777" w:rsidR="001102E7" w:rsidRDefault="001102E7">
            <w:pPr>
              <w:rPr>
                <w:sz w:val="10"/>
                <w:szCs w:val="10"/>
              </w:rPr>
            </w:pPr>
          </w:p>
        </w:tc>
      </w:tr>
      <w:tr w:rsidR="001102E7" w14:paraId="6C81CE00"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723D101A"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adresa:</w:t>
            </w:r>
          </w:p>
        </w:tc>
        <w:tc>
          <w:tcPr>
            <w:tcW w:w="3475" w:type="dxa"/>
            <w:tcBorders>
              <w:top w:val="single" w:sz="4" w:space="0" w:color="auto"/>
              <w:left w:val="single" w:sz="4" w:space="0" w:color="auto"/>
            </w:tcBorders>
            <w:shd w:val="clear" w:color="auto" w:fill="FFFFFF"/>
          </w:tcPr>
          <w:p w14:paraId="2B9FA4CA" w14:textId="77777777" w:rsidR="001102E7" w:rsidRDefault="007034CD">
            <w:pPr>
              <w:pStyle w:val="Jin0"/>
              <w:shd w:val="clear" w:color="auto" w:fill="auto"/>
              <w:spacing w:after="0"/>
              <w:rPr>
                <w:sz w:val="20"/>
                <w:szCs w:val="20"/>
              </w:rPr>
            </w:pPr>
            <w:r>
              <w:rPr>
                <w:rFonts w:ascii="Calibri" w:eastAsia="Calibri" w:hAnsi="Calibri" w:cs="Calibri"/>
                <w:sz w:val="20"/>
                <w:szCs w:val="20"/>
              </w:rPr>
              <w:t>Dvořákova 1037/4</w:t>
            </w:r>
          </w:p>
        </w:tc>
        <w:tc>
          <w:tcPr>
            <w:tcW w:w="922" w:type="dxa"/>
            <w:tcBorders>
              <w:top w:val="single" w:sz="4" w:space="0" w:color="auto"/>
              <w:left w:val="single" w:sz="4" w:space="0" w:color="auto"/>
            </w:tcBorders>
            <w:shd w:val="clear" w:color="auto" w:fill="FFFFFF"/>
          </w:tcPr>
          <w:p w14:paraId="2681B03A"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adresa:</w:t>
            </w:r>
          </w:p>
        </w:tc>
        <w:tc>
          <w:tcPr>
            <w:tcW w:w="3206" w:type="dxa"/>
            <w:tcBorders>
              <w:top w:val="single" w:sz="4" w:space="0" w:color="auto"/>
              <w:left w:val="single" w:sz="4" w:space="0" w:color="auto"/>
              <w:right w:val="single" w:sz="4" w:space="0" w:color="auto"/>
            </w:tcBorders>
            <w:shd w:val="clear" w:color="auto" w:fill="FFFFFF"/>
          </w:tcPr>
          <w:p w14:paraId="5852688D" w14:textId="77777777" w:rsidR="001102E7" w:rsidRDefault="001102E7">
            <w:pPr>
              <w:rPr>
                <w:sz w:val="10"/>
                <w:szCs w:val="10"/>
              </w:rPr>
            </w:pPr>
          </w:p>
        </w:tc>
      </w:tr>
      <w:tr w:rsidR="001102E7" w14:paraId="0BEF7329" w14:textId="77777777">
        <w:tblPrEx>
          <w:tblCellMar>
            <w:top w:w="0" w:type="dxa"/>
            <w:bottom w:w="0" w:type="dxa"/>
          </w:tblCellMar>
        </w:tblPrEx>
        <w:trPr>
          <w:trHeight w:hRule="exact" w:val="379"/>
          <w:jc w:val="center"/>
        </w:trPr>
        <w:tc>
          <w:tcPr>
            <w:tcW w:w="922" w:type="dxa"/>
            <w:tcBorders>
              <w:top w:val="single" w:sz="4" w:space="0" w:color="auto"/>
              <w:left w:val="single" w:sz="4" w:space="0" w:color="auto"/>
            </w:tcBorders>
            <w:shd w:val="clear" w:color="auto" w:fill="FFFFFF"/>
          </w:tcPr>
          <w:p w14:paraId="4AC8BB9A"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e-mail:</w:t>
            </w:r>
          </w:p>
        </w:tc>
        <w:tc>
          <w:tcPr>
            <w:tcW w:w="3475" w:type="dxa"/>
            <w:tcBorders>
              <w:top w:val="single" w:sz="4" w:space="0" w:color="auto"/>
              <w:left w:val="single" w:sz="4" w:space="0" w:color="auto"/>
            </w:tcBorders>
            <w:shd w:val="clear" w:color="auto" w:fill="FFFFFF"/>
          </w:tcPr>
          <w:p w14:paraId="11D1E87A" w14:textId="77777777" w:rsidR="001102E7" w:rsidRDefault="007034CD">
            <w:pPr>
              <w:pStyle w:val="Jin0"/>
              <w:shd w:val="clear" w:color="auto" w:fill="auto"/>
              <w:spacing w:after="0"/>
              <w:rPr>
                <w:sz w:val="20"/>
                <w:szCs w:val="20"/>
              </w:rPr>
            </w:pPr>
            <w:hyperlink r:id="rId24" w:history="1">
              <w:r>
                <w:rPr>
                  <w:rFonts w:ascii="Calibri" w:eastAsia="Calibri" w:hAnsi="Calibri" w:cs="Calibri"/>
                  <w:sz w:val="20"/>
                  <w:szCs w:val="20"/>
                  <w:lang w:val="en-US" w:eastAsia="en-US" w:bidi="en-US"/>
                </w:rPr>
                <w:t>ms-dvorakova@seznam.cz</w:t>
              </w:r>
            </w:hyperlink>
          </w:p>
        </w:tc>
        <w:tc>
          <w:tcPr>
            <w:tcW w:w="922" w:type="dxa"/>
            <w:tcBorders>
              <w:top w:val="single" w:sz="4" w:space="0" w:color="auto"/>
              <w:left w:val="single" w:sz="4" w:space="0" w:color="auto"/>
            </w:tcBorders>
            <w:shd w:val="clear" w:color="auto" w:fill="FFFFFF"/>
          </w:tcPr>
          <w:p w14:paraId="3CD04884"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e-mail:</w:t>
            </w:r>
          </w:p>
        </w:tc>
        <w:tc>
          <w:tcPr>
            <w:tcW w:w="3206" w:type="dxa"/>
            <w:tcBorders>
              <w:top w:val="single" w:sz="4" w:space="0" w:color="auto"/>
              <w:left w:val="single" w:sz="4" w:space="0" w:color="auto"/>
              <w:right w:val="single" w:sz="4" w:space="0" w:color="auto"/>
            </w:tcBorders>
            <w:shd w:val="clear" w:color="auto" w:fill="FFFFFF"/>
          </w:tcPr>
          <w:p w14:paraId="1D7AD2A3" w14:textId="77777777" w:rsidR="001102E7" w:rsidRDefault="001102E7">
            <w:pPr>
              <w:rPr>
                <w:sz w:val="10"/>
                <w:szCs w:val="10"/>
              </w:rPr>
            </w:pPr>
          </w:p>
        </w:tc>
      </w:tr>
      <w:tr w:rsidR="001102E7" w14:paraId="035A1315"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7C21AB5B"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telefon:</w:t>
            </w:r>
          </w:p>
        </w:tc>
        <w:tc>
          <w:tcPr>
            <w:tcW w:w="3475" w:type="dxa"/>
            <w:tcBorders>
              <w:top w:val="single" w:sz="4" w:space="0" w:color="auto"/>
              <w:left w:val="single" w:sz="4" w:space="0" w:color="auto"/>
            </w:tcBorders>
            <w:shd w:val="clear" w:color="auto" w:fill="FFFFFF"/>
          </w:tcPr>
          <w:p w14:paraId="32B7BC7E" w14:textId="77777777" w:rsidR="001102E7" w:rsidRDefault="007034CD">
            <w:pPr>
              <w:pStyle w:val="Jin0"/>
              <w:shd w:val="clear" w:color="auto" w:fill="auto"/>
              <w:spacing w:after="0"/>
              <w:rPr>
                <w:sz w:val="20"/>
                <w:szCs w:val="20"/>
              </w:rPr>
            </w:pPr>
            <w:r>
              <w:rPr>
                <w:rFonts w:ascii="Calibri" w:eastAsia="Calibri" w:hAnsi="Calibri" w:cs="Calibri"/>
                <w:sz w:val="20"/>
                <w:szCs w:val="20"/>
              </w:rPr>
              <w:t>603437115</w:t>
            </w:r>
          </w:p>
        </w:tc>
        <w:tc>
          <w:tcPr>
            <w:tcW w:w="922" w:type="dxa"/>
            <w:tcBorders>
              <w:top w:val="single" w:sz="4" w:space="0" w:color="auto"/>
              <w:left w:val="single" w:sz="4" w:space="0" w:color="auto"/>
            </w:tcBorders>
            <w:shd w:val="clear" w:color="auto" w:fill="FFFFFF"/>
          </w:tcPr>
          <w:p w14:paraId="4DC7001E"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telefon:</w:t>
            </w:r>
          </w:p>
        </w:tc>
        <w:tc>
          <w:tcPr>
            <w:tcW w:w="3206" w:type="dxa"/>
            <w:tcBorders>
              <w:top w:val="single" w:sz="4" w:space="0" w:color="auto"/>
              <w:left w:val="single" w:sz="4" w:space="0" w:color="auto"/>
              <w:right w:val="single" w:sz="4" w:space="0" w:color="auto"/>
            </w:tcBorders>
            <w:shd w:val="clear" w:color="auto" w:fill="FFFFFF"/>
          </w:tcPr>
          <w:p w14:paraId="665C70A3" w14:textId="77777777" w:rsidR="001102E7" w:rsidRDefault="001102E7">
            <w:pPr>
              <w:rPr>
                <w:sz w:val="10"/>
                <w:szCs w:val="10"/>
              </w:rPr>
            </w:pPr>
          </w:p>
        </w:tc>
      </w:tr>
      <w:tr w:rsidR="001102E7" w14:paraId="47FDB3F9" w14:textId="77777777">
        <w:tblPrEx>
          <w:tblCellMar>
            <w:top w:w="0" w:type="dxa"/>
            <w:bottom w:w="0" w:type="dxa"/>
          </w:tblCellMar>
        </w:tblPrEx>
        <w:trPr>
          <w:trHeight w:hRule="exact" w:val="389"/>
          <w:jc w:val="center"/>
        </w:trPr>
        <w:tc>
          <w:tcPr>
            <w:tcW w:w="922" w:type="dxa"/>
            <w:tcBorders>
              <w:top w:val="single" w:sz="4" w:space="0" w:color="auto"/>
              <w:left w:val="single" w:sz="4" w:space="0" w:color="auto"/>
              <w:bottom w:val="single" w:sz="4" w:space="0" w:color="auto"/>
            </w:tcBorders>
            <w:shd w:val="clear" w:color="auto" w:fill="FFFFFF"/>
          </w:tcPr>
          <w:p w14:paraId="319AB564"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fax:</w:t>
            </w:r>
          </w:p>
        </w:tc>
        <w:tc>
          <w:tcPr>
            <w:tcW w:w="3475" w:type="dxa"/>
            <w:tcBorders>
              <w:top w:val="single" w:sz="4" w:space="0" w:color="auto"/>
              <w:left w:val="single" w:sz="4" w:space="0" w:color="auto"/>
              <w:bottom w:val="single" w:sz="4" w:space="0" w:color="auto"/>
            </w:tcBorders>
            <w:shd w:val="clear" w:color="auto" w:fill="FFFFFF"/>
          </w:tcPr>
          <w:p w14:paraId="172D8FFA" w14:textId="77777777" w:rsidR="001102E7" w:rsidRDefault="001102E7">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49F92AB5"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76E84721" w14:textId="77777777" w:rsidR="001102E7" w:rsidRDefault="001102E7">
            <w:pPr>
              <w:rPr>
                <w:sz w:val="10"/>
                <w:szCs w:val="10"/>
              </w:rPr>
            </w:pPr>
          </w:p>
        </w:tc>
      </w:tr>
    </w:tbl>
    <w:p w14:paraId="6AEE4261" w14:textId="77777777" w:rsidR="001102E7" w:rsidRDefault="001102E7">
      <w:pPr>
        <w:spacing w:after="3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3475"/>
        <w:gridCol w:w="922"/>
        <w:gridCol w:w="3206"/>
      </w:tblGrid>
      <w:tr w:rsidR="001102E7" w14:paraId="1FA8ACC5" w14:textId="77777777">
        <w:tblPrEx>
          <w:tblCellMar>
            <w:top w:w="0" w:type="dxa"/>
            <w:bottom w:w="0" w:type="dxa"/>
          </w:tblCellMar>
        </w:tblPrEx>
        <w:trPr>
          <w:trHeight w:hRule="exact" w:val="346"/>
          <w:jc w:val="center"/>
        </w:trPr>
        <w:tc>
          <w:tcPr>
            <w:tcW w:w="8525" w:type="dxa"/>
            <w:gridSpan w:val="4"/>
            <w:tcBorders>
              <w:top w:val="single" w:sz="4" w:space="0" w:color="auto"/>
              <w:left w:val="single" w:sz="4" w:space="0" w:color="auto"/>
              <w:right w:val="single" w:sz="4" w:space="0" w:color="auto"/>
            </w:tcBorders>
            <w:shd w:val="clear" w:color="auto" w:fill="FFFFFF"/>
          </w:tcPr>
          <w:p w14:paraId="517564CB" w14:textId="77777777" w:rsidR="001102E7" w:rsidRDefault="007034CD">
            <w:pPr>
              <w:pStyle w:val="Jin0"/>
              <w:shd w:val="clear" w:color="auto" w:fill="auto"/>
              <w:spacing w:after="0"/>
              <w:jc w:val="center"/>
              <w:rPr>
                <w:sz w:val="18"/>
                <w:szCs w:val="18"/>
              </w:rPr>
            </w:pPr>
            <w:r>
              <w:rPr>
                <w:rFonts w:ascii="Calibri" w:eastAsia="Calibri" w:hAnsi="Calibri" w:cs="Calibri"/>
                <w:b/>
                <w:bCs/>
                <w:sz w:val="18"/>
                <w:szCs w:val="18"/>
              </w:rPr>
              <w:t>Osoby pověřené pro operativní a technická jednání:</w:t>
            </w:r>
          </w:p>
        </w:tc>
      </w:tr>
      <w:tr w:rsidR="001102E7" w14:paraId="5D7334EB" w14:textId="77777777">
        <w:tblPrEx>
          <w:tblCellMar>
            <w:top w:w="0" w:type="dxa"/>
            <w:bottom w:w="0" w:type="dxa"/>
          </w:tblCellMar>
        </w:tblPrEx>
        <w:trPr>
          <w:trHeight w:hRule="exact" w:val="379"/>
          <w:jc w:val="center"/>
        </w:trPr>
        <w:tc>
          <w:tcPr>
            <w:tcW w:w="922" w:type="dxa"/>
            <w:tcBorders>
              <w:top w:val="single" w:sz="4" w:space="0" w:color="auto"/>
              <w:left w:val="single" w:sz="4" w:space="0" w:color="auto"/>
            </w:tcBorders>
            <w:shd w:val="clear" w:color="auto" w:fill="FFFFFF"/>
          </w:tcPr>
          <w:p w14:paraId="24F8C00F"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jméno:</w:t>
            </w:r>
          </w:p>
        </w:tc>
        <w:tc>
          <w:tcPr>
            <w:tcW w:w="3475" w:type="dxa"/>
            <w:tcBorders>
              <w:top w:val="single" w:sz="4" w:space="0" w:color="auto"/>
              <w:left w:val="single" w:sz="4" w:space="0" w:color="auto"/>
            </w:tcBorders>
            <w:shd w:val="clear" w:color="auto" w:fill="FFFFFF"/>
          </w:tcPr>
          <w:p w14:paraId="75ECC5A7" w14:textId="77777777" w:rsidR="001102E7" w:rsidRDefault="007034CD">
            <w:pPr>
              <w:pStyle w:val="Jin0"/>
              <w:shd w:val="clear" w:color="auto" w:fill="auto"/>
              <w:spacing w:after="0"/>
              <w:rPr>
                <w:sz w:val="20"/>
                <w:szCs w:val="20"/>
              </w:rPr>
            </w:pPr>
            <w:r>
              <w:rPr>
                <w:rFonts w:ascii="Calibri" w:eastAsia="Calibri" w:hAnsi="Calibri" w:cs="Calibri"/>
                <w:sz w:val="20"/>
                <w:szCs w:val="20"/>
              </w:rPr>
              <w:t xml:space="preserve">Andrea </w:t>
            </w:r>
            <w:proofErr w:type="spellStart"/>
            <w:r>
              <w:rPr>
                <w:rFonts w:ascii="Calibri" w:eastAsia="Calibri" w:hAnsi="Calibri" w:cs="Calibri"/>
                <w:sz w:val="20"/>
                <w:szCs w:val="20"/>
              </w:rPr>
              <w:t>Calábková</w:t>
            </w:r>
            <w:proofErr w:type="spellEnd"/>
          </w:p>
        </w:tc>
        <w:tc>
          <w:tcPr>
            <w:tcW w:w="922" w:type="dxa"/>
            <w:tcBorders>
              <w:top w:val="single" w:sz="4" w:space="0" w:color="auto"/>
              <w:left w:val="single" w:sz="4" w:space="0" w:color="auto"/>
            </w:tcBorders>
            <w:shd w:val="clear" w:color="auto" w:fill="FFFFFF"/>
          </w:tcPr>
          <w:p w14:paraId="17679F71"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jméno:</w:t>
            </w:r>
          </w:p>
        </w:tc>
        <w:tc>
          <w:tcPr>
            <w:tcW w:w="3206" w:type="dxa"/>
            <w:tcBorders>
              <w:top w:val="single" w:sz="4" w:space="0" w:color="auto"/>
              <w:left w:val="single" w:sz="4" w:space="0" w:color="auto"/>
              <w:right w:val="single" w:sz="4" w:space="0" w:color="auto"/>
            </w:tcBorders>
            <w:shd w:val="clear" w:color="auto" w:fill="FFFFFF"/>
          </w:tcPr>
          <w:p w14:paraId="7D5C6A9E" w14:textId="77777777" w:rsidR="001102E7" w:rsidRDefault="001102E7">
            <w:pPr>
              <w:rPr>
                <w:sz w:val="10"/>
                <w:szCs w:val="10"/>
              </w:rPr>
            </w:pPr>
          </w:p>
        </w:tc>
      </w:tr>
      <w:tr w:rsidR="001102E7" w14:paraId="0E3E5BAC"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27C20F96"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adresa:</w:t>
            </w:r>
          </w:p>
        </w:tc>
        <w:tc>
          <w:tcPr>
            <w:tcW w:w="3475" w:type="dxa"/>
            <w:tcBorders>
              <w:top w:val="single" w:sz="4" w:space="0" w:color="auto"/>
              <w:left w:val="single" w:sz="4" w:space="0" w:color="auto"/>
            </w:tcBorders>
            <w:shd w:val="clear" w:color="auto" w:fill="FFFFFF"/>
          </w:tcPr>
          <w:p w14:paraId="5ADCBCC4" w14:textId="77777777" w:rsidR="001102E7" w:rsidRDefault="007034CD">
            <w:pPr>
              <w:pStyle w:val="Jin0"/>
              <w:shd w:val="clear" w:color="auto" w:fill="auto"/>
              <w:spacing w:after="0"/>
              <w:rPr>
                <w:sz w:val="20"/>
                <w:szCs w:val="20"/>
              </w:rPr>
            </w:pPr>
            <w:r>
              <w:rPr>
                <w:rFonts w:ascii="Calibri" w:eastAsia="Calibri" w:hAnsi="Calibri" w:cs="Calibri"/>
                <w:sz w:val="20"/>
                <w:szCs w:val="20"/>
              </w:rPr>
              <w:t>Dvořákova 1037/4</w:t>
            </w:r>
          </w:p>
        </w:tc>
        <w:tc>
          <w:tcPr>
            <w:tcW w:w="922" w:type="dxa"/>
            <w:tcBorders>
              <w:top w:val="single" w:sz="4" w:space="0" w:color="auto"/>
              <w:left w:val="single" w:sz="4" w:space="0" w:color="auto"/>
            </w:tcBorders>
            <w:shd w:val="clear" w:color="auto" w:fill="FFFFFF"/>
          </w:tcPr>
          <w:p w14:paraId="61428BC9"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adresa:</w:t>
            </w:r>
          </w:p>
        </w:tc>
        <w:tc>
          <w:tcPr>
            <w:tcW w:w="3206" w:type="dxa"/>
            <w:tcBorders>
              <w:top w:val="single" w:sz="4" w:space="0" w:color="auto"/>
              <w:left w:val="single" w:sz="4" w:space="0" w:color="auto"/>
              <w:right w:val="single" w:sz="4" w:space="0" w:color="auto"/>
            </w:tcBorders>
            <w:shd w:val="clear" w:color="auto" w:fill="FFFFFF"/>
          </w:tcPr>
          <w:p w14:paraId="50F97D07" w14:textId="77777777" w:rsidR="001102E7" w:rsidRDefault="001102E7">
            <w:pPr>
              <w:rPr>
                <w:sz w:val="10"/>
                <w:szCs w:val="10"/>
              </w:rPr>
            </w:pPr>
          </w:p>
        </w:tc>
      </w:tr>
      <w:tr w:rsidR="001102E7" w14:paraId="07764777"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094F9F11"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e-mail:</w:t>
            </w:r>
          </w:p>
        </w:tc>
        <w:tc>
          <w:tcPr>
            <w:tcW w:w="3475" w:type="dxa"/>
            <w:tcBorders>
              <w:top w:val="single" w:sz="4" w:space="0" w:color="auto"/>
              <w:left w:val="single" w:sz="4" w:space="0" w:color="auto"/>
            </w:tcBorders>
            <w:shd w:val="clear" w:color="auto" w:fill="FFFFFF"/>
          </w:tcPr>
          <w:p w14:paraId="4E9610E3" w14:textId="77777777" w:rsidR="001102E7" w:rsidRDefault="007034CD">
            <w:pPr>
              <w:pStyle w:val="Jin0"/>
              <w:shd w:val="clear" w:color="auto" w:fill="auto"/>
              <w:spacing w:after="0"/>
              <w:rPr>
                <w:sz w:val="20"/>
                <w:szCs w:val="20"/>
              </w:rPr>
            </w:pPr>
            <w:hyperlink r:id="rId25" w:history="1">
              <w:r>
                <w:rPr>
                  <w:rFonts w:ascii="Calibri" w:eastAsia="Calibri" w:hAnsi="Calibri" w:cs="Calibri"/>
                  <w:sz w:val="20"/>
                  <w:szCs w:val="20"/>
                  <w:lang w:val="en-US" w:eastAsia="en-US" w:bidi="en-US"/>
                </w:rPr>
                <w:t>ms-dvorakova@seznam.cz</w:t>
              </w:r>
            </w:hyperlink>
          </w:p>
        </w:tc>
        <w:tc>
          <w:tcPr>
            <w:tcW w:w="922" w:type="dxa"/>
            <w:tcBorders>
              <w:top w:val="single" w:sz="4" w:space="0" w:color="auto"/>
              <w:left w:val="single" w:sz="4" w:space="0" w:color="auto"/>
            </w:tcBorders>
            <w:shd w:val="clear" w:color="auto" w:fill="FFFFFF"/>
          </w:tcPr>
          <w:p w14:paraId="6E12B9C4"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e-mail:</w:t>
            </w:r>
          </w:p>
        </w:tc>
        <w:tc>
          <w:tcPr>
            <w:tcW w:w="3206" w:type="dxa"/>
            <w:tcBorders>
              <w:top w:val="single" w:sz="4" w:space="0" w:color="auto"/>
              <w:left w:val="single" w:sz="4" w:space="0" w:color="auto"/>
              <w:right w:val="single" w:sz="4" w:space="0" w:color="auto"/>
            </w:tcBorders>
            <w:shd w:val="clear" w:color="auto" w:fill="FFFFFF"/>
          </w:tcPr>
          <w:p w14:paraId="5F6D8438" w14:textId="77777777" w:rsidR="001102E7" w:rsidRDefault="001102E7">
            <w:pPr>
              <w:rPr>
                <w:sz w:val="10"/>
                <w:szCs w:val="10"/>
              </w:rPr>
            </w:pPr>
          </w:p>
        </w:tc>
      </w:tr>
      <w:tr w:rsidR="001102E7" w14:paraId="6F0727F1" w14:textId="77777777">
        <w:tblPrEx>
          <w:tblCellMar>
            <w:top w:w="0" w:type="dxa"/>
            <w:bottom w:w="0" w:type="dxa"/>
          </w:tblCellMar>
        </w:tblPrEx>
        <w:trPr>
          <w:trHeight w:hRule="exact" w:val="379"/>
          <w:jc w:val="center"/>
        </w:trPr>
        <w:tc>
          <w:tcPr>
            <w:tcW w:w="922" w:type="dxa"/>
            <w:tcBorders>
              <w:top w:val="single" w:sz="4" w:space="0" w:color="auto"/>
              <w:left w:val="single" w:sz="4" w:space="0" w:color="auto"/>
            </w:tcBorders>
            <w:shd w:val="clear" w:color="auto" w:fill="FFFFFF"/>
          </w:tcPr>
          <w:p w14:paraId="5FA06204"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telefon:</w:t>
            </w:r>
          </w:p>
        </w:tc>
        <w:tc>
          <w:tcPr>
            <w:tcW w:w="3475" w:type="dxa"/>
            <w:tcBorders>
              <w:top w:val="single" w:sz="4" w:space="0" w:color="auto"/>
              <w:left w:val="single" w:sz="4" w:space="0" w:color="auto"/>
            </w:tcBorders>
            <w:shd w:val="clear" w:color="auto" w:fill="FFFFFF"/>
          </w:tcPr>
          <w:p w14:paraId="26DD1FBA" w14:textId="77777777" w:rsidR="001102E7" w:rsidRDefault="007034CD">
            <w:pPr>
              <w:pStyle w:val="Jin0"/>
              <w:shd w:val="clear" w:color="auto" w:fill="auto"/>
              <w:spacing w:after="0"/>
              <w:rPr>
                <w:sz w:val="20"/>
                <w:szCs w:val="20"/>
              </w:rPr>
            </w:pPr>
            <w:r>
              <w:rPr>
                <w:rFonts w:ascii="Calibri" w:eastAsia="Calibri" w:hAnsi="Calibri" w:cs="Calibri"/>
                <w:sz w:val="20"/>
                <w:szCs w:val="20"/>
              </w:rPr>
              <w:t>603437115</w:t>
            </w:r>
          </w:p>
        </w:tc>
        <w:tc>
          <w:tcPr>
            <w:tcW w:w="922" w:type="dxa"/>
            <w:tcBorders>
              <w:top w:val="single" w:sz="4" w:space="0" w:color="auto"/>
              <w:left w:val="single" w:sz="4" w:space="0" w:color="auto"/>
            </w:tcBorders>
            <w:shd w:val="clear" w:color="auto" w:fill="FFFFFF"/>
          </w:tcPr>
          <w:p w14:paraId="0C16E81B"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telefon:</w:t>
            </w:r>
          </w:p>
        </w:tc>
        <w:tc>
          <w:tcPr>
            <w:tcW w:w="3206" w:type="dxa"/>
            <w:tcBorders>
              <w:top w:val="single" w:sz="4" w:space="0" w:color="auto"/>
              <w:left w:val="single" w:sz="4" w:space="0" w:color="auto"/>
              <w:right w:val="single" w:sz="4" w:space="0" w:color="auto"/>
            </w:tcBorders>
            <w:shd w:val="clear" w:color="auto" w:fill="FFFFFF"/>
          </w:tcPr>
          <w:p w14:paraId="65D31CDD" w14:textId="77777777" w:rsidR="001102E7" w:rsidRDefault="001102E7">
            <w:pPr>
              <w:rPr>
                <w:sz w:val="10"/>
                <w:szCs w:val="10"/>
              </w:rPr>
            </w:pPr>
          </w:p>
        </w:tc>
      </w:tr>
      <w:tr w:rsidR="001102E7" w14:paraId="04A35747" w14:textId="77777777">
        <w:tblPrEx>
          <w:tblCellMar>
            <w:top w:w="0" w:type="dxa"/>
            <w:bottom w:w="0" w:type="dxa"/>
          </w:tblCellMar>
        </w:tblPrEx>
        <w:trPr>
          <w:trHeight w:hRule="exact" w:val="384"/>
          <w:jc w:val="center"/>
        </w:trPr>
        <w:tc>
          <w:tcPr>
            <w:tcW w:w="922" w:type="dxa"/>
            <w:tcBorders>
              <w:top w:val="single" w:sz="4" w:space="0" w:color="auto"/>
              <w:left w:val="single" w:sz="4" w:space="0" w:color="auto"/>
              <w:bottom w:val="single" w:sz="4" w:space="0" w:color="auto"/>
            </w:tcBorders>
            <w:shd w:val="clear" w:color="auto" w:fill="FFFFFF"/>
          </w:tcPr>
          <w:p w14:paraId="00944AB5"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fax:</w:t>
            </w:r>
          </w:p>
        </w:tc>
        <w:tc>
          <w:tcPr>
            <w:tcW w:w="3475" w:type="dxa"/>
            <w:tcBorders>
              <w:top w:val="single" w:sz="4" w:space="0" w:color="auto"/>
              <w:left w:val="single" w:sz="4" w:space="0" w:color="auto"/>
              <w:bottom w:val="single" w:sz="4" w:space="0" w:color="auto"/>
            </w:tcBorders>
            <w:shd w:val="clear" w:color="auto" w:fill="FFFFFF"/>
          </w:tcPr>
          <w:p w14:paraId="5402A27F" w14:textId="77777777" w:rsidR="001102E7" w:rsidRDefault="001102E7">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0420CA71"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790309FE" w14:textId="77777777" w:rsidR="001102E7" w:rsidRDefault="001102E7">
            <w:pPr>
              <w:rPr>
                <w:sz w:val="10"/>
                <w:szCs w:val="10"/>
              </w:rPr>
            </w:pPr>
          </w:p>
        </w:tc>
      </w:tr>
    </w:tbl>
    <w:p w14:paraId="0957F7F8" w14:textId="77777777" w:rsidR="001102E7" w:rsidRDefault="001102E7">
      <w:pPr>
        <w:spacing w:after="3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3475"/>
        <w:gridCol w:w="922"/>
        <w:gridCol w:w="3206"/>
      </w:tblGrid>
      <w:tr w:rsidR="001102E7" w14:paraId="712125BD" w14:textId="77777777">
        <w:tblPrEx>
          <w:tblCellMar>
            <w:top w:w="0" w:type="dxa"/>
            <w:bottom w:w="0" w:type="dxa"/>
          </w:tblCellMar>
        </w:tblPrEx>
        <w:trPr>
          <w:trHeight w:hRule="exact" w:val="346"/>
          <w:jc w:val="center"/>
        </w:trPr>
        <w:tc>
          <w:tcPr>
            <w:tcW w:w="8525" w:type="dxa"/>
            <w:gridSpan w:val="4"/>
            <w:tcBorders>
              <w:top w:val="single" w:sz="4" w:space="0" w:color="auto"/>
              <w:left w:val="single" w:sz="4" w:space="0" w:color="auto"/>
              <w:right w:val="single" w:sz="4" w:space="0" w:color="auto"/>
            </w:tcBorders>
            <w:shd w:val="clear" w:color="auto" w:fill="FFFFFF"/>
          </w:tcPr>
          <w:p w14:paraId="0ED088EA" w14:textId="77777777" w:rsidR="001102E7" w:rsidRDefault="007034CD">
            <w:pPr>
              <w:pStyle w:val="Jin0"/>
              <w:shd w:val="clear" w:color="auto" w:fill="auto"/>
              <w:spacing w:after="0"/>
              <w:jc w:val="center"/>
              <w:rPr>
                <w:sz w:val="18"/>
                <w:szCs w:val="18"/>
              </w:rPr>
            </w:pPr>
            <w:r>
              <w:rPr>
                <w:rFonts w:ascii="Calibri" w:eastAsia="Calibri" w:hAnsi="Calibri" w:cs="Calibri"/>
                <w:b/>
                <w:bCs/>
                <w:sz w:val="18"/>
                <w:szCs w:val="18"/>
              </w:rPr>
              <w:t xml:space="preserve">Kontakt pro zasílání faktur, včetně "dohadu" faktur i v </w:t>
            </w:r>
            <w:r>
              <w:rPr>
                <w:rFonts w:ascii="Calibri" w:eastAsia="Calibri" w:hAnsi="Calibri" w:cs="Calibri"/>
                <w:b/>
                <w:bCs/>
                <w:sz w:val="18"/>
                <w:szCs w:val="18"/>
              </w:rPr>
              <w:t>elektronické formě:</w:t>
            </w:r>
          </w:p>
        </w:tc>
      </w:tr>
      <w:tr w:rsidR="001102E7" w14:paraId="3A176DF7"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1FB1AE5C"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adresa:</w:t>
            </w:r>
          </w:p>
        </w:tc>
        <w:tc>
          <w:tcPr>
            <w:tcW w:w="3475" w:type="dxa"/>
            <w:tcBorders>
              <w:top w:val="single" w:sz="4" w:space="0" w:color="auto"/>
              <w:left w:val="single" w:sz="4" w:space="0" w:color="auto"/>
            </w:tcBorders>
            <w:shd w:val="clear" w:color="auto" w:fill="FFFFFF"/>
          </w:tcPr>
          <w:p w14:paraId="7E7ACC12" w14:textId="77777777" w:rsidR="001102E7" w:rsidRDefault="007034CD">
            <w:pPr>
              <w:pStyle w:val="Jin0"/>
              <w:shd w:val="clear" w:color="auto" w:fill="auto"/>
              <w:spacing w:after="0"/>
              <w:rPr>
                <w:sz w:val="20"/>
                <w:szCs w:val="20"/>
              </w:rPr>
            </w:pPr>
            <w:r>
              <w:rPr>
                <w:rFonts w:ascii="Calibri" w:eastAsia="Calibri" w:hAnsi="Calibri" w:cs="Calibri"/>
                <w:sz w:val="20"/>
                <w:szCs w:val="20"/>
              </w:rPr>
              <w:t>Dvořákova 1037/4</w:t>
            </w:r>
          </w:p>
        </w:tc>
        <w:tc>
          <w:tcPr>
            <w:tcW w:w="922" w:type="dxa"/>
            <w:tcBorders>
              <w:top w:val="single" w:sz="4" w:space="0" w:color="auto"/>
              <w:left w:val="single" w:sz="4" w:space="0" w:color="auto"/>
            </w:tcBorders>
            <w:shd w:val="clear" w:color="auto" w:fill="FFFFFF"/>
          </w:tcPr>
          <w:p w14:paraId="47F3C7C6"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jméno:</w:t>
            </w:r>
          </w:p>
        </w:tc>
        <w:tc>
          <w:tcPr>
            <w:tcW w:w="3206" w:type="dxa"/>
            <w:tcBorders>
              <w:top w:val="single" w:sz="4" w:space="0" w:color="auto"/>
              <w:left w:val="single" w:sz="4" w:space="0" w:color="auto"/>
              <w:right w:val="single" w:sz="4" w:space="0" w:color="auto"/>
            </w:tcBorders>
            <w:shd w:val="clear" w:color="auto" w:fill="FFFFFF"/>
          </w:tcPr>
          <w:p w14:paraId="6E43CCDF" w14:textId="77777777" w:rsidR="001102E7" w:rsidRDefault="001102E7">
            <w:pPr>
              <w:rPr>
                <w:sz w:val="10"/>
                <w:szCs w:val="10"/>
              </w:rPr>
            </w:pPr>
          </w:p>
        </w:tc>
      </w:tr>
      <w:tr w:rsidR="001102E7" w14:paraId="09762232" w14:textId="77777777">
        <w:tblPrEx>
          <w:tblCellMar>
            <w:top w:w="0" w:type="dxa"/>
            <w:bottom w:w="0" w:type="dxa"/>
          </w:tblCellMar>
        </w:tblPrEx>
        <w:trPr>
          <w:trHeight w:hRule="exact" w:val="379"/>
          <w:jc w:val="center"/>
        </w:trPr>
        <w:tc>
          <w:tcPr>
            <w:tcW w:w="922" w:type="dxa"/>
            <w:tcBorders>
              <w:top w:val="single" w:sz="4" w:space="0" w:color="auto"/>
              <w:left w:val="single" w:sz="4" w:space="0" w:color="auto"/>
            </w:tcBorders>
            <w:shd w:val="clear" w:color="auto" w:fill="FFFFFF"/>
          </w:tcPr>
          <w:p w14:paraId="2FE26663"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e-mail:</w:t>
            </w:r>
          </w:p>
        </w:tc>
        <w:tc>
          <w:tcPr>
            <w:tcW w:w="3475" w:type="dxa"/>
            <w:tcBorders>
              <w:top w:val="single" w:sz="4" w:space="0" w:color="auto"/>
              <w:left w:val="single" w:sz="4" w:space="0" w:color="auto"/>
            </w:tcBorders>
            <w:shd w:val="clear" w:color="auto" w:fill="FFFFFF"/>
          </w:tcPr>
          <w:p w14:paraId="1B7EACA6" w14:textId="77777777" w:rsidR="001102E7" w:rsidRDefault="007034CD">
            <w:pPr>
              <w:pStyle w:val="Jin0"/>
              <w:shd w:val="clear" w:color="auto" w:fill="auto"/>
              <w:spacing w:after="0"/>
              <w:rPr>
                <w:sz w:val="20"/>
                <w:szCs w:val="20"/>
              </w:rPr>
            </w:pPr>
            <w:hyperlink r:id="rId26" w:history="1">
              <w:r>
                <w:rPr>
                  <w:rFonts w:ascii="Calibri" w:eastAsia="Calibri" w:hAnsi="Calibri" w:cs="Calibri"/>
                  <w:sz w:val="20"/>
                  <w:szCs w:val="20"/>
                  <w:lang w:val="en-US" w:eastAsia="en-US" w:bidi="en-US"/>
                </w:rPr>
                <w:t>ms-dvorakova@seznam.cz</w:t>
              </w:r>
            </w:hyperlink>
          </w:p>
        </w:tc>
        <w:tc>
          <w:tcPr>
            <w:tcW w:w="922" w:type="dxa"/>
            <w:tcBorders>
              <w:top w:val="single" w:sz="4" w:space="0" w:color="auto"/>
              <w:left w:val="single" w:sz="4" w:space="0" w:color="auto"/>
            </w:tcBorders>
            <w:shd w:val="clear" w:color="auto" w:fill="FFFFFF"/>
          </w:tcPr>
          <w:p w14:paraId="65B2171F"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e-mail:</w:t>
            </w:r>
          </w:p>
        </w:tc>
        <w:tc>
          <w:tcPr>
            <w:tcW w:w="3206" w:type="dxa"/>
            <w:tcBorders>
              <w:top w:val="single" w:sz="4" w:space="0" w:color="auto"/>
              <w:left w:val="single" w:sz="4" w:space="0" w:color="auto"/>
              <w:right w:val="single" w:sz="4" w:space="0" w:color="auto"/>
            </w:tcBorders>
            <w:shd w:val="clear" w:color="auto" w:fill="FFFFFF"/>
          </w:tcPr>
          <w:p w14:paraId="7C2DF0A7" w14:textId="77777777" w:rsidR="001102E7" w:rsidRDefault="001102E7">
            <w:pPr>
              <w:rPr>
                <w:sz w:val="10"/>
                <w:szCs w:val="10"/>
              </w:rPr>
            </w:pPr>
          </w:p>
        </w:tc>
      </w:tr>
      <w:tr w:rsidR="001102E7" w14:paraId="530E1A97" w14:textId="77777777">
        <w:tblPrEx>
          <w:tblCellMar>
            <w:top w:w="0" w:type="dxa"/>
            <w:bottom w:w="0" w:type="dxa"/>
          </w:tblCellMar>
        </w:tblPrEx>
        <w:trPr>
          <w:trHeight w:hRule="exact" w:val="374"/>
          <w:jc w:val="center"/>
        </w:trPr>
        <w:tc>
          <w:tcPr>
            <w:tcW w:w="922" w:type="dxa"/>
            <w:tcBorders>
              <w:top w:val="single" w:sz="4" w:space="0" w:color="auto"/>
              <w:left w:val="single" w:sz="4" w:space="0" w:color="auto"/>
            </w:tcBorders>
            <w:shd w:val="clear" w:color="auto" w:fill="FFFFFF"/>
          </w:tcPr>
          <w:p w14:paraId="140A7E75"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telefon:</w:t>
            </w:r>
          </w:p>
        </w:tc>
        <w:tc>
          <w:tcPr>
            <w:tcW w:w="3475" w:type="dxa"/>
            <w:tcBorders>
              <w:top w:val="single" w:sz="4" w:space="0" w:color="auto"/>
              <w:left w:val="single" w:sz="4" w:space="0" w:color="auto"/>
            </w:tcBorders>
            <w:shd w:val="clear" w:color="auto" w:fill="FFFFFF"/>
          </w:tcPr>
          <w:p w14:paraId="71A1FB02" w14:textId="77777777" w:rsidR="001102E7" w:rsidRDefault="007034CD">
            <w:pPr>
              <w:pStyle w:val="Jin0"/>
              <w:shd w:val="clear" w:color="auto" w:fill="auto"/>
              <w:spacing w:after="0"/>
              <w:rPr>
                <w:sz w:val="20"/>
                <w:szCs w:val="20"/>
              </w:rPr>
            </w:pPr>
            <w:r>
              <w:rPr>
                <w:rFonts w:ascii="Calibri" w:eastAsia="Calibri" w:hAnsi="Calibri" w:cs="Calibri"/>
                <w:sz w:val="20"/>
                <w:szCs w:val="20"/>
              </w:rPr>
              <w:t>603437115</w:t>
            </w:r>
          </w:p>
        </w:tc>
        <w:tc>
          <w:tcPr>
            <w:tcW w:w="922" w:type="dxa"/>
            <w:tcBorders>
              <w:top w:val="single" w:sz="4" w:space="0" w:color="auto"/>
              <w:left w:val="single" w:sz="4" w:space="0" w:color="auto"/>
            </w:tcBorders>
            <w:shd w:val="clear" w:color="auto" w:fill="FFFFFF"/>
          </w:tcPr>
          <w:p w14:paraId="6E2777E1"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telefon:</w:t>
            </w:r>
          </w:p>
        </w:tc>
        <w:tc>
          <w:tcPr>
            <w:tcW w:w="3206" w:type="dxa"/>
            <w:tcBorders>
              <w:top w:val="single" w:sz="4" w:space="0" w:color="auto"/>
              <w:left w:val="single" w:sz="4" w:space="0" w:color="auto"/>
              <w:right w:val="single" w:sz="4" w:space="0" w:color="auto"/>
            </w:tcBorders>
            <w:shd w:val="clear" w:color="auto" w:fill="FFFFFF"/>
          </w:tcPr>
          <w:p w14:paraId="7B2EF230" w14:textId="77777777" w:rsidR="001102E7" w:rsidRDefault="001102E7">
            <w:pPr>
              <w:rPr>
                <w:sz w:val="10"/>
                <w:szCs w:val="10"/>
              </w:rPr>
            </w:pPr>
          </w:p>
        </w:tc>
      </w:tr>
      <w:tr w:rsidR="001102E7" w14:paraId="1C392A84" w14:textId="77777777">
        <w:tblPrEx>
          <w:tblCellMar>
            <w:top w:w="0" w:type="dxa"/>
            <w:bottom w:w="0" w:type="dxa"/>
          </w:tblCellMar>
        </w:tblPrEx>
        <w:trPr>
          <w:trHeight w:hRule="exact" w:val="384"/>
          <w:jc w:val="center"/>
        </w:trPr>
        <w:tc>
          <w:tcPr>
            <w:tcW w:w="922" w:type="dxa"/>
            <w:tcBorders>
              <w:top w:val="single" w:sz="4" w:space="0" w:color="auto"/>
              <w:left w:val="single" w:sz="4" w:space="0" w:color="auto"/>
              <w:bottom w:val="single" w:sz="4" w:space="0" w:color="auto"/>
            </w:tcBorders>
            <w:shd w:val="clear" w:color="auto" w:fill="FFFFFF"/>
          </w:tcPr>
          <w:p w14:paraId="5F1EF622"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fax:</w:t>
            </w:r>
          </w:p>
        </w:tc>
        <w:tc>
          <w:tcPr>
            <w:tcW w:w="3475" w:type="dxa"/>
            <w:tcBorders>
              <w:top w:val="single" w:sz="4" w:space="0" w:color="auto"/>
              <w:left w:val="single" w:sz="4" w:space="0" w:color="auto"/>
              <w:bottom w:val="single" w:sz="4" w:space="0" w:color="auto"/>
            </w:tcBorders>
            <w:shd w:val="clear" w:color="auto" w:fill="FFFFFF"/>
          </w:tcPr>
          <w:p w14:paraId="41D56A0B" w14:textId="77777777" w:rsidR="001102E7" w:rsidRDefault="001102E7">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3351ECDB"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68F864A0" w14:textId="77777777" w:rsidR="001102E7" w:rsidRDefault="001102E7">
            <w:pPr>
              <w:rPr>
                <w:sz w:val="10"/>
                <w:szCs w:val="10"/>
              </w:rPr>
            </w:pPr>
          </w:p>
        </w:tc>
      </w:tr>
    </w:tbl>
    <w:p w14:paraId="5820BC01" w14:textId="77777777" w:rsidR="007034CD" w:rsidRDefault="007034CD"/>
    <w:sectPr w:rsidR="007034CD">
      <w:pgSz w:w="11900" w:h="16840"/>
      <w:pgMar w:top="1642" w:right="1853" w:bottom="1642" w:left="15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12CB" w14:textId="77777777" w:rsidR="007034CD" w:rsidRDefault="007034CD">
      <w:r>
        <w:separator/>
      </w:r>
    </w:p>
  </w:endnote>
  <w:endnote w:type="continuationSeparator" w:id="0">
    <w:p w14:paraId="40D7DD9D" w14:textId="77777777" w:rsidR="007034CD" w:rsidRDefault="0070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E076" w14:textId="77777777" w:rsidR="001102E7" w:rsidRDefault="007034CD">
    <w:pPr>
      <w:spacing w:line="1" w:lineRule="exact"/>
    </w:pPr>
    <w:r>
      <w:rPr>
        <w:noProof/>
      </w:rPr>
      <mc:AlternateContent>
        <mc:Choice Requires="wps">
          <w:drawing>
            <wp:anchor distT="0" distB="0" distL="0" distR="0" simplePos="0" relativeHeight="62914694" behindDoc="1" locked="0" layoutInCell="1" allowOverlap="1" wp14:anchorId="0B98C96D" wp14:editId="7F73FFE9">
              <wp:simplePos x="0" y="0"/>
              <wp:positionH relativeFrom="page">
                <wp:posOffset>3397250</wp:posOffset>
              </wp:positionH>
              <wp:positionV relativeFrom="page">
                <wp:posOffset>9979660</wp:posOffset>
              </wp:positionV>
              <wp:extent cx="746760"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746760" cy="109855"/>
                      </a:xfrm>
                      <a:prstGeom prst="rect">
                        <a:avLst/>
                      </a:prstGeom>
                      <a:noFill/>
                    </wps:spPr>
                    <wps:txbx>
                      <w:txbxContent>
                        <w:p w14:paraId="1C538D84" w14:textId="77777777" w:rsidR="001102E7" w:rsidRDefault="007034CD">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wps:txbx>
                    <wps:bodyPr wrap="none" lIns="0" tIns="0" rIns="0" bIns="0">
                      <a:spAutoFit/>
                    </wps:bodyPr>
                  </wps:wsp>
                </a:graphicData>
              </a:graphic>
            </wp:anchor>
          </w:drawing>
        </mc:Choice>
        <mc:Fallback>
          <w:pict>
            <v:shapetype w14:anchorId="0B98C96D" id="_x0000_t202" coordsize="21600,21600" o:spt="202" path="m,l,21600r21600,l21600,xe">
              <v:stroke joinstyle="miter"/>
              <v:path gradientshapeok="t" o:connecttype="rect"/>
            </v:shapetype>
            <v:shape id="Shape 9" o:spid="_x0000_s1033" type="#_x0000_t202" style="position:absolute;margin-left:267.5pt;margin-top:785.8pt;width:58.8pt;height:8.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" filled="f" stroked="f">
              <v:textbox style="mso-fit-shape-to-text:t" inset="0,0,0,0">
                <w:txbxContent>
                  <w:p w14:paraId="1C538D84" w14:textId="77777777" w:rsidR="001102E7" w:rsidRDefault="007034CD">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85D4" w14:textId="77777777" w:rsidR="001102E7" w:rsidRDefault="007034CD">
    <w:pPr>
      <w:spacing w:line="1" w:lineRule="exact"/>
    </w:pPr>
    <w:r>
      <w:rPr>
        <w:noProof/>
      </w:rPr>
      <mc:AlternateContent>
        <mc:Choice Requires="wps">
          <w:drawing>
            <wp:anchor distT="0" distB="0" distL="0" distR="0" simplePos="0" relativeHeight="62914701" behindDoc="1" locked="0" layoutInCell="1" allowOverlap="1" wp14:anchorId="09D9DB7C" wp14:editId="05C5D26E">
              <wp:simplePos x="0" y="0"/>
              <wp:positionH relativeFrom="page">
                <wp:posOffset>3368675</wp:posOffset>
              </wp:positionH>
              <wp:positionV relativeFrom="page">
                <wp:posOffset>9982200</wp:posOffset>
              </wp:positionV>
              <wp:extent cx="816610" cy="109855"/>
              <wp:effectExtent l="0" t="0" r="0" b="0"/>
              <wp:wrapNone/>
              <wp:docPr id="25" name="Shape 25"/>
              <wp:cNvGraphicFramePr/>
              <a:graphic xmlns:a="http://schemas.openxmlformats.org/drawingml/2006/main">
                <a:graphicData uri="http://schemas.microsoft.com/office/word/2010/wordprocessingShape">
                  <wps:wsp>
                    <wps:cNvSpPr txBox="1"/>
                    <wps:spPr>
                      <a:xfrm>
                        <a:off x="0" y="0"/>
                        <a:ext cx="816610" cy="109855"/>
                      </a:xfrm>
                      <a:prstGeom prst="rect">
                        <a:avLst/>
                      </a:prstGeom>
                      <a:noFill/>
                    </wps:spPr>
                    <wps:txbx>
                      <w:txbxContent>
                        <w:p w14:paraId="5DF7DCD4" w14:textId="77777777" w:rsidR="001102E7" w:rsidRDefault="007034CD">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ze </w:t>
                          </w:r>
                          <w:r>
                            <w:rPr>
                              <w:rFonts w:ascii="Arial" w:eastAsia="Arial" w:hAnsi="Arial" w:cs="Arial"/>
                              <w:b/>
                              <w:bCs/>
                            </w:rPr>
                            <w:t>8</w:t>
                          </w:r>
                        </w:p>
                      </w:txbxContent>
                    </wps:txbx>
                    <wps:bodyPr wrap="none" lIns="0" tIns="0" rIns="0" bIns="0">
                      <a:spAutoFit/>
                    </wps:bodyPr>
                  </wps:wsp>
                </a:graphicData>
              </a:graphic>
            </wp:anchor>
          </w:drawing>
        </mc:Choice>
        <mc:Fallback>
          <w:pict>
            <v:shapetype w14:anchorId="09D9DB7C" id="_x0000_t202" coordsize="21600,21600" o:spt="202" path="m,l,21600r21600,l21600,xe">
              <v:stroke joinstyle="miter"/>
              <v:path gradientshapeok="t" o:connecttype="rect"/>
            </v:shapetype>
            <v:shape id="Shape 25" o:spid="_x0000_s1036" type="#_x0000_t202" style="position:absolute;margin-left:265.25pt;margin-top:786pt;width:64.3pt;height:8.6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" filled="f" stroked="f">
              <v:textbox style="mso-fit-shape-to-text:t" inset="0,0,0,0">
                <w:txbxContent>
                  <w:p w14:paraId="5DF7DCD4" w14:textId="77777777" w:rsidR="001102E7" w:rsidRDefault="007034CD">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ze </w:t>
                    </w:r>
                    <w:r>
                      <w:rPr>
                        <w:rFonts w:ascii="Arial" w:eastAsia="Arial" w:hAnsi="Arial" w:cs="Arial"/>
                        <w:b/>
                        <w:bCs/>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4998" w14:textId="77777777" w:rsidR="001102E7" w:rsidRDefault="007034CD">
    <w:pPr>
      <w:spacing w:line="1" w:lineRule="exact"/>
    </w:pPr>
    <w:r>
      <w:rPr>
        <w:noProof/>
      </w:rPr>
      <mc:AlternateContent>
        <mc:Choice Requires="wps">
          <w:drawing>
            <wp:anchor distT="0" distB="0" distL="0" distR="0" simplePos="0" relativeHeight="62914707" behindDoc="1" locked="0" layoutInCell="1" allowOverlap="1" wp14:anchorId="47B51E6C" wp14:editId="0A5CE9FB">
              <wp:simplePos x="0" y="0"/>
              <wp:positionH relativeFrom="page">
                <wp:posOffset>3404870</wp:posOffset>
              </wp:positionH>
              <wp:positionV relativeFrom="page">
                <wp:posOffset>9979660</wp:posOffset>
              </wp:positionV>
              <wp:extent cx="746760" cy="109855"/>
              <wp:effectExtent l="0" t="0" r="0" b="0"/>
              <wp:wrapNone/>
              <wp:docPr id="31" name="Shape 31"/>
              <wp:cNvGraphicFramePr/>
              <a:graphic xmlns:a="http://schemas.openxmlformats.org/drawingml/2006/main">
                <a:graphicData uri="http://schemas.microsoft.com/office/word/2010/wordprocessingShape">
                  <wps:wsp>
                    <wps:cNvSpPr txBox="1"/>
                    <wps:spPr>
                      <a:xfrm>
                        <a:off x="0" y="0"/>
                        <a:ext cx="746760" cy="109855"/>
                      </a:xfrm>
                      <a:prstGeom prst="rect">
                        <a:avLst/>
                      </a:prstGeom>
                      <a:noFill/>
                    </wps:spPr>
                    <wps:txbx>
                      <w:txbxContent>
                        <w:p w14:paraId="6B2B52E8" w14:textId="77777777" w:rsidR="001102E7" w:rsidRDefault="007034CD">
                          <w:pPr>
                            <w:pStyle w:val="Zhlavnebozpat20"/>
                            <w:shd w:val="clear" w:color="auto" w:fill="auto"/>
                          </w:pPr>
                          <w:r>
                            <w:rPr>
                              <w:rFonts w:ascii="Arial" w:eastAsia="Arial" w:hAnsi="Arial" w:cs="Arial"/>
                            </w:rPr>
                            <w:t xml:space="preserve">Stránka </w:t>
                          </w:r>
                          <w:r>
                            <w:rPr>
                              <w:rFonts w:ascii="Arial" w:eastAsia="Arial" w:hAnsi="Arial" w:cs="Arial"/>
                              <w:b/>
                              <w:bCs/>
                            </w:rPr>
                            <w:t xml:space="preserve">7 </w:t>
                          </w:r>
                          <w:r>
                            <w:rPr>
                              <w:rFonts w:ascii="Arial" w:eastAsia="Arial" w:hAnsi="Arial" w:cs="Arial"/>
                            </w:rPr>
                            <w:t xml:space="preserve">z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p>
                      </w:txbxContent>
                    </wps:txbx>
                    <wps:bodyPr wrap="none" lIns="0" tIns="0" rIns="0" bIns="0">
                      <a:spAutoFit/>
                    </wps:bodyPr>
                  </wps:wsp>
                </a:graphicData>
              </a:graphic>
            </wp:anchor>
          </w:drawing>
        </mc:Choice>
        <mc:Fallback>
          <w:pict>
            <v:shapetype w14:anchorId="47B51E6C" id="_x0000_t202" coordsize="21600,21600" o:spt="202" path="m,l,21600r21600,l21600,xe">
              <v:stroke joinstyle="miter"/>
              <v:path gradientshapeok="t" o:connecttype="rect"/>
            </v:shapetype>
            <v:shape id="Shape 31" o:spid="_x0000_s1039" type="#_x0000_t202" style="position:absolute;margin-left:268.1pt;margin-top:785.8pt;width:58.8pt;height:8.65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" filled="f" stroked="f">
              <v:textbox style="mso-fit-shape-to-text:t" inset="0,0,0,0">
                <w:txbxContent>
                  <w:p w14:paraId="6B2B52E8" w14:textId="77777777" w:rsidR="001102E7" w:rsidRDefault="007034CD">
                    <w:pPr>
                      <w:pStyle w:val="Zhlavnebozpat20"/>
                      <w:shd w:val="clear" w:color="auto" w:fill="auto"/>
                    </w:pPr>
                    <w:r>
                      <w:rPr>
                        <w:rFonts w:ascii="Arial" w:eastAsia="Arial" w:hAnsi="Arial" w:cs="Arial"/>
                      </w:rPr>
                      <w:t xml:space="preserve">Stránka </w:t>
                    </w:r>
                    <w:r>
                      <w:rPr>
                        <w:rFonts w:ascii="Arial" w:eastAsia="Arial" w:hAnsi="Arial" w:cs="Arial"/>
                        <w:b/>
                        <w:bCs/>
                      </w:rPr>
                      <w:t xml:space="preserve">7 </w:t>
                    </w:r>
                    <w:r>
                      <w:rPr>
                        <w:rFonts w:ascii="Arial" w:eastAsia="Arial" w:hAnsi="Arial" w:cs="Arial"/>
                      </w:rPr>
                      <w:t xml:space="preserve">z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9318" w14:textId="77777777" w:rsidR="001102E7" w:rsidRDefault="001102E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D24B" w14:textId="77777777" w:rsidR="001102E7" w:rsidRDefault="007034CD">
    <w:pPr>
      <w:spacing w:line="1" w:lineRule="exact"/>
    </w:pPr>
    <w:r>
      <w:rPr>
        <w:noProof/>
      </w:rPr>
      <mc:AlternateContent>
        <mc:Choice Requires="wps">
          <w:drawing>
            <wp:anchor distT="0" distB="0" distL="0" distR="0" simplePos="0" relativeHeight="62914716" behindDoc="1" locked="0" layoutInCell="1" allowOverlap="1" wp14:anchorId="05B277F0" wp14:editId="2AAFF0E7">
              <wp:simplePos x="0" y="0"/>
              <wp:positionH relativeFrom="page">
                <wp:posOffset>3404870</wp:posOffset>
              </wp:positionH>
              <wp:positionV relativeFrom="page">
                <wp:posOffset>9979660</wp:posOffset>
              </wp:positionV>
              <wp:extent cx="746760" cy="109855"/>
              <wp:effectExtent l="0" t="0" r="0" b="0"/>
              <wp:wrapNone/>
              <wp:docPr id="41" name="Shape 41"/>
              <wp:cNvGraphicFramePr/>
              <a:graphic xmlns:a="http://schemas.openxmlformats.org/drawingml/2006/main">
                <a:graphicData uri="http://schemas.microsoft.com/office/word/2010/wordprocessingShape">
                  <wps:wsp>
                    <wps:cNvSpPr txBox="1"/>
                    <wps:spPr>
                      <a:xfrm>
                        <a:off x="0" y="0"/>
                        <a:ext cx="746760" cy="109855"/>
                      </a:xfrm>
                      <a:prstGeom prst="rect">
                        <a:avLst/>
                      </a:prstGeom>
                      <a:noFill/>
                    </wps:spPr>
                    <wps:txbx>
                      <w:txbxContent>
                        <w:p w14:paraId="19353435" w14:textId="77777777" w:rsidR="001102E7" w:rsidRDefault="007034CD">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wps:txbx>
                    <wps:bodyPr wrap="none" lIns="0" tIns="0" rIns="0" bIns="0">
                      <a:spAutoFit/>
                    </wps:bodyPr>
                  </wps:wsp>
                </a:graphicData>
              </a:graphic>
            </wp:anchor>
          </w:drawing>
        </mc:Choice>
        <mc:Fallback>
          <w:pict>
            <v:shapetype w14:anchorId="05B277F0" id="_x0000_t202" coordsize="21600,21600" o:spt="202" path="m,l,21600r21600,l21600,xe">
              <v:stroke joinstyle="miter"/>
              <v:path gradientshapeok="t" o:connecttype="rect"/>
            </v:shapetype>
            <v:shape id="Shape 41" o:spid="_x0000_s1043" type="#_x0000_t202" style="position:absolute;margin-left:268.1pt;margin-top:785.8pt;width:58.8pt;height:8.6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" filled="f" stroked="f">
              <v:textbox style="mso-fit-shape-to-text:t" inset="0,0,0,0">
                <w:txbxContent>
                  <w:p w14:paraId="19353435" w14:textId="77777777" w:rsidR="001102E7" w:rsidRDefault="007034CD">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17CB" w14:textId="77777777" w:rsidR="007034CD" w:rsidRDefault="007034CD"/>
  </w:footnote>
  <w:footnote w:type="continuationSeparator" w:id="0">
    <w:p w14:paraId="719F2AED" w14:textId="77777777" w:rsidR="007034CD" w:rsidRDefault="007034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BBCA" w14:textId="77777777" w:rsidR="001102E7" w:rsidRDefault="007034CD">
    <w:pPr>
      <w:spacing w:line="1" w:lineRule="exact"/>
    </w:pPr>
    <w:r>
      <w:rPr>
        <w:noProof/>
      </w:rPr>
      <mc:AlternateContent>
        <mc:Choice Requires="wps">
          <w:drawing>
            <wp:anchor distT="0" distB="0" distL="0" distR="0" simplePos="0" relativeHeight="62914690" behindDoc="1" locked="0" layoutInCell="1" allowOverlap="1" wp14:anchorId="2C2ADEE4" wp14:editId="03B5AAD2">
              <wp:simplePos x="0" y="0"/>
              <wp:positionH relativeFrom="page">
                <wp:posOffset>892175</wp:posOffset>
              </wp:positionH>
              <wp:positionV relativeFrom="page">
                <wp:posOffset>476250</wp:posOffset>
              </wp:positionV>
              <wp:extent cx="2127250" cy="320040"/>
              <wp:effectExtent l="0" t="0" r="0" b="0"/>
              <wp:wrapNone/>
              <wp:docPr id="5" name="Shape 5"/>
              <wp:cNvGraphicFramePr/>
              <a:graphic xmlns:a="http://schemas.openxmlformats.org/drawingml/2006/main">
                <a:graphicData uri="http://schemas.microsoft.com/office/word/2010/wordprocessingShape">
                  <wps:wsp>
                    <wps:cNvSpPr txBox="1"/>
                    <wps:spPr>
                      <a:xfrm>
                        <a:off x="0" y="0"/>
                        <a:ext cx="2127250" cy="320040"/>
                      </a:xfrm>
                      <a:prstGeom prst="rect">
                        <a:avLst/>
                      </a:prstGeom>
                      <a:noFill/>
                    </wps:spPr>
                    <wps:txbx>
                      <w:txbxContent>
                        <w:p w14:paraId="5228B52A"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p w14:paraId="7EBADE4D" w14:textId="77777777" w:rsidR="001102E7" w:rsidRDefault="007034CD">
                          <w:pPr>
                            <w:pStyle w:val="Zhlavnebozpat20"/>
                            <w:shd w:val="clear" w:color="auto" w:fill="auto"/>
                            <w:rPr>
                              <w:sz w:val="16"/>
                              <w:szCs w:val="16"/>
                            </w:rPr>
                          </w:pPr>
                          <w:r>
                            <w:rPr>
                              <w:rFonts w:ascii="Arial" w:eastAsia="Arial" w:hAnsi="Arial" w:cs="Arial"/>
                              <w:sz w:val="16"/>
                              <w:szCs w:val="16"/>
                            </w:rPr>
                            <w:t>ČÍSLO SMLOUVY ZÁKAZNÍKA:</w:t>
                          </w:r>
                        </w:p>
                      </w:txbxContent>
                    </wps:txbx>
                    <wps:bodyPr wrap="none" lIns="0" tIns="0" rIns="0" bIns="0">
                      <a:spAutoFit/>
                    </wps:bodyPr>
                  </wps:wsp>
                </a:graphicData>
              </a:graphic>
            </wp:anchor>
          </w:drawing>
        </mc:Choice>
        <mc:Fallback>
          <w:pict>
            <v:shapetype w14:anchorId="2C2ADEE4" id="_x0000_t202" coordsize="21600,21600" o:spt="202" path="m,l,21600r21600,l21600,xe">
              <v:stroke joinstyle="miter"/>
              <v:path gradientshapeok="t" o:connecttype="rect"/>
            </v:shapetype>
            <v:shape id="Shape 5" o:spid="_x0000_s1031" type="#_x0000_t202" style="position:absolute;margin-left:70.25pt;margin-top:37.5pt;width:167.5pt;height:25.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" filled="f" stroked="f">
              <v:textbox style="mso-fit-shape-to-text:t" inset="0,0,0,0">
                <w:txbxContent>
                  <w:p w14:paraId="5228B52A"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p w14:paraId="7EBADE4D" w14:textId="77777777" w:rsidR="001102E7" w:rsidRDefault="007034CD">
                    <w:pPr>
                      <w:pStyle w:val="Zhlavnebozpat20"/>
                      <w:shd w:val="clear" w:color="auto" w:fill="auto"/>
                      <w:rPr>
                        <w:sz w:val="16"/>
                        <w:szCs w:val="16"/>
                      </w:rPr>
                    </w:pPr>
                    <w:r>
                      <w:rPr>
                        <w:rFonts w:ascii="Arial" w:eastAsia="Arial" w:hAnsi="Arial" w:cs="Arial"/>
                        <w:sz w:val="16"/>
                        <w:szCs w:val="16"/>
                      </w:rPr>
                      <w:t>ČÍSLO SMLOUVY ZÁKAZNÍKA:</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6B66F388" wp14:editId="67999FEA">
              <wp:simplePos x="0" y="0"/>
              <wp:positionH relativeFrom="page">
                <wp:posOffset>5860415</wp:posOffset>
              </wp:positionH>
              <wp:positionV relativeFrom="page">
                <wp:posOffset>497205</wp:posOffset>
              </wp:positionV>
              <wp:extent cx="79248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792480" cy="94615"/>
                      </a:xfrm>
                      <a:prstGeom prst="rect">
                        <a:avLst/>
                      </a:prstGeom>
                      <a:noFill/>
                    </wps:spPr>
                    <wps:txbx>
                      <w:txbxContent>
                        <w:p w14:paraId="2F7FA706" w14:textId="77777777" w:rsidR="001102E7" w:rsidRDefault="007034CD">
                          <w:pPr>
                            <w:pStyle w:val="Zhlavnebozpat20"/>
                            <w:shd w:val="clear" w:color="auto" w:fill="auto"/>
                            <w:rPr>
                              <w:sz w:val="16"/>
                              <w:szCs w:val="16"/>
                            </w:rPr>
                          </w:pPr>
                          <w:r>
                            <w:rPr>
                              <w:rFonts w:ascii="Arial" w:eastAsia="Arial" w:hAnsi="Arial" w:cs="Arial"/>
                              <w:sz w:val="16"/>
                              <w:szCs w:val="16"/>
                            </w:rPr>
                            <w:t>Příloha č. 1aa ZD</w:t>
                          </w:r>
                        </w:p>
                      </w:txbxContent>
                    </wps:txbx>
                    <wps:bodyPr wrap="none" lIns="0" tIns="0" rIns="0" bIns="0">
                      <a:spAutoFit/>
                    </wps:bodyPr>
                  </wps:wsp>
                </a:graphicData>
              </a:graphic>
            </wp:anchor>
          </w:drawing>
        </mc:Choice>
        <mc:Fallback>
          <w:pict>
            <v:shape w14:anchorId="6B66F388" id="Shape 7" o:spid="_x0000_s1032" type="#_x0000_t202" style="position:absolute;margin-left:461.45pt;margin-top:39.15pt;width:62.4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" filled="f" stroked="f">
              <v:textbox style="mso-fit-shape-to-text:t" inset="0,0,0,0">
                <w:txbxContent>
                  <w:p w14:paraId="2F7FA706" w14:textId="77777777" w:rsidR="001102E7" w:rsidRDefault="007034CD">
                    <w:pPr>
                      <w:pStyle w:val="Zhlavnebozpat20"/>
                      <w:shd w:val="clear" w:color="auto" w:fill="auto"/>
                      <w:rPr>
                        <w:sz w:val="16"/>
                        <w:szCs w:val="16"/>
                      </w:rPr>
                    </w:pPr>
                    <w:r>
                      <w:rPr>
                        <w:rFonts w:ascii="Arial" w:eastAsia="Arial" w:hAnsi="Arial" w:cs="Arial"/>
                        <w:sz w:val="16"/>
                        <w:szCs w:val="16"/>
                      </w:rPr>
                      <w:t>Příloha č. 1aa ZD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1528" w14:textId="77777777" w:rsidR="001102E7" w:rsidRDefault="007034CD">
    <w:pPr>
      <w:spacing w:line="1" w:lineRule="exact"/>
    </w:pPr>
    <w:r>
      <w:rPr>
        <w:noProof/>
      </w:rPr>
      <mc:AlternateContent>
        <mc:Choice Requires="wps">
          <w:drawing>
            <wp:anchor distT="0" distB="0" distL="0" distR="0" simplePos="0" relativeHeight="62914697" behindDoc="1" locked="0" layoutInCell="1" allowOverlap="1" wp14:anchorId="202D7905" wp14:editId="0B887389">
              <wp:simplePos x="0" y="0"/>
              <wp:positionH relativeFrom="page">
                <wp:posOffset>899795</wp:posOffset>
              </wp:positionH>
              <wp:positionV relativeFrom="page">
                <wp:posOffset>475615</wp:posOffset>
              </wp:positionV>
              <wp:extent cx="2127250" cy="115570"/>
              <wp:effectExtent l="0" t="0" r="0" b="0"/>
              <wp:wrapNone/>
              <wp:docPr id="21" name="Shape 21"/>
              <wp:cNvGraphicFramePr/>
              <a:graphic xmlns:a="http://schemas.openxmlformats.org/drawingml/2006/main">
                <a:graphicData uri="http://schemas.microsoft.com/office/word/2010/wordprocessingShape">
                  <wps:wsp>
                    <wps:cNvSpPr txBox="1"/>
                    <wps:spPr>
                      <a:xfrm>
                        <a:off x="0" y="0"/>
                        <a:ext cx="2127250" cy="115570"/>
                      </a:xfrm>
                      <a:prstGeom prst="rect">
                        <a:avLst/>
                      </a:prstGeom>
                      <a:noFill/>
                    </wps:spPr>
                    <wps:txbx>
                      <w:txbxContent>
                        <w:p w14:paraId="6AD86F5C"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txbxContent>
                    </wps:txbx>
                    <wps:bodyPr wrap="none" lIns="0" tIns="0" rIns="0" bIns="0">
                      <a:spAutoFit/>
                    </wps:bodyPr>
                  </wps:wsp>
                </a:graphicData>
              </a:graphic>
            </wp:anchor>
          </w:drawing>
        </mc:Choice>
        <mc:Fallback>
          <w:pict>
            <v:shapetype w14:anchorId="202D7905" id="_x0000_t202" coordsize="21600,21600" o:spt="202" path="m,l,21600r21600,l21600,xe">
              <v:stroke joinstyle="miter"/>
              <v:path gradientshapeok="t" o:connecttype="rect"/>
            </v:shapetype>
            <v:shape id="Shape 21" o:spid="_x0000_s1034" type="#_x0000_t202" style="position:absolute;margin-left:70.85pt;margin-top:37.45pt;width:167.5pt;height:9.1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" filled="f" stroked="f">
              <v:textbox style="mso-fit-shape-to-text:t" inset="0,0,0,0">
                <w:txbxContent>
                  <w:p w14:paraId="6AD86F5C"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txbxContent>
              </v:textbox>
              <w10:wrap anchorx="page" anchory="page"/>
            </v:shape>
          </w:pict>
        </mc:Fallback>
      </mc:AlternateContent>
    </w:r>
    <w:r>
      <w:rPr>
        <w:noProof/>
      </w:rPr>
      <mc:AlternateContent>
        <mc:Choice Requires="wps">
          <w:drawing>
            <wp:anchor distT="0" distB="0" distL="0" distR="0" simplePos="0" relativeHeight="62914699" behindDoc="1" locked="0" layoutInCell="1" allowOverlap="1" wp14:anchorId="0CC50386" wp14:editId="7D24DA5B">
              <wp:simplePos x="0" y="0"/>
              <wp:positionH relativeFrom="page">
                <wp:posOffset>5895340</wp:posOffset>
              </wp:positionH>
              <wp:positionV relativeFrom="page">
                <wp:posOffset>628015</wp:posOffset>
              </wp:positionV>
              <wp:extent cx="765175"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765175" cy="91440"/>
                      </a:xfrm>
                      <a:prstGeom prst="rect">
                        <a:avLst/>
                      </a:prstGeom>
                      <a:noFill/>
                    </wps:spPr>
                    <wps:txbx>
                      <w:txbxContent>
                        <w:p w14:paraId="69D7B7A1" w14:textId="77777777" w:rsidR="001102E7" w:rsidRDefault="007034CD">
                          <w:pPr>
                            <w:pStyle w:val="Zhlavnebozpat20"/>
                            <w:shd w:val="clear" w:color="auto" w:fill="auto"/>
                            <w:rPr>
                              <w:sz w:val="16"/>
                              <w:szCs w:val="16"/>
                            </w:rPr>
                          </w:pPr>
                          <w:r>
                            <w:rPr>
                              <w:rFonts w:ascii="Arial" w:eastAsia="Arial" w:hAnsi="Arial" w:cs="Arial"/>
                              <w:sz w:val="16"/>
                              <w:szCs w:val="16"/>
                            </w:rPr>
                            <w:t>Příloha č. 2a ZD</w:t>
                          </w:r>
                        </w:p>
                      </w:txbxContent>
                    </wps:txbx>
                    <wps:bodyPr wrap="none" lIns="0" tIns="0" rIns="0" bIns="0">
                      <a:spAutoFit/>
                    </wps:bodyPr>
                  </wps:wsp>
                </a:graphicData>
              </a:graphic>
            </wp:anchor>
          </w:drawing>
        </mc:Choice>
        <mc:Fallback>
          <w:pict>
            <v:shape w14:anchorId="0CC50386" id="Shape 23" o:spid="_x0000_s1035" type="#_x0000_t202" style="position:absolute;margin-left:464.2pt;margin-top:49.45pt;width:60.25pt;height:7.2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" filled="f" stroked="f">
              <v:textbox style="mso-fit-shape-to-text:t" inset="0,0,0,0">
                <w:txbxContent>
                  <w:p w14:paraId="69D7B7A1" w14:textId="77777777" w:rsidR="001102E7" w:rsidRDefault="007034CD">
                    <w:pPr>
                      <w:pStyle w:val="Zhlavnebozpat20"/>
                      <w:shd w:val="clear" w:color="auto" w:fill="auto"/>
                      <w:rPr>
                        <w:sz w:val="16"/>
                        <w:szCs w:val="16"/>
                      </w:rPr>
                    </w:pPr>
                    <w:r>
                      <w:rPr>
                        <w:rFonts w:ascii="Arial" w:eastAsia="Arial" w:hAnsi="Arial" w:cs="Arial"/>
                        <w:sz w:val="16"/>
                        <w:szCs w:val="16"/>
                      </w:rPr>
                      <w:t>Příloha č. 2a ZD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F07D" w14:textId="77777777" w:rsidR="001102E7" w:rsidRDefault="007034CD">
    <w:pPr>
      <w:spacing w:line="1" w:lineRule="exact"/>
    </w:pPr>
    <w:r>
      <w:rPr>
        <w:noProof/>
      </w:rPr>
      <mc:AlternateContent>
        <mc:Choice Requires="wps">
          <w:drawing>
            <wp:anchor distT="0" distB="0" distL="0" distR="0" simplePos="0" relativeHeight="62914703" behindDoc="1" locked="0" layoutInCell="1" allowOverlap="1" wp14:anchorId="11268A26" wp14:editId="0E8E9286">
              <wp:simplePos x="0" y="0"/>
              <wp:positionH relativeFrom="page">
                <wp:posOffset>899160</wp:posOffset>
              </wp:positionH>
              <wp:positionV relativeFrom="page">
                <wp:posOffset>476250</wp:posOffset>
              </wp:positionV>
              <wp:extent cx="2127250" cy="320040"/>
              <wp:effectExtent l="0" t="0" r="0" b="0"/>
              <wp:wrapNone/>
              <wp:docPr id="27" name="Shape 27"/>
              <wp:cNvGraphicFramePr/>
              <a:graphic xmlns:a="http://schemas.openxmlformats.org/drawingml/2006/main">
                <a:graphicData uri="http://schemas.microsoft.com/office/word/2010/wordprocessingShape">
                  <wps:wsp>
                    <wps:cNvSpPr txBox="1"/>
                    <wps:spPr>
                      <a:xfrm>
                        <a:off x="0" y="0"/>
                        <a:ext cx="2127250" cy="320040"/>
                      </a:xfrm>
                      <a:prstGeom prst="rect">
                        <a:avLst/>
                      </a:prstGeom>
                      <a:noFill/>
                    </wps:spPr>
                    <wps:txbx>
                      <w:txbxContent>
                        <w:p w14:paraId="03B09BCB"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p w14:paraId="295573D8" w14:textId="77777777" w:rsidR="001102E7" w:rsidRDefault="007034CD">
                          <w:pPr>
                            <w:pStyle w:val="Zhlavnebozpat20"/>
                            <w:shd w:val="clear" w:color="auto" w:fill="auto"/>
                            <w:rPr>
                              <w:sz w:val="16"/>
                              <w:szCs w:val="16"/>
                            </w:rPr>
                          </w:pPr>
                          <w:r>
                            <w:rPr>
                              <w:rFonts w:ascii="Arial" w:eastAsia="Arial" w:hAnsi="Arial" w:cs="Arial"/>
                              <w:sz w:val="16"/>
                              <w:szCs w:val="16"/>
                            </w:rPr>
                            <w:t>ČÍSLO SMLOUVY ZÁKAZNÍKA:</w:t>
                          </w:r>
                        </w:p>
                      </w:txbxContent>
                    </wps:txbx>
                    <wps:bodyPr wrap="none" lIns="0" tIns="0" rIns="0" bIns="0">
                      <a:spAutoFit/>
                    </wps:bodyPr>
                  </wps:wsp>
                </a:graphicData>
              </a:graphic>
            </wp:anchor>
          </w:drawing>
        </mc:Choice>
        <mc:Fallback>
          <w:pict>
            <v:shapetype w14:anchorId="11268A26" id="_x0000_t202" coordsize="21600,21600" o:spt="202" path="m,l,21600r21600,l21600,xe">
              <v:stroke joinstyle="miter"/>
              <v:path gradientshapeok="t" o:connecttype="rect"/>
            </v:shapetype>
            <v:shape id="Shape 27" o:spid="_x0000_s1037" type="#_x0000_t202" style="position:absolute;margin-left:70.8pt;margin-top:37.5pt;width:167.5pt;height:25.2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" filled="f" stroked="f">
              <v:textbox style="mso-fit-shape-to-text:t" inset="0,0,0,0">
                <w:txbxContent>
                  <w:p w14:paraId="03B09BCB"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p w14:paraId="295573D8" w14:textId="77777777" w:rsidR="001102E7" w:rsidRDefault="007034CD">
                    <w:pPr>
                      <w:pStyle w:val="Zhlavnebozpat20"/>
                      <w:shd w:val="clear" w:color="auto" w:fill="auto"/>
                      <w:rPr>
                        <w:sz w:val="16"/>
                        <w:szCs w:val="16"/>
                      </w:rPr>
                    </w:pPr>
                    <w:r>
                      <w:rPr>
                        <w:rFonts w:ascii="Arial" w:eastAsia="Arial" w:hAnsi="Arial" w:cs="Arial"/>
                        <w:sz w:val="16"/>
                        <w:szCs w:val="16"/>
                      </w:rPr>
                      <w:t>ČÍSLO SMLOUVY ZÁKAZNÍKA:</w:t>
                    </w:r>
                  </w:p>
                </w:txbxContent>
              </v:textbox>
              <w10:wrap anchorx="page" anchory="page"/>
            </v:shape>
          </w:pict>
        </mc:Fallback>
      </mc:AlternateContent>
    </w:r>
    <w:r>
      <w:rPr>
        <w:noProof/>
      </w:rPr>
      <mc:AlternateContent>
        <mc:Choice Requires="wps">
          <w:drawing>
            <wp:anchor distT="0" distB="0" distL="0" distR="0" simplePos="0" relativeHeight="62914705" behindDoc="1" locked="0" layoutInCell="1" allowOverlap="1" wp14:anchorId="0E97D36F" wp14:editId="7196F800">
              <wp:simplePos x="0" y="0"/>
              <wp:positionH relativeFrom="page">
                <wp:posOffset>5867400</wp:posOffset>
              </wp:positionH>
              <wp:positionV relativeFrom="page">
                <wp:posOffset>497205</wp:posOffset>
              </wp:positionV>
              <wp:extent cx="792480" cy="94615"/>
              <wp:effectExtent l="0" t="0" r="0" b="0"/>
              <wp:wrapNone/>
              <wp:docPr id="29" name="Shape 29"/>
              <wp:cNvGraphicFramePr/>
              <a:graphic xmlns:a="http://schemas.openxmlformats.org/drawingml/2006/main">
                <a:graphicData uri="http://schemas.microsoft.com/office/word/2010/wordprocessingShape">
                  <wps:wsp>
                    <wps:cNvSpPr txBox="1"/>
                    <wps:spPr>
                      <a:xfrm>
                        <a:off x="0" y="0"/>
                        <a:ext cx="792480" cy="94615"/>
                      </a:xfrm>
                      <a:prstGeom prst="rect">
                        <a:avLst/>
                      </a:prstGeom>
                      <a:noFill/>
                    </wps:spPr>
                    <wps:txbx>
                      <w:txbxContent>
                        <w:p w14:paraId="0470326E" w14:textId="77777777" w:rsidR="001102E7" w:rsidRDefault="007034CD">
                          <w:pPr>
                            <w:pStyle w:val="Zhlavnebozpat20"/>
                            <w:shd w:val="clear" w:color="auto" w:fill="auto"/>
                            <w:rPr>
                              <w:sz w:val="16"/>
                              <w:szCs w:val="16"/>
                            </w:rPr>
                          </w:pPr>
                          <w:r>
                            <w:rPr>
                              <w:rFonts w:ascii="Arial" w:eastAsia="Arial" w:hAnsi="Arial" w:cs="Arial"/>
                              <w:sz w:val="16"/>
                              <w:szCs w:val="16"/>
                            </w:rPr>
                            <w:t>Příloha č. 1aa ZD</w:t>
                          </w:r>
                        </w:p>
                      </w:txbxContent>
                    </wps:txbx>
                    <wps:bodyPr wrap="none" lIns="0" tIns="0" rIns="0" bIns="0">
                      <a:spAutoFit/>
                    </wps:bodyPr>
                  </wps:wsp>
                </a:graphicData>
              </a:graphic>
            </wp:anchor>
          </w:drawing>
        </mc:Choice>
        <mc:Fallback>
          <w:pict>
            <v:shape w14:anchorId="0E97D36F" id="Shape 29" o:spid="_x0000_s1038" type="#_x0000_t202" style="position:absolute;margin-left:462pt;margin-top:39.15pt;width:62.4pt;height:7.45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" filled="f" stroked="f">
              <v:textbox style="mso-fit-shape-to-text:t" inset="0,0,0,0">
                <w:txbxContent>
                  <w:p w14:paraId="0470326E" w14:textId="77777777" w:rsidR="001102E7" w:rsidRDefault="007034CD">
                    <w:pPr>
                      <w:pStyle w:val="Zhlavnebozpat20"/>
                      <w:shd w:val="clear" w:color="auto" w:fill="auto"/>
                      <w:rPr>
                        <w:sz w:val="16"/>
                        <w:szCs w:val="16"/>
                      </w:rPr>
                    </w:pPr>
                    <w:r>
                      <w:rPr>
                        <w:rFonts w:ascii="Arial" w:eastAsia="Arial" w:hAnsi="Arial" w:cs="Arial"/>
                        <w:sz w:val="16"/>
                        <w:szCs w:val="16"/>
                      </w:rPr>
                      <w:t>Příloha č. 1aa ZD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3543" w14:textId="77777777" w:rsidR="001102E7" w:rsidRDefault="007034CD">
    <w:pPr>
      <w:spacing w:line="1" w:lineRule="exact"/>
    </w:pPr>
    <w:r>
      <w:rPr>
        <w:noProof/>
      </w:rPr>
      <mc:AlternateContent>
        <mc:Choice Requires="wps">
          <w:drawing>
            <wp:anchor distT="0" distB="0" distL="0" distR="0" simplePos="0" relativeHeight="62914710" behindDoc="1" locked="0" layoutInCell="1" allowOverlap="1" wp14:anchorId="2989065F" wp14:editId="08C6293B">
              <wp:simplePos x="0" y="0"/>
              <wp:positionH relativeFrom="page">
                <wp:posOffset>669290</wp:posOffset>
              </wp:positionH>
              <wp:positionV relativeFrom="page">
                <wp:posOffset>946785</wp:posOffset>
              </wp:positionV>
              <wp:extent cx="1847215" cy="73025"/>
              <wp:effectExtent l="0" t="0" r="0" b="0"/>
              <wp:wrapNone/>
              <wp:docPr id="35" name="Shape 35"/>
              <wp:cNvGraphicFramePr/>
              <a:graphic xmlns:a="http://schemas.openxmlformats.org/drawingml/2006/main">
                <a:graphicData uri="http://schemas.microsoft.com/office/word/2010/wordprocessingShape">
                  <wps:wsp>
                    <wps:cNvSpPr txBox="1"/>
                    <wps:spPr>
                      <a:xfrm>
                        <a:off x="0" y="0"/>
                        <a:ext cx="1847215" cy="73025"/>
                      </a:xfrm>
                      <a:prstGeom prst="rect">
                        <a:avLst/>
                      </a:prstGeom>
                      <a:noFill/>
                    </wps:spPr>
                    <wps:txbx>
                      <w:txbxContent>
                        <w:p w14:paraId="5D6A6778" w14:textId="77777777" w:rsidR="001102E7" w:rsidRDefault="007034CD">
                          <w:pPr>
                            <w:pStyle w:val="Zhlavnebozpat20"/>
                            <w:shd w:val="clear" w:color="auto" w:fill="auto"/>
                            <w:rPr>
                              <w:sz w:val="13"/>
                              <w:szCs w:val="13"/>
                            </w:rPr>
                          </w:pPr>
                          <w:r>
                            <w:rPr>
                              <w:rFonts w:ascii="Calibri" w:eastAsia="Calibri" w:hAnsi="Calibri" w:cs="Calibri"/>
                              <w:sz w:val="13"/>
                              <w:szCs w:val="13"/>
                            </w:rPr>
                            <w:t>Příloha č. 3. -</w:t>
                          </w:r>
                          <w:r>
                            <w:rPr>
                              <w:rFonts w:ascii="Calibri" w:eastAsia="Calibri" w:hAnsi="Calibri" w:cs="Calibri"/>
                              <w:sz w:val="13"/>
                              <w:szCs w:val="13"/>
                            </w:rPr>
                            <w:t xml:space="preserve"> Seznam odběrných míst z nízkého napětí</w:t>
                          </w:r>
                        </w:p>
                      </w:txbxContent>
                    </wps:txbx>
                    <wps:bodyPr wrap="none" lIns="0" tIns="0" rIns="0" bIns="0">
                      <a:spAutoFit/>
                    </wps:bodyPr>
                  </wps:wsp>
                </a:graphicData>
              </a:graphic>
            </wp:anchor>
          </w:drawing>
        </mc:Choice>
        <mc:Fallback>
          <w:pict>
            <v:shapetype w14:anchorId="2989065F" id="_x0000_t202" coordsize="21600,21600" o:spt="202" path="m,l,21600r21600,l21600,xe">
              <v:stroke joinstyle="miter"/>
              <v:path gradientshapeok="t" o:connecttype="rect"/>
            </v:shapetype>
            <v:shape id="Shape 35" o:spid="_x0000_s1040" type="#_x0000_t202" style="position:absolute;margin-left:52.7pt;margin-top:74.55pt;width:145.45pt;height:5.7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" filled="f" stroked="f">
              <v:textbox style="mso-fit-shape-to-text:t" inset="0,0,0,0">
                <w:txbxContent>
                  <w:p w14:paraId="5D6A6778" w14:textId="77777777" w:rsidR="001102E7" w:rsidRDefault="007034CD">
                    <w:pPr>
                      <w:pStyle w:val="Zhlavnebozpat20"/>
                      <w:shd w:val="clear" w:color="auto" w:fill="auto"/>
                      <w:rPr>
                        <w:sz w:val="13"/>
                        <w:szCs w:val="13"/>
                      </w:rPr>
                    </w:pPr>
                    <w:r>
                      <w:rPr>
                        <w:rFonts w:ascii="Calibri" w:eastAsia="Calibri" w:hAnsi="Calibri" w:cs="Calibri"/>
                        <w:sz w:val="13"/>
                        <w:szCs w:val="13"/>
                      </w:rPr>
                      <w:t>Příloha č. 3. -</w:t>
                    </w:r>
                    <w:r>
                      <w:rPr>
                        <w:rFonts w:ascii="Calibri" w:eastAsia="Calibri" w:hAnsi="Calibri" w:cs="Calibri"/>
                        <w:sz w:val="13"/>
                        <w:szCs w:val="13"/>
                      </w:rPr>
                      <w:t xml:space="preserve"> Seznam odběrných míst z nízkého napětí</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00F6" w14:textId="77777777" w:rsidR="001102E7" w:rsidRDefault="007034CD">
    <w:pPr>
      <w:spacing w:line="1" w:lineRule="exact"/>
    </w:pPr>
    <w:r>
      <w:rPr>
        <w:noProof/>
      </w:rPr>
      <mc:AlternateContent>
        <mc:Choice Requires="wps">
          <w:drawing>
            <wp:anchor distT="0" distB="0" distL="0" distR="0" simplePos="0" relativeHeight="62914712" behindDoc="1" locked="0" layoutInCell="1" allowOverlap="1" wp14:anchorId="3528712F" wp14:editId="6B8AED1E">
              <wp:simplePos x="0" y="0"/>
              <wp:positionH relativeFrom="page">
                <wp:posOffset>899160</wp:posOffset>
              </wp:positionH>
              <wp:positionV relativeFrom="page">
                <wp:posOffset>476250</wp:posOffset>
              </wp:positionV>
              <wp:extent cx="2127250" cy="320040"/>
              <wp:effectExtent l="0" t="0" r="0" b="0"/>
              <wp:wrapNone/>
              <wp:docPr id="37" name="Shape 37"/>
              <wp:cNvGraphicFramePr/>
              <a:graphic xmlns:a="http://schemas.openxmlformats.org/drawingml/2006/main">
                <a:graphicData uri="http://schemas.microsoft.com/office/word/2010/wordprocessingShape">
                  <wps:wsp>
                    <wps:cNvSpPr txBox="1"/>
                    <wps:spPr>
                      <a:xfrm>
                        <a:off x="0" y="0"/>
                        <a:ext cx="2127250" cy="320040"/>
                      </a:xfrm>
                      <a:prstGeom prst="rect">
                        <a:avLst/>
                      </a:prstGeom>
                      <a:noFill/>
                    </wps:spPr>
                    <wps:txbx>
                      <w:txbxContent>
                        <w:p w14:paraId="4C16CADF"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p w14:paraId="2171A042" w14:textId="77777777" w:rsidR="001102E7" w:rsidRDefault="007034CD">
                          <w:pPr>
                            <w:pStyle w:val="Zhlavnebozpat20"/>
                            <w:shd w:val="clear" w:color="auto" w:fill="auto"/>
                            <w:rPr>
                              <w:sz w:val="16"/>
                              <w:szCs w:val="16"/>
                            </w:rPr>
                          </w:pPr>
                          <w:r>
                            <w:rPr>
                              <w:rFonts w:ascii="Arial" w:eastAsia="Arial" w:hAnsi="Arial" w:cs="Arial"/>
                              <w:sz w:val="16"/>
                              <w:szCs w:val="16"/>
                            </w:rPr>
                            <w:t>ČÍSLO SMLOUVY ZÁKAZNÍKA:</w:t>
                          </w:r>
                        </w:p>
                      </w:txbxContent>
                    </wps:txbx>
                    <wps:bodyPr wrap="none" lIns="0" tIns="0" rIns="0" bIns="0">
                      <a:spAutoFit/>
                    </wps:bodyPr>
                  </wps:wsp>
                </a:graphicData>
              </a:graphic>
            </wp:anchor>
          </w:drawing>
        </mc:Choice>
        <mc:Fallback>
          <w:pict>
            <v:shapetype w14:anchorId="3528712F" id="_x0000_t202" coordsize="21600,21600" o:spt="202" path="m,l,21600r21600,l21600,xe">
              <v:stroke joinstyle="miter"/>
              <v:path gradientshapeok="t" o:connecttype="rect"/>
            </v:shapetype>
            <v:shape id="Shape 37" o:spid="_x0000_s1041" type="#_x0000_t202" style="position:absolute;margin-left:70.8pt;margin-top:37.5pt;width:167.5pt;height:25.2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" filled="f" stroked="f">
              <v:textbox style="mso-fit-shape-to-text:t" inset="0,0,0,0">
                <w:txbxContent>
                  <w:p w14:paraId="4C16CADF"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p w14:paraId="2171A042" w14:textId="77777777" w:rsidR="001102E7" w:rsidRDefault="007034CD">
                    <w:pPr>
                      <w:pStyle w:val="Zhlavnebozpat20"/>
                      <w:shd w:val="clear" w:color="auto" w:fill="auto"/>
                      <w:rPr>
                        <w:sz w:val="16"/>
                        <w:szCs w:val="16"/>
                      </w:rPr>
                    </w:pPr>
                    <w:r>
                      <w:rPr>
                        <w:rFonts w:ascii="Arial" w:eastAsia="Arial" w:hAnsi="Arial" w:cs="Arial"/>
                        <w:sz w:val="16"/>
                        <w:szCs w:val="16"/>
                      </w:rPr>
                      <w:t>ČÍSLO SMLOUVY ZÁKAZNÍKA:</w:t>
                    </w:r>
                  </w:p>
                </w:txbxContent>
              </v:textbox>
              <w10:wrap anchorx="page" anchory="page"/>
            </v:shape>
          </w:pict>
        </mc:Fallback>
      </mc:AlternateContent>
    </w:r>
    <w:r>
      <w:rPr>
        <w:noProof/>
      </w:rPr>
      <mc:AlternateContent>
        <mc:Choice Requires="wps">
          <w:drawing>
            <wp:anchor distT="0" distB="0" distL="0" distR="0" simplePos="0" relativeHeight="62914714" behindDoc="1" locked="0" layoutInCell="1" allowOverlap="1" wp14:anchorId="4BB777F5" wp14:editId="5881C6BF">
              <wp:simplePos x="0" y="0"/>
              <wp:positionH relativeFrom="page">
                <wp:posOffset>5867400</wp:posOffset>
              </wp:positionH>
              <wp:positionV relativeFrom="page">
                <wp:posOffset>497205</wp:posOffset>
              </wp:positionV>
              <wp:extent cx="792480" cy="94615"/>
              <wp:effectExtent l="0" t="0" r="0" b="0"/>
              <wp:wrapNone/>
              <wp:docPr id="39" name="Shape 39"/>
              <wp:cNvGraphicFramePr/>
              <a:graphic xmlns:a="http://schemas.openxmlformats.org/drawingml/2006/main">
                <a:graphicData uri="http://schemas.microsoft.com/office/word/2010/wordprocessingShape">
                  <wps:wsp>
                    <wps:cNvSpPr txBox="1"/>
                    <wps:spPr>
                      <a:xfrm>
                        <a:off x="0" y="0"/>
                        <a:ext cx="792480" cy="94615"/>
                      </a:xfrm>
                      <a:prstGeom prst="rect">
                        <a:avLst/>
                      </a:prstGeom>
                      <a:noFill/>
                    </wps:spPr>
                    <wps:txbx>
                      <w:txbxContent>
                        <w:p w14:paraId="56B119A9" w14:textId="77777777" w:rsidR="001102E7" w:rsidRDefault="007034CD">
                          <w:pPr>
                            <w:pStyle w:val="Zhlavnebozpat20"/>
                            <w:shd w:val="clear" w:color="auto" w:fill="auto"/>
                            <w:rPr>
                              <w:sz w:val="16"/>
                              <w:szCs w:val="16"/>
                            </w:rPr>
                          </w:pPr>
                          <w:r>
                            <w:rPr>
                              <w:rFonts w:ascii="Arial" w:eastAsia="Arial" w:hAnsi="Arial" w:cs="Arial"/>
                              <w:sz w:val="16"/>
                              <w:szCs w:val="16"/>
                            </w:rPr>
                            <w:t>Příloha č. 1aa ZD</w:t>
                          </w:r>
                        </w:p>
                      </w:txbxContent>
                    </wps:txbx>
                    <wps:bodyPr wrap="none" lIns="0" tIns="0" rIns="0" bIns="0">
                      <a:spAutoFit/>
                    </wps:bodyPr>
                  </wps:wsp>
                </a:graphicData>
              </a:graphic>
            </wp:anchor>
          </w:drawing>
        </mc:Choice>
        <mc:Fallback>
          <w:pict>
            <v:shape w14:anchorId="4BB777F5" id="Shape 39" o:spid="_x0000_s1042" type="#_x0000_t202" style="position:absolute;margin-left:462pt;margin-top:39.15pt;width:62.4pt;height:7.4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" filled="f" stroked="f">
              <v:textbox style="mso-fit-shape-to-text:t" inset="0,0,0,0">
                <w:txbxContent>
                  <w:p w14:paraId="56B119A9" w14:textId="77777777" w:rsidR="001102E7" w:rsidRDefault="007034CD">
                    <w:pPr>
                      <w:pStyle w:val="Zhlavnebozpat20"/>
                      <w:shd w:val="clear" w:color="auto" w:fill="auto"/>
                      <w:rPr>
                        <w:sz w:val="16"/>
                        <w:szCs w:val="16"/>
                      </w:rPr>
                    </w:pPr>
                    <w:r>
                      <w:rPr>
                        <w:rFonts w:ascii="Arial" w:eastAsia="Arial" w:hAnsi="Arial" w:cs="Arial"/>
                        <w:sz w:val="16"/>
                        <w:szCs w:val="16"/>
                      </w:rPr>
                      <w:t>Příloha č. 1aa ZD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191"/>
    <w:multiLevelType w:val="multilevel"/>
    <w:tmpl w:val="4D7848D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5D0FE3"/>
    <w:multiLevelType w:val="multilevel"/>
    <w:tmpl w:val="4C524FA8"/>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F92FAE"/>
    <w:multiLevelType w:val="multilevel"/>
    <w:tmpl w:val="AF1429B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D855DF"/>
    <w:multiLevelType w:val="multilevel"/>
    <w:tmpl w:val="39D4D462"/>
    <w:lvl w:ilvl="0">
      <w:start w:val="2"/>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A105C4"/>
    <w:multiLevelType w:val="multilevel"/>
    <w:tmpl w:val="B5E6C8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280912"/>
    <w:multiLevelType w:val="multilevel"/>
    <w:tmpl w:val="56FC5808"/>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9823E6"/>
    <w:multiLevelType w:val="multilevel"/>
    <w:tmpl w:val="F1D412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EE03BB"/>
    <w:multiLevelType w:val="multilevel"/>
    <w:tmpl w:val="AFBC6BD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DD4890"/>
    <w:multiLevelType w:val="multilevel"/>
    <w:tmpl w:val="20EA31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DD4E29"/>
    <w:multiLevelType w:val="multilevel"/>
    <w:tmpl w:val="5ED222C8"/>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8A57C4"/>
    <w:multiLevelType w:val="multilevel"/>
    <w:tmpl w:val="A9CA34B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A2ADF"/>
    <w:multiLevelType w:val="multilevel"/>
    <w:tmpl w:val="C4708B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D66A66"/>
    <w:multiLevelType w:val="multilevel"/>
    <w:tmpl w:val="1632059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6E6F1D"/>
    <w:multiLevelType w:val="multilevel"/>
    <w:tmpl w:val="EFF65A7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5476CA"/>
    <w:multiLevelType w:val="multilevel"/>
    <w:tmpl w:val="E0B411FC"/>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D12533"/>
    <w:multiLevelType w:val="multilevel"/>
    <w:tmpl w:val="9B8A92D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50214B"/>
    <w:multiLevelType w:val="multilevel"/>
    <w:tmpl w:val="D12E887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F40ABB"/>
    <w:multiLevelType w:val="multilevel"/>
    <w:tmpl w:val="D8F238D4"/>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505076"/>
    <w:multiLevelType w:val="multilevel"/>
    <w:tmpl w:val="FC26D5BC"/>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7100F1"/>
    <w:multiLevelType w:val="multilevel"/>
    <w:tmpl w:val="9D5ECF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980421"/>
    <w:multiLevelType w:val="multilevel"/>
    <w:tmpl w:val="18220E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F552E0"/>
    <w:multiLevelType w:val="multilevel"/>
    <w:tmpl w:val="4B685C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4"/>
  </w:num>
  <w:num w:numId="4">
    <w:abstractNumId w:val="9"/>
  </w:num>
  <w:num w:numId="5">
    <w:abstractNumId w:val="19"/>
  </w:num>
  <w:num w:numId="6">
    <w:abstractNumId w:val="5"/>
  </w:num>
  <w:num w:numId="7">
    <w:abstractNumId w:val="17"/>
  </w:num>
  <w:num w:numId="8">
    <w:abstractNumId w:val="7"/>
  </w:num>
  <w:num w:numId="9">
    <w:abstractNumId w:val="14"/>
  </w:num>
  <w:num w:numId="10">
    <w:abstractNumId w:val="1"/>
  </w:num>
  <w:num w:numId="11">
    <w:abstractNumId w:val="8"/>
  </w:num>
  <w:num w:numId="12">
    <w:abstractNumId w:val="13"/>
  </w:num>
  <w:num w:numId="13">
    <w:abstractNumId w:val="16"/>
  </w:num>
  <w:num w:numId="14">
    <w:abstractNumId w:val="0"/>
  </w:num>
  <w:num w:numId="15">
    <w:abstractNumId w:val="21"/>
  </w:num>
  <w:num w:numId="16">
    <w:abstractNumId w:val="20"/>
  </w:num>
  <w:num w:numId="17">
    <w:abstractNumId w:val="2"/>
  </w:num>
  <w:num w:numId="18">
    <w:abstractNumId w:val="10"/>
  </w:num>
  <w:num w:numId="19">
    <w:abstractNumId w:val="15"/>
  </w:num>
  <w:num w:numId="20">
    <w:abstractNumId w:val="12"/>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2E7"/>
    <w:rsid w:val="001102E7"/>
    <w:rsid w:val="001D0E01"/>
    <w:rsid w:val="00703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A551"/>
  <w15:docId w15:val="{E7F5E902-AAD6-45E8-A612-5163B8F4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2"/>
      <w:szCs w:val="3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6"/>
      <w:szCs w:val="16"/>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2"/>
      <w:szCs w:val="32"/>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4"/>
      <w:szCs w:val="24"/>
      <w:u w:val="none"/>
    </w:rPr>
  </w:style>
  <w:style w:type="paragraph" w:customStyle="1" w:styleId="Zkladntext1">
    <w:name w:val="Základní text1"/>
    <w:basedOn w:val="Normln"/>
    <w:link w:val="Zkladntext"/>
    <w:pPr>
      <w:shd w:val="clear" w:color="auto" w:fill="FFFFFF"/>
      <w:spacing w:after="60"/>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20" w:line="271" w:lineRule="auto"/>
      <w:ind w:left="380" w:hanging="300"/>
    </w:pPr>
    <w:rPr>
      <w:rFonts w:ascii="Calibri" w:eastAsia="Calibri" w:hAnsi="Calibri" w:cs="Calibri"/>
      <w:sz w:val="20"/>
      <w:szCs w:val="20"/>
    </w:rPr>
  </w:style>
  <w:style w:type="paragraph" w:customStyle="1" w:styleId="Nadpis20">
    <w:name w:val="Nadpis #2"/>
    <w:basedOn w:val="Normln"/>
    <w:link w:val="Nadpis2"/>
    <w:pPr>
      <w:shd w:val="clear" w:color="auto" w:fill="FFFFFF"/>
      <w:spacing w:after="260"/>
      <w:jc w:val="center"/>
      <w:outlineLvl w:val="1"/>
    </w:pPr>
    <w:rPr>
      <w:rFonts w:ascii="Calibri" w:eastAsia="Calibri" w:hAnsi="Calibri" w:cs="Calibri"/>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53" w:lineRule="auto"/>
      <w:ind w:firstLine="290"/>
    </w:pPr>
    <w:rPr>
      <w:rFonts w:ascii="Calibri" w:eastAsia="Calibri" w:hAnsi="Calibri" w:cs="Calibri"/>
      <w:sz w:val="20"/>
      <w:szCs w:val="20"/>
    </w:rPr>
  </w:style>
  <w:style w:type="paragraph" w:customStyle="1" w:styleId="Jin0">
    <w:name w:val="Jiné"/>
    <w:basedOn w:val="Normln"/>
    <w:link w:val="Jin"/>
    <w:pPr>
      <w:shd w:val="clear" w:color="auto" w:fill="FFFFFF"/>
      <w:spacing w:after="60"/>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after="240"/>
      <w:ind w:firstLine="140"/>
      <w:jc w:val="center"/>
    </w:pPr>
    <w:rPr>
      <w:rFonts w:ascii="Arial" w:eastAsia="Arial" w:hAnsi="Arial" w:cs="Arial"/>
      <w:b/>
      <w:bCs/>
      <w:sz w:val="32"/>
      <w:szCs w:val="32"/>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16"/>
      <w:szCs w:val="16"/>
    </w:rPr>
  </w:style>
  <w:style w:type="paragraph" w:customStyle="1" w:styleId="Nadpis10">
    <w:name w:val="Nadpis #1"/>
    <w:basedOn w:val="Normln"/>
    <w:link w:val="Nadpis1"/>
    <w:pPr>
      <w:shd w:val="clear" w:color="auto" w:fill="FFFFFF"/>
      <w:spacing w:after="410" w:line="274" w:lineRule="auto"/>
      <w:jc w:val="center"/>
      <w:outlineLvl w:val="0"/>
    </w:pPr>
    <w:rPr>
      <w:rFonts w:ascii="Calibri" w:eastAsia="Calibri" w:hAnsi="Calibri" w:cs="Calibri"/>
      <w:b/>
      <w:bCs/>
      <w:sz w:val="32"/>
      <w:szCs w:val="32"/>
    </w:rPr>
  </w:style>
  <w:style w:type="paragraph" w:customStyle="1" w:styleId="Zkladntext40">
    <w:name w:val="Základní text (4)"/>
    <w:basedOn w:val="Normln"/>
    <w:link w:val="Zkladntext4"/>
    <w:pPr>
      <w:shd w:val="clear" w:color="auto" w:fill="FFFFFF"/>
      <w:spacing w:after="1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sn@tendersystems.cz" TargetMode="External"/><Relationship Id="rId13" Type="http://schemas.openxmlformats.org/officeDocument/2006/relationships/header" Target="header3.xml"/><Relationship Id="rId18" Type="http://schemas.openxmlformats.org/officeDocument/2006/relationships/hyperlink" Target="mailto:marketa.veverkova@veolia.com" TargetMode="External"/><Relationship Id="rId26" Type="http://schemas.openxmlformats.org/officeDocument/2006/relationships/hyperlink" Target="mailto:ms-dvorakova@seznam.cz" TargetMode="External"/><Relationship Id="rId3" Type="http://schemas.openxmlformats.org/officeDocument/2006/relationships/settings" Target="settings.xml"/><Relationship Id="rId21" Type="http://schemas.openxmlformats.org/officeDocument/2006/relationships/hyperlink" Target="mailto:ms-dvorakova@seznam.cz" TargetMode="External"/><Relationship Id="rId7" Type="http://schemas.openxmlformats.org/officeDocument/2006/relationships/hyperlink" Target="mailto:zakaznik.komodity@veolia.com"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mailto:ms-dvorakova@seznam.cz"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zakaznik.komodity@veol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ms-dvorakova@seznam.cz"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ms-dvorakova@seznam.cz"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8198</Words>
  <Characters>48371</Characters>
  <Application>Microsoft Office Word</Application>
  <DocSecurity>0</DocSecurity>
  <Lines>403</Lines>
  <Paragraphs>112</Paragraphs>
  <ScaleCrop>false</ScaleCrop>
  <Company/>
  <LinksUpToDate>false</LinksUpToDate>
  <CharactersWithSpaces>56457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cp:lastModifiedBy>
  <cp:revision>2</cp:revision>
  <dcterms:created xsi:type="dcterms:W3CDTF">2025-02-24T09:38:00Z</dcterms:created>
  <dcterms:modified xsi:type="dcterms:W3CDTF">2025-02-24T09:39:00Z</dcterms:modified>
</cp:coreProperties>
</file>