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7241100320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LAŠEK</w:t>
      </w:r>
      <w:r>
        <w:rPr>
          <w:spacing w:val="-6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4"/>
        </w:rPr>
        <w:t>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 vedeném</w:t>
      </w:r>
      <w:r>
        <w:rPr>
          <w:spacing w:val="-2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Budějovicích,</w:t>
      </w:r>
      <w:r>
        <w:rPr>
          <w:spacing w:val="-2"/>
        </w:rPr>
        <w:t> </w:t>
      </w:r>
      <w:r>
        <w:rPr/>
        <w:t>oddíl</w:t>
      </w:r>
      <w:r>
        <w:rPr>
          <w:spacing w:val="-2"/>
        </w:rPr>
        <w:t> </w:t>
      </w:r>
      <w:r>
        <w:rPr>
          <w:spacing w:val="-5"/>
        </w:rPr>
        <w:t>C,</w:t>
      </w:r>
    </w:p>
    <w:p>
      <w:pPr>
        <w:pStyle w:val="BodyText"/>
        <w:ind w:left="112"/>
      </w:pPr>
      <w:r>
        <w:rPr/>
        <w:t>vložka</w:t>
      </w:r>
      <w:r>
        <w:rPr>
          <w:spacing w:val="-6"/>
        </w:rPr>
        <w:t> </w:t>
      </w:r>
      <w:r>
        <w:rPr>
          <w:spacing w:val="-4"/>
        </w:rPr>
        <w:t>1438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U</w:t>
      </w:r>
      <w:r>
        <w:rPr>
          <w:spacing w:val="-7"/>
        </w:rPr>
        <w:t> </w:t>
      </w:r>
      <w:r>
        <w:rPr/>
        <w:t>Sirkárny</w:t>
      </w:r>
      <w:r>
        <w:rPr>
          <w:spacing w:val="-6"/>
        </w:rPr>
        <w:t> </w:t>
      </w:r>
      <w:r>
        <w:rPr/>
        <w:t>658,</w:t>
      </w:r>
      <w:r>
        <w:rPr>
          <w:spacing w:val="-4"/>
        </w:rPr>
        <w:t> </w:t>
      </w:r>
      <w:r>
        <w:rPr/>
        <w:t>370</w:t>
      </w:r>
      <w:r>
        <w:rPr>
          <w:spacing w:val="-5"/>
        </w:rPr>
        <w:t> </w:t>
      </w:r>
      <w:r>
        <w:rPr/>
        <w:t>04</w:t>
      </w:r>
      <w:r>
        <w:rPr>
          <w:spacing w:val="-5"/>
        </w:rPr>
        <w:t> </w:t>
      </w:r>
      <w:r>
        <w:rPr/>
        <w:t>České</w:t>
      </w:r>
      <w:r>
        <w:rPr>
          <w:spacing w:val="-6"/>
        </w:rPr>
        <w:t> </w:t>
      </w:r>
      <w:r>
        <w:rPr/>
        <w:t>Budějovice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46678620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š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762640231/0100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7241100320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112"/>
        <w:jc w:val="left"/>
      </w:pPr>
      <w:r>
        <w:rPr/>
        <w:t>„FVE</w:t>
      </w:r>
      <w:r>
        <w:rPr>
          <w:spacing w:val="-5"/>
        </w:rPr>
        <w:t> </w:t>
      </w:r>
      <w:r>
        <w:rPr/>
        <w:t>LAŠEK</w:t>
      </w:r>
      <w:r>
        <w:rPr>
          <w:spacing w:val="-5"/>
        </w:rPr>
        <w:t> </w:t>
      </w:r>
      <w:r>
        <w:rPr/>
        <w:t>spol.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>
          <w:spacing w:val="-5"/>
        </w:rPr>
        <w:t>o.“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620" w:space="240"/>
            <w:col w:w="6350"/>
          </w:cols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poskytována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"/>
          <w:sz w:val="20"/>
        </w:rPr>
        <w:t> </w:t>
      </w:r>
      <w:r>
        <w:rPr>
          <w:sz w:val="20"/>
        </w:rPr>
        <w:t>s</w:t>
      </w:r>
      <w:r>
        <w:rPr>
          <w:spacing w:val="5"/>
          <w:sz w:val="20"/>
        </w:rPr>
        <w:t> </w:t>
      </w:r>
      <w:r>
        <w:rPr>
          <w:sz w:val="20"/>
        </w:rPr>
        <w:t>Nařízením</w:t>
      </w:r>
      <w:r>
        <w:rPr>
          <w:spacing w:val="7"/>
          <w:sz w:val="20"/>
        </w:rPr>
        <w:t> </w:t>
      </w:r>
      <w:r>
        <w:rPr>
          <w:sz w:val="20"/>
        </w:rPr>
        <w:t>Komise</w:t>
      </w:r>
      <w:r>
        <w:rPr>
          <w:spacing w:val="9"/>
          <w:sz w:val="20"/>
        </w:rPr>
        <w:t> </w:t>
      </w:r>
      <w:r>
        <w:rPr>
          <w:sz w:val="20"/>
        </w:rPr>
        <w:t>2023/2831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13.</w:t>
      </w:r>
      <w:r>
        <w:rPr>
          <w:spacing w:val="6"/>
          <w:sz w:val="20"/>
        </w:rPr>
        <w:t> </w:t>
      </w:r>
      <w:r>
        <w:rPr>
          <w:sz w:val="20"/>
        </w:rPr>
        <w:t>prosince</w:t>
      </w:r>
      <w:r>
        <w:rPr>
          <w:spacing w:val="5"/>
          <w:sz w:val="20"/>
        </w:rPr>
        <w:t> </w:t>
      </w:r>
      <w:r>
        <w:rPr>
          <w:sz w:val="20"/>
        </w:rPr>
        <w:t>2023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použití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článků</w:t>
      </w:r>
    </w:p>
    <w:p>
      <w:pPr>
        <w:pStyle w:val="BodyText"/>
        <w:tabs>
          <w:tab w:pos="966" w:val="left" w:leader="none"/>
          <w:tab w:pos="1314" w:val="left" w:leader="none"/>
          <w:tab w:pos="1884" w:val="left" w:leader="none"/>
          <w:tab w:pos="2880" w:val="left" w:leader="none"/>
          <w:tab w:pos="3244" w:val="left" w:leader="none"/>
          <w:tab w:pos="4371" w:val="left" w:leader="none"/>
          <w:tab w:pos="5407" w:val="left" w:leader="none"/>
          <w:tab w:pos="6034" w:val="left" w:leader="none"/>
          <w:tab w:pos="6494" w:val="left" w:leader="none"/>
          <w:tab w:pos="7513" w:val="left" w:leader="none"/>
          <w:tab w:pos="7981" w:val="left" w:leader="none"/>
          <w:tab w:pos="8957" w:val="left" w:leader="none"/>
        </w:tabs>
        <w:spacing w:before="1"/>
        <w:ind w:left="396" w:right="121"/>
      </w:pPr>
      <w:r>
        <w:rPr>
          <w:spacing w:val="-4"/>
        </w:rPr>
        <w:t>107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108</w:t>
      </w:r>
      <w:r>
        <w:rPr/>
        <w:tab/>
      </w:r>
      <w:r>
        <w:rPr>
          <w:spacing w:val="-2"/>
        </w:rPr>
        <w:t>Smlouvy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fungování</w:t>
      </w:r>
      <w:r>
        <w:rPr/>
        <w:tab/>
      </w:r>
      <w:r>
        <w:rPr>
          <w:spacing w:val="-2"/>
        </w:rPr>
        <w:t>Evropské</w:t>
      </w:r>
      <w:r>
        <w:rPr/>
        <w:tab/>
      </w:r>
      <w:r>
        <w:rPr>
          <w:spacing w:val="-4"/>
        </w:rPr>
        <w:t>unie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2"/>
        </w:rPr>
        <w:t>podporu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minimis,</w:t>
      </w:r>
      <w:r>
        <w:rPr/>
        <w:tab/>
      </w:r>
      <w:r>
        <w:rPr>
          <w:spacing w:val="-2"/>
        </w:rPr>
        <w:t>zveřejněném</w:t>
      </w:r>
      <w:r>
        <w:rPr>
          <w:spacing w:val="-2"/>
        </w:rPr>
        <w:t> </w:t>
      </w:r>
      <w:r>
        <w:rPr/>
        <w:t>v Úředním věstníku EU dne 15. 12. 2023.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555 300,00 Kč </w:t>
      </w:r>
      <w:r>
        <w:rPr>
          <w:sz w:val="20"/>
        </w:rPr>
        <w:t>(slovy: pět set padesát pět tisíc tři sta korun českých).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851</w:t>
      </w:r>
      <w:r>
        <w:rPr>
          <w:spacing w:val="-4"/>
        </w:rPr>
        <w:t> </w:t>
      </w:r>
      <w:r>
        <w:rPr/>
        <w:t>000,00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je</w:t>
      </w:r>
      <w:r>
        <w:rPr>
          <w:spacing w:val="11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4"/>
          <w:sz w:val="20"/>
        </w:rPr>
        <w:t> </w:t>
      </w:r>
      <w:r>
        <w:rPr>
          <w:w w:val="95"/>
          <w:sz w:val="20"/>
        </w:rPr>
        <w:t>z</w:t>
      </w:r>
      <w:r>
        <w:rPr>
          <w:spacing w:val="33"/>
          <w:sz w:val="20"/>
        </w:rPr>
        <w:t> </w:t>
      </w:r>
      <w:r>
        <w:rPr>
          <w:w w:val="95"/>
          <w:sz w:val="20"/>
        </w:rPr>
        <w:t>vlastních</w:t>
      </w:r>
      <w:r>
        <w:rPr>
          <w:spacing w:val="14"/>
          <w:sz w:val="20"/>
        </w:rPr>
        <w:t> </w:t>
      </w:r>
      <w:r>
        <w:rPr>
          <w:w w:val="95"/>
          <w:sz w:val="20"/>
        </w:rPr>
        <w:t>zdrojů</w:t>
      </w:r>
      <w:r>
        <w:rPr>
          <w:spacing w:val="13"/>
          <w:sz w:val="20"/>
        </w:rPr>
        <w:t> </w:t>
      </w:r>
      <w:r>
        <w:rPr>
          <w:w w:val="95"/>
          <w:sz w:val="20"/>
        </w:rPr>
        <w:t>uhradit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veškeré</w:t>
      </w:r>
      <w:r>
        <w:rPr>
          <w:spacing w:val="13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2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4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3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včetně</w:t>
      </w:r>
      <w:r>
        <w:rPr>
          <w:spacing w:val="-9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připadajících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nezpůsobilé</w:t>
      </w:r>
      <w:r>
        <w:rPr>
          <w:spacing w:val="-9"/>
        </w:rPr>
        <w:t> </w:t>
      </w:r>
      <w:r>
        <w:rPr/>
        <w:t>výdaje</w:t>
      </w:r>
      <w:r>
        <w:rPr>
          <w:spacing w:val="-9"/>
        </w:rPr>
        <w:t> </w:t>
      </w:r>
      <w:r>
        <w:rPr>
          <w:spacing w:val="-2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2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„FVE</w:t>
      </w:r>
      <w:r>
        <w:rPr>
          <w:spacing w:val="-9"/>
          <w:sz w:val="20"/>
        </w:rPr>
        <w:t> </w:t>
      </w:r>
      <w:r>
        <w:rPr>
          <w:sz w:val="20"/>
        </w:rPr>
        <w:t>LAŠEK</w:t>
      </w:r>
      <w:r>
        <w:rPr>
          <w:spacing w:val="-10"/>
          <w:sz w:val="20"/>
        </w:rPr>
        <w:t> </w:t>
      </w:r>
      <w:r>
        <w:rPr>
          <w:sz w:val="20"/>
        </w:rPr>
        <w:t>spol.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r.</w:t>
      </w:r>
      <w:r>
        <w:rPr>
          <w:spacing w:val="-9"/>
          <w:sz w:val="20"/>
        </w:rPr>
        <w:t> </w:t>
      </w:r>
      <w:r>
        <w:rPr>
          <w:sz w:val="20"/>
        </w:rPr>
        <w:t>o.“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v souladu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-9"/>
          <w:sz w:val="20"/>
        </w:rPr>
        <w:t> </w:t>
      </w:r>
      <w:r>
        <w:rPr>
          <w:sz w:val="20"/>
        </w:rPr>
        <w:t>žádostí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1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3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33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0"/>
          <w:sz w:val="20"/>
        </w:rPr>
        <w:t> </w:t>
      </w:r>
      <w:r>
        <w:rPr>
          <w:sz w:val="20"/>
        </w:rPr>
        <w:t>předpokládaným výkonem 99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85.14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257.40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22"/>
          <w:sz w:val="20"/>
        </w:rPr>
        <w:t> </w:t>
      </w:r>
      <w:r>
        <w:rPr>
          <w:sz w:val="20"/>
        </w:rPr>
        <w:t>rekonstruované,</w:t>
      </w:r>
      <w:r>
        <w:rPr>
          <w:spacing w:val="22"/>
          <w:sz w:val="20"/>
        </w:rPr>
        <w:t> </w:t>
      </w:r>
      <w:r>
        <w:rPr>
          <w:sz w:val="20"/>
        </w:rPr>
        <w:t>upravené,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2"/>
          <w:sz w:val="20"/>
        </w:rPr>
        <w:t> </w:t>
      </w:r>
      <w:r>
        <w:rPr>
          <w:sz w:val="20"/>
        </w:rPr>
        <w:t>jinak</w:t>
      </w:r>
      <w:r>
        <w:rPr>
          <w:spacing w:val="21"/>
          <w:sz w:val="20"/>
        </w:rPr>
        <w:t> </w:t>
      </w:r>
      <w:r>
        <w:rPr>
          <w:sz w:val="20"/>
        </w:rPr>
        <w:t>výrazně</w:t>
      </w:r>
      <w:r>
        <w:rPr>
          <w:spacing w:val="22"/>
          <w:sz w:val="20"/>
        </w:rPr>
        <w:t> </w:t>
      </w:r>
      <w:r>
        <w:rPr>
          <w:sz w:val="20"/>
        </w:rPr>
        <w:t>zhodnocené)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1"/>
          <w:sz w:val="20"/>
        </w:rPr>
        <w:t> </w:t>
      </w:r>
      <w:r>
        <w:rPr>
          <w:sz w:val="20"/>
        </w:rPr>
        <w:t>podporou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Smlouvy,</w:t>
      </w:r>
      <w:r>
        <w:rPr>
          <w:spacing w:val="23"/>
          <w:sz w:val="20"/>
        </w:rPr>
        <w:t> </w:t>
      </w:r>
      <w:r>
        <w:rPr>
          <w:sz w:val="20"/>
        </w:rPr>
        <w:t>jakož</w:t>
      </w:r>
      <w:r>
        <w:rPr>
          <w:spacing w:val="22"/>
          <w:sz w:val="20"/>
        </w:rPr>
        <w:t> </w:t>
      </w:r>
      <w:r>
        <w:rPr>
          <w:sz w:val="20"/>
        </w:rPr>
        <w:t>i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2"/>
        <w:jc w:val="both"/>
      </w:pPr>
      <w:r>
        <w:rPr/>
        <w:t>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 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 Směrnicí MŽP. V případě neuzavření takového dodatku má Fond právo uplatnit postup podle čl. V bodu 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3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</w:pPr>
    </w:p>
    <w:p>
      <w:pPr>
        <w:pStyle w:val="BodyText"/>
        <w:spacing w:line="265" w:lineRule="exact"/>
        <w:ind w:left="112"/>
      </w:pPr>
      <w:r>
        <w:rPr>
          <w:spacing w:val="-5"/>
        </w:rPr>
        <w:t>V:</w:t>
      </w:r>
    </w:p>
    <w:p>
      <w:pPr>
        <w:pStyle w:val="BodyText"/>
        <w:tabs>
          <w:tab w:pos="6594" w:val="left" w:leader="none"/>
        </w:tabs>
        <w:spacing w:line="265" w:lineRule="exact"/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tabs>
          <w:tab w:pos="6594" w:val="left" w:leader="none"/>
        </w:tabs>
        <w:spacing w:before="187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03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563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2025-02-21T12:29:10Z</dcterms:created>
  <dcterms:modified xsi:type="dcterms:W3CDTF">2025-02-21T12:29:10Z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2025-02-21T00:00:00Z</vt:filetime>
  </property>
</Properties>
</file>