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30" w:rsidRDefault="00DB3BB8">
      <w:pPr>
        <w:pStyle w:val="Zkladntext50"/>
        <w:pBdr>
          <w:bottom w:val="single" w:sz="4" w:space="0" w:color="auto"/>
        </w:pBdr>
      </w:pPr>
      <w:r>
        <w:rPr>
          <w:rStyle w:val="Zkladntext5"/>
          <w:b/>
          <w:bCs/>
        </w:rPr>
        <w:t>SMLOUVA 0 DÍLO</w:t>
      </w:r>
    </w:p>
    <w:p w:rsidR="00A93030" w:rsidRDefault="00DB3BB8">
      <w:pPr>
        <w:pStyle w:val="Zkladntext20"/>
        <w:spacing w:after="420"/>
        <w:ind w:left="1240"/>
      </w:pPr>
      <w:r>
        <w:rPr>
          <w:rStyle w:val="Zkladntext2"/>
        </w:rPr>
        <w:t>uzavřená dle § 2586 a násl. občanského zákoníku, kterou uzavírají smluvní strany níže uvedeného dne, měsíce a roku</w:t>
      </w:r>
    </w:p>
    <w:p w:rsidR="00A93030" w:rsidRDefault="00DB3BB8">
      <w:pPr>
        <w:pStyle w:val="Nadpis30"/>
        <w:keepNext/>
        <w:keepLines/>
        <w:spacing w:after="140"/>
        <w:ind w:left="0"/>
        <w:jc w:val="center"/>
      </w:pPr>
      <w:bookmarkStart w:id="0" w:name="bookmark2"/>
      <w:r>
        <w:rPr>
          <w:rStyle w:val="Nadpis3"/>
        </w:rPr>
        <w:t xml:space="preserve">Smlouva </w:t>
      </w:r>
      <w:proofErr w:type="gramStart"/>
      <w:r>
        <w:rPr>
          <w:rStyle w:val="Nadpis3"/>
        </w:rPr>
        <w:t>číslo : 019/26/061</w:t>
      </w:r>
      <w:proofErr w:type="gramEnd"/>
      <w:r>
        <w:rPr>
          <w:rStyle w:val="Nadpis3"/>
        </w:rPr>
        <w:t xml:space="preserve"> D</w:t>
      </w:r>
      <w:bookmarkEnd w:id="0"/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1890"/>
        </w:tabs>
        <w:spacing w:after="280" w:line="240" w:lineRule="auto"/>
        <w:ind w:left="1240"/>
      </w:pPr>
      <w:bookmarkStart w:id="1" w:name="bookmark4"/>
      <w:r>
        <w:rPr>
          <w:rStyle w:val="Nadpis4"/>
          <w:b/>
          <w:bCs/>
        </w:rPr>
        <w:t>Smluvní strany</w:t>
      </w:r>
      <w:bookmarkEnd w:id="1"/>
    </w:p>
    <w:p w:rsidR="00A93030" w:rsidRDefault="00DB3BB8">
      <w:pPr>
        <w:pStyle w:val="Nadpis30"/>
        <w:keepNext/>
        <w:keepLines/>
        <w:tabs>
          <w:tab w:val="left" w:pos="3357"/>
        </w:tabs>
        <w:spacing w:after="0"/>
        <w:ind w:left="1840"/>
      </w:pPr>
      <w:bookmarkStart w:id="2" w:name="bookmark6"/>
      <w:r>
        <w:rPr>
          <w:rStyle w:val="Nadpis3"/>
          <w:b/>
          <w:bCs/>
          <w:sz w:val="18"/>
          <w:szCs w:val="18"/>
        </w:rPr>
        <w:t>zhotovitel:</w:t>
      </w:r>
      <w:r>
        <w:rPr>
          <w:rStyle w:val="Nadpis3"/>
          <w:b/>
          <w:bCs/>
          <w:sz w:val="18"/>
          <w:szCs w:val="18"/>
        </w:rPr>
        <w:tab/>
      </w:r>
      <w:proofErr w:type="spellStart"/>
      <w:r>
        <w:rPr>
          <w:rStyle w:val="Nadpis3"/>
        </w:rPr>
        <w:t>Techem</w:t>
      </w:r>
      <w:proofErr w:type="spellEnd"/>
      <w:r>
        <w:rPr>
          <w:rStyle w:val="Nadpis3"/>
        </w:rPr>
        <w:t>, spol. s r. o.</w:t>
      </w:r>
      <w:bookmarkEnd w:id="2"/>
    </w:p>
    <w:p w:rsidR="00A93030" w:rsidRDefault="00DB3BB8">
      <w:pPr>
        <w:pStyle w:val="Zkladntext1"/>
        <w:spacing w:after="0"/>
        <w:ind w:left="3360" w:firstLine="20"/>
      </w:pPr>
      <w:r>
        <w:rPr>
          <w:rStyle w:val="Zkladntext"/>
        </w:rPr>
        <w:t xml:space="preserve">se sídlem Počernická </w:t>
      </w:r>
      <w:r>
        <w:rPr>
          <w:rStyle w:val="Zkladntext"/>
        </w:rPr>
        <w:t>272/96, 108 00 Praha 1 0</w:t>
      </w:r>
    </w:p>
    <w:p w:rsidR="00A93030" w:rsidRDefault="00DB3BB8">
      <w:pPr>
        <w:pStyle w:val="Zkladntext1"/>
        <w:spacing w:after="0"/>
        <w:ind w:left="3360" w:firstLine="20"/>
      </w:pPr>
      <w:r>
        <w:rPr>
          <w:rStyle w:val="Zkladntext"/>
        </w:rPr>
        <w:t>Registrace v obchodním rejstříku, vedeném Městským soudem v Praze, oddíl C., vložka 23339, datum zápisu 29. 9. 1993</w:t>
      </w:r>
    </w:p>
    <w:p w:rsidR="00A93030" w:rsidRDefault="00DB3BB8">
      <w:pPr>
        <w:pStyle w:val="Zkladntext1"/>
        <w:spacing w:after="0"/>
        <w:ind w:left="3360" w:firstLine="20"/>
      </w:pPr>
      <w:r>
        <w:rPr>
          <w:rStyle w:val="Zkladntext"/>
        </w:rPr>
        <w:t>IČ: 49684370, DIČ: CZ49684370</w:t>
      </w:r>
    </w:p>
    <w:p w:rsidR="0068406B" w:rsidRDefault="00DB3BB8">
      <w:pPr>
        <w:pStyle w:val="Zkladntext1"/>
        <w:spacing w:after="140"/>
        <w:ind w:left="3360" w:firstLine="20"/>
        <w:rPr>
          <w:rStyle w:val="Zkladntext"/>
        </w:rPr>
      </w:pPr>
      <w:r>
        <w:rPr>
          <w:rStyle w:val="Zkladntext"/>
        </w:rPr>
        <w:t xml:space="preserve">Bankovní spojení: </w:t>
      </w:r>
    </w:p>
    <w:p w:rsidR="0068406B" w:rsidRDefault="00DB3BB8">
      <w:pPr>
        <w:pStyle w:val="Zkladntext1"/>
        <w:spacing w:after="140"/>
        <w:ind w:left="3360" w:firstLine="20"/>
        <w:rPr>
          <w:rStyle w:val="Zkladntext"/>
        </w:rPr>
      </w:pPr>
      <w:r>
        <w:rPr>
          <w:rStyle w:val="Zkladntext"/>
        </w:rPr>
        <w:t>zastoupená jednatelem společnos</w:t>
      </w:r>
      <w:r>
        <w:rPr>
          <w:rStyle w:val="Zkladntext"/>
        </w:rPr>
        <w:t xml:space="preserve">ti </w:t>
      </w:r>
    </w:p>
    <w:p w:rsidR="00A93030" w:rsidRDefault="00DB3BB8">
      <w:pPr>
        <w:pStyle w:val="Zkladntext1"/>
        <w:spacing w:after="140"/>
        <w:ind w:left="3360" w:firstLine="20"/>
      </w:pPr>
      <w:r>
        <w:rPr>
          <w:rStyle w:val="Zkladntext"/>
        </w:rPr>
        <w:t xml:space="preserve">ve věcech technických zastupováním pověřen </w:t>
      </w:r>
      <w:r>
        <w:rPr>
          <w:rStyle w:val="Zkladntext"/>
        </w:rPr>
        <w:t>vedoucí regionálního centra Morava - Jih, Stojanová 508, PSČ 686 01, Uh. Hradiště</w:t>
      </w:r>
    </w:p>
    <w:p w:rsidR="00A93030" w:rsidRDefault="00DB3BB8">
      <w:pPr>
        <w:pStyle w:val="Zkladntext1"/>
        <w:spacing w:after="280"/>
        <w:ind w:left="1840"/>
      </w:pPr>
      <w:r>
        <w:rPr>
          <w:rStyle w:val="Zkladntext"/>
        </w:rPr>
        <w:t>dále jen zhotovitel</w:t>
      </w:r>
    </w:p>
    <w:p w:rsidR="00A93030" w:rsidRDefault="00DB3BB8">
      <w:pPr>
        <w:pStyle w:val="Nadpis30"/>
        <w:keepNext/>
        <w:keepLines/>
        <w:tabs>
          <w:tab w:val="left" w:pos="3357"/>
        </w:tabs>
        <w:spacing w:after="0"/>
        <w:ind w:left="1840"/>
      </w:pPr>
      <w:bookmarkStart w:id="3" w:name="bookmark8"/>
      <w:r>
        <w:rPr>
          <w:rStyle w:val="Nadpis3"/>
          <w:b/>
          <w:bCs/>
          <w:sz w:val="18"/>
          <w:szCs w:val="18"/>
        </w:rPr>
        <w:t>objednatel:</w:t>
      </w:r>
      <w:r>
        <w:rPr>
          <w:rStyle w:val="Nadpis3"/>
          <w:b/>
          <w:bCs/>
          <w:sz w:val="18"/>
          <w:szCs w:val="18"/>
        </w:rPr>
        <w:tab/>
      </w:r>
      <w:r>
        <w:rPr>
          <w:rStyle w:val="Nadpis3"/>
        </w:rPr>
        <w:t>Kroměřížské technické služby, s.r.o.</w:t>
      </w:r>
      <w:bookmarkEnd w:id="3"/>
    </w:p>
    <w:p w:rsidR="00A93030" w:rsidRDefault="00DB3BB8">
      <w:pPr>
        <w:pStyle w:val="Zkladntext1"/>
        <w:spacing w:after="0"/>
        <w:ind w:left="3360"/>
      </w:pPr>
      <w:r>
        <w:rPr>
          <w:rStyle w:val="Zkladntext"/>
        </w:rPr>
        <w:t>se sídlem Kaplanova 2959</w:t>
      </w:r>
      <w:r>
        <w:rPr>
          <w:rStyle w:val="Zkladntext"/>
        </w:rPr>
        <w:t>/6, PSČ 767 01, Kroměříž</w:t>
      </w:r>
    </w:p>
    <w:p w:rsidR="00A93030" w:rsidRDefault="00DB3BB8">
      <w:pPr>
        <w:pStyle w:val="Zkladntext1"/>
        <w:spacing w:after="0"/>
        <w:ind w:left="3360"/>
      </w:pPr>
      <w:r>
        <w:rPr>
          <w:rStyle w:val="Zkladntext"/>
        </w:rPr>
        <w:t>Registrace v obchodním rejstříku vedeném</w:t>
      </w:r>
    </w:p>
    <w:p w:rsidR="00A93030" w:rsidRDefault="00DB3BB8">
      <w:pPr>
        <w:pStyle w:val="Zkladntext1"/>
        <w:spacing w:after="0"/>
        <w:ind w:left="3360"/>
      </w:pPr>
      <w:r>
        <w:rPr>
          <w:rStyle w:val="Zkladntext"/>
        </w:rPr>
        <w:t>Krajským soudem v Brně, oddíl C, vložka 41059, zápis 5. 3. 2002</w:t>
      </w:r>
    </w:p>
    <w:p w:rsidR="00A93030" w:rsidRDefault="00DB3BB8">
      <w:pPr>
        <w:pStyle w:val="Zkladntext1"/>
        <w:spacing w:after="0"/>
        <w:ind w:left="3360"/>
      </w:pPr>
      <w:r>
        <w:rPr>
          <w:rStyle w:val="Zkladntext"/>
        </w:rPr>
        <w:t>IČ: 262 76 437, DIČ: CZ26276437</w:t>
      </w:r>
    </w:p>
    <w:p w:rsidR="00A93030" w:rsidRDefault="00DB3BB8">
      <w:pPr>
        <w:pStyle w:val="Zkladntext1"/>
        <w:spacing w:after="0"/>
        <w:ind w:left="3360"/>
      </w:pPr>
      <w:r>
        <w:rPr>
          <w:rStyle w:val="Zkladntext"/>
        </w:rPr>
        <w:t>Zastoupené statutární orgán - jednatelé:</w:t>
      </w:r>
    </w:p>
    <w:p w:rsidR="00A93030" w:rsidRDefault="00DB3BB8">
      <w:pPr>
        <w:pStyle w:val="Zkladntext1"/>
        <w:spacing w:after="280"/>
        <w:ind w:left="1840"/>
      </w:pPr>
      <w:r>
        <w:rPr>
          <w:rStyle w:val="Zkladntext"/>
        </w:rPr>
        <w:t>dále jen objednatel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1890"/>
        </w:tabs>
        <w:spacing w:after="140" w:line="240" w:lineRule="auto"/>
        <w:ind w:left="1240"/>
      </w:pPr>
      <w:bookmarkStart w:id="4" w:name="bookmark10"/>
      <w:r>
        <w:rPr>
          <w:rStyle w:val="Nadpis4"/>
          <w:b/>
          <w:bCs/>
        </w:rPr>
        <w:t>Předmět smlouvy</w:t>
      </w:r>
      <w:bookmarkEnd w:id="4"/>
    </w:p>
    <w:p w:rsidR="00A93030" w:rsidRDefault="00DB3BB8">
      <w:pPr>
        <w:pStyle w:val="Zkladntext1"/>
        <w:numPr>
          <w:ilvl w:val="1"/>
          <w:numId w:val="1"/>
        </w:numPr>
        <w:tabs>
          <w:tab w:val="left" w:pos="1890"/>
        </w:tabs>
        <w:spacing w:after="0"/>
        <w:ind w:left="1840" w:hanging="580"/>
        <w:jc w:val="both"/>
      </w:pPr>
      <w:r>
        <w:rPr>
          <w:rStyle w:val="Zkladntext"/>
        </w:rPr>
        <w:t xml:space="preserve">Zhotovitel se zavazuje k dodávce a výměně indikátorů vytápění ITN rádio 4, dodávce bytových vodoměrů </w:t>
      </w:r>
      <w:proofErr w:type="spellStart"/>
      <w:r>
        <w:rPr>
          <w:rStyle w:val="Zkladntext"/>
        </w:rPr>
        <w:t>Techem</w:t>
      </w:r>
      <w:proofErr w:type="spellEnd"/>
      <w:r>
        <w:rPr>
          <w:rStyle w:val="Zkladntext"/>
        </w:rPr>
        <w:t xml:space="preserve"> AP rádio 4 a dodávce a montáži sběrnic Smart </w:t>
      </w:r>
      <w:proofErr w:type="spellStart"/>
      <w:r>
        <w:rPr>
          <w:rStyle w:val="Zkladntext"/>
        </w:rPr>
        <w:t>Reader</w:t>
      </w:r>
      <w:proofErr w:type="spellEnd"/>
      <w:r>
        <w:rPr>
          <w:rStyle w:val="Zkladntext"/>
        </w:rPr>
        <w:t>. Objednatel upřesňuje, že stávající v</w:t>
      </w:r>
      <w:r>
        <w:rPr>
          <w:rStyle w:val="Zkladntext"/>
        </w:rPr>
        <w:t xml:space="preserve">odoměry jsou standardních rozměrů DNI 5, </w:t>
      </w:r>
      <w:proofErr w:type="spellStart"/>
      <w:r>
        <w:rPr>
          <w:rStyle w:val="Zkladntext"/>
        </w:rPr>
        <w:t>llOmm</w:t>
      </w:r>
      <w:proofErr w:type="spellEnd"/>
      <w:r>
        <w:rPr>
          <w:rStyle w:val="Zkladntext"/>
        </w:rPr>
        <w:t>, G3/4B. Výměnu vodoměrů provádí objednatel svépomocí, včetně likvidace původních vodoměrů.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890"/>
        </w:tabs>
        <w:spacing w:after="0"/>
        <w:ind w:left="1840" w:hanging="580"/>
        <w:jc w:val="both"/>
      </w:pPr>
      <w:proofErr w:type="gramStart"/>
      <w:r>
        <w:rPr>
          <w:rStyle w:val="Zkladntext"/>
        </w:rPr>
        <w:t>Rozsah</w:t>
      </w:r>
      <w:proofErr w:type="gramEnd"/>
      <w:r>
        <w:rPr>
          <w:rStyle w:val="Zkladntext"/>
        </w:rPr>
        <w:t xml:space="preserve"> a cena díla je dána </w:t>
      </w:r>
      <w:r>
        <w:rPr>
          <w:rStyle w:val="Zkladntext"/>
          <w:b/>
          <w:bCs/>
        </w:rPr>
        <w:t xml:space="preserve">nabídkou zhotovitele ze dne 20. 8. 2024 </w:t>
      </w:r>
      <w:r>
        <w:rPr>
          <w:rStyle w:val="Zkladntext"/>
        </w:rPr>
        <w:t xml:space="preserve">ve formě cenové kalkulace, </w:t>
      </w:r>
      <w:proofErr w:type="gramStart"/>
      <w:r>
        <w:rPr>
          <w:rStyle w:val="Zkladntext"/>
        </w:rPr>
        <w:t>která</w:t>
      </w:r>
      <w:proofErr w:type="gramEnd"/>
      <w:r>
        <w:rPr>
          <w:rStyle w:val="Zkladntext"/>
        </w:rPr>
        <w:t xml:space="preserve"> je přílohou č. 1 t</w:t>
      </w:r>
      <w:r>
        <w:rPr>
          <w:rStyle w:val="Zkladntext"/>
        </w:rPr>
        <w:t>éto smlouvy. Jedná se o tento rozsah prací: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1890"/>
        </w:tabs>
        <w:spacing w:after="0"/>
        <w:ind w:left="1960" w:hanging="700"/>
      </w:pPr>
      <w:r>
        <w:rPr>
          <w:rStyle w:val="Zkladntext"/>
        </w:rPr>
        <w:t xml:space="preserve">INDIKÁTORY VYTÁPĚNÍ odečet, demontáž a likvidace původních indikátorů, dodávka a montáž nových indikátorů </w:t>
      </w:r>
      <w:proofErr w:type="spellStart"/>
      <w:r>
        <w:rPr>
          <w:rStyle w:val="Zkladntext"/>
        </w:rPr>
        <w:t>Techem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b/>
          <w:bCs/>
        </w:rPr>
        <w:t>ITN rádio 4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1890"/>
        </w:tabs>
        <w:spacing w:after="0"/>
        <w:ind w:left="1960" w:hanging="700"/>
      </w:pPr>
      <w:r>
        <w:rPr>
          <w:rStyle w:val="Zkladntext"/>
        </w:rPr>
        <w:t xml:space="preserve">BYTOVÉ VODOMĚRY dodávka vodoměrů včetně programování </w:t>
      </w:r>
      <w:proofErr w:type="spellStart"/>
      <w:r>
        <w:rPr>
          <w:rStyle w:val="Zkladntext"/>
        </w:rPr>
        <w:t>Techem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b/>
          <w:bCs/>
        </w:rPr>
        <w:t xml:space="preserve">AP rádio 4 </w:t>
      </w:r>
      <w:r>
        <w:rPr>
          <w:rStyle w:val="Zkladntext"/>
        </w:rPr>
        <w:t>včetně montážníh</w:t>
      </w:r>
      <w:r>
        <w:rPr>
          <w:rStyle w:val="Zkladntext"/>
        </w:rPr>
        <w:t>o materiálu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1890"/>
        </w:tabs>
        <w:spacing w:after="0"/>
        <w:ind w:left="1240"/>
      </w:pPr>
      <w:r>
        <w:rPr>
          <w:rStyle w:val="Zkladntext"/>
        </w:rPr>
        <w:t xml:space="preserve">SBĚRNICE SMART READER dodávka, montáž a zprovoznění sběrnice </w:t>
      </w:r>
      <w:proofErr w:type="spellStart"/>
      <w:r>
        <w:rPr>
          <w:rStyle w:val="Zkladntext"/>
        </w:rPr>
        <w:t>Techem</w:t>
      </w:r>
      <w:proofErr w:type="spellEnd"/>
      <w:r>
        <w:rPr>
          <w:rStyle w:val="Zkladntext"/>
        </w:rPr>
        <w:t xml:space="preserve"> </w:t>
      </w:r>
      <w:r>
        <w:rPr>
          <w:rStyle w:val="Zkladntext"/>
          <w:b/>
          <w:bCs/>
        </w:rPr>
        <w:t xml:space="preserve">Smart </w:t>
      </w:r>
      <w:proofErr w:type="spellStart"/>
      <w:r>
        <w:rPr>
          <w:rStyle w:val="Zkladntext"/>
          <w:b/>
          <w:bCs/>
        </w:rPr>
        <w:t>Reader</w:t>
      </w:r>
      <w:proofErr w:type="spellEnd"/>
    </w:p>
    <w:p w:rsidR="00A93030" w:rsidRDefault="00DB3BB8">
      <w:pPr>
        <w:pStyle w:val="Zkladntext1"/>
        <w:numPr>
          <w:ilvl w:val="1"/>
          <w:numId w:val="1"/>
        </w:numPr>
        <w:tabs>
          <w:tab w:val="left" w:pos="1890"/>
        </w:tabs>
        <w:spacing w:after="140"/>
        <w:ind w:left="1840" w:hanging="580"/>
        <w:jc w:val="both"/>
        <w:sectPr w:rsidR="00A93030">
          <w:footerReference w:type="default" r:id="rId7"/>
          <w:pgSz w:w="11900" w:h="16840"/>
          <w:pgMar w:top="747" w:right="1250" w:bottom="1558" w:left="19" w:header="31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Objednatel je povinen umožnit zhotoviteli přístup do uvedených objektů za účelem provedení prací. Objednatel bude účinně spolupracovat se zhotovitelem v rámci včasné informovanosti nájemníků a zajistí zpřístupnění prostorů pro</w:t>
      </w:r>
      <w:r>
        <w:rPr>
          <w:rStyle w:val="Zkladntext"/>
        </w:rPr>
        <w:t xml:space="preserve"> montáž.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280"/>
        <w:ind w:left="1760" w:hanging="580"/>
        <w:jc w:val="both"/>
      </w:pPr>
      <w:r>
        <w:rPr>
          <w:rStyle w:val="Zkladntext"/>
        </w:rPr>
        <w:lastRenderedPageBreak/>
        <w:t>Objednatel je právnickou osobou, který provádí správu uvedených bytových domů a zástupci objednatele prohlašují, že jsou oprávněni jednat jménem objednatele a jsou oprávněni k podpisu této smlouvy.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1747"/>
        </w:tabs>
        <w:spacing w:after="160" w:line="240" w:lineRule="auto"/>
        <w:ind w:left="1160"/>
        <w:jc w:val="both"/>
      </w:pPr>
      <w:bookmarkStart w:id="5" w:name="bookmark12"/>
      <w:r>
        <w:rPr>
          <w:rStyle w:val="Nadpis4"/>
          <w:b/>
          <w:bCs/>
        </w:rPr>
        <w:t>Termíny zhotovení díla</w:t>
      </w:r>
      <w:bookmarkEnd w:id="5"/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160"/>
        <w:jc w:val="both"/>
      </w:pPr>
      <w:r>
        <w:rPr>
          <w:rStyle w:val="Zkladntext"/>
        </w:rPr>
        <w:t xml:space="preserve">Místo plnění: bytové domy </w:t>
      </w:r>
      <w:r>
        <w:rPr>
          <w:rStyle w:val="Zkladntext"/>
        </w:rPr>
        <w:t xml:space="preserve">dle </w:t>
      </w:r>
      <w:r>
        <w:rPr>
          <w:rStyle w:val="Zkladntext"/>
          <w:b/>
          <w:bCs/>
        </w:rPr>
        <w:t xml:space="preserve">přílohy č. 1 </w:t>
      </w:r>
      <w:r>
        <w:rPr>
          <w:rStyle w:val="Zkladntext"/>
        </w:rPr>
        <w:t>této smlouvy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160"/>
        <w:jc w:val="both"/>
      </w:pPr>
      <w:r>
        <w:rPr>
          <w:rStyle w:val="Zkladntext"/>
        </w:rPr>
        <w:t>Zhotovitel se zavazuje provést předmět plnění v termínech, které budou konkrétně stanovené</w:t>
      </w:r>
    </w:p>
    <w:p w:rsidR="00A93030" w:rsidRDefault="00DB3BB8">
      <w:pPr>
        <w:pStyle w:val="Zkladntext1"/>
        <w:spacing w:after="0"/>
        <w:ind w:left="1760"/>
        <w:jc w:val="both"/>
      </w:pPr>
      <w:r>
        <w:rPr>
          <w:rStyle w:val="Zkladntext"/>
        </w:rPr>
        <w:t>dohodou obou smluvních stran.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  <w:tab w:val="left" w:pos="6066"/>
        </w:tabs>
        <w:spacing w:after="0"/>
        <w:ind w:left="1160"/>
        <w:jc w:val="both"/>
      </w:pPr>
      <w:r>
        <w:rPr>
          <w:rStyle w:val="Zkladntext"/>
        </w:rPr>
        <w:t>Předpokládaný termín započetí prací:</w:t>
      </w:r>
      <w:r>
        <w:rPr>
          <w:rStyle w:val="Zkladntext"/>
        </w:rPr>
        <w:tab/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  <w:tab w:val="left" w:pos="6066"/>
        </w:tabs>
        <w:spacing w:after="0"/>
        <w:ind w:left="1160"/>
        <w:jc w:val="both"/>
      </w:pPr>
      <w:r>
        <w:rPr>
          <w:rStyle w:val="Zkladntext"/>
        </w:rPr>
        <w:t>Předpokládaný termín ukončení a předání díla:</w:t>
      </w:r>
      <w:r>
        <w:rPr>
          <w:rStyle w:val="Zkladntext"/>
        </w:rPr>
        <w:tab/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160"/>
        <w:jc w:val="both"/>
      </w:pPr>
      <w:r>
        <w:rPr>
          <w:rStyle w:val="Zkladntext"/>
        </w:rPr>
        <w:t xml:space="preserve">Konkrétní termín montáže: dohodou, </w:t>
      </w:r>
      <w:proofErr w:type="spellStart"/>
      <w:r>
        <w:rPr>
          <w:rStyle w:val="Zkladntext"/>
        </w:rPr>
        <w:t>info</w:t>
      </w:r>
      <w:proofErr w:type="spellEnd"/>
      <w:r>
        <w:rPr>
          <w:rStyle w:val="Zkladntext"/>
        </w:rPr>
        <w:t xml:space="preserve"> v předstihnu cca 7-1 0 dní předem (vývěska v domě)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160"/>
        <w:jc w:val="both"/>
      </w:pPr>
      <w:r>
        <w:rPr>
          <w:rStyle w:val="Zkladntext"/>
        </w:rPr>
        <w:t>Doba plnění se může přiměřeně prodloužit o dny, ve kterých nebude umožněn přístup do</w:t>
      </w:r>
    </w:p>
    <w:p w:rsidR="00A93030" w:rsidRDefault="00DB3BB8">
      <w:pPr>
        <w:pStyle w:val="Zkladntext1"/>
        <w:spacing w:after="280"/>
        <w:ind w:left="1760"/>
        <w:jc w:val="both"/>
      </w:pPr>
      <w:r>
        <w:rPr>
          <w:rStyle w:val="Zkladntext"/>
        </w:rPr>
        <w:t>některých bytů nebo prostor v domě.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1747"/>
        </w:tabs>
        <w:spacing w:after="160" w:line="240" w:lineRule="auto"/>
        <w:ind w:left="1160"/>
        <w:jc w:val="both"/>
      </w:pPr>
      <w:bookmarkStart w:id="6" w:name="bookmark14"/>
      <w:r>
        <w:rPr>
          <w:rStyle w:val="Nadpis4"/>
          <w:b/>
          <w:bCs/>
        </w:rPr>
        <w:t>Cena díla</w:t>
      </w:r>
      <w:bookmarkEnd w:id="6"/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340"/>
        <w:ind w:left="1160"/>
        <w:jc w:val="both"/>
      </w:pPr>
      <w:r>
        <w:rPr>
          <w:rStyle w:val="Zkladntext"/>
        </w:rPr>
        <w:t xml:space="preserve">Předpokládaná cena za </w:t>
      </w:r>
      <w:r>
        <w:rPr>
          <w:rStyle w:val="Zkladntext"/>
        </w:rPr>
        <w:t>plnění podle článku 2, stanovená na základě rozpočtu činí:</w:t>
      </w:r>
    </w:p>
    <w:p w:rsidR="00A93030" w:rsidRDefault="00DB3BB8">
      <w:pPr>
        <w:pStyle w:val="Zkladntext1"/>
        <w:spacing w:after="280" w:line="197" w:lineRule="auto"/>
        <w:ind w:left="4760"/>
      </w:pPr>
      <w:r>
        <w:rPr>
          <w:rStyle w:val="Zkladntext"/>
          <w:sz w:val="22"/>
          <w:szCs w:val="22"/>
        </w:rPr>
        <w:t xml:space="preserve">653 230,- Kč </w:t>
      </w:r>
      <w:r>
        <w:rPr>
          <w:rStyle w:val="Zkladntext"/>
          <w:b/>
          <w:bCs/>
        </w:rPr>
        <w:t>bez DPH (příloha č. 1)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160"/>
        <w:jc w:val="both"/>
      </w:pPr>
      <w:r>
        <w:rPr>
          <w:rStyle w:val="Zkladntext"/>
        </w:rPr>
        <w:t>Cena je položkově upřesněna přílohou č. 1, která je nedílnou součástí této smlouvy.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760" w:hanging="580"/>
        <w:jc w:val="both"/>
      </w:pPr>
      <w:r>
        <w:rPr>
          <w:rStyle w:val="Zkladntext"/>
        </w:rPr>
        <w:t>V celkové ceně díla je započtena dodávka a montáž dle bodu 2 včetně nákladů n</w:t>
      </w:r>
      <w:r>
        <w:rPr>
          <w:rStyle w:val="Zkladntext"/>
        </w:rPr>
        <w:t xml:space="preserve">a dopravu materiálu, odvozu a případné likvidace odpadu indikátorů vytápění. Cena obsahuje náklady související s komplexní realizací celého díla, vyzkoušením a zprovozněním. Cena neobsahuje případné vícepráce zjištěné při provádění díla (opakované výjezdy </w:t>
      </w:r>
      <w:r>
        <w:rPr>
          <w:rStyle w:val="Zkladntext"/>
        </w:rPr>
        <w:t>do nepřístupných bytů apod.).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760" w:hanging="580"/>
        <w:jc w:val="both"/>
      </w:pPr>
      <w:r>
        <w:rPr>
          <w:rStyle w:val="Zkladntext"/>
        </w:rPr>
        <w:t>Případné vícepráce nad rámec přílohy č. 1 zjištěné při provádění díla budou bezodkladně včetně nákladů oznámeny zástupci objednatele.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760" w:hanging="580"/>
        <w:jc w:val="both"/>
      </w:pPr>
      <w:r>
        <w:rPr>
          <w:rStyle w:val="Zkladntext"/>
        </w:rPr>
        <w:t>Objednatel prohlašuje, že financování díla je zabezpečené a zavazuje se udržovat ve financuj</w:t>
      </w:r>
      <w:r>
        <w:rPr>
          <w:rStyle w:val="Zkladntext"/>
        </w:rPr>
        <w:t>ící bance všechny zdroje a finanční prostředky tak, aby nedošlo k pozastavení, resp. opoždění úhrady splátek a faktury zhotovitele za vykonané práce a dodaný materiál.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760" w:hanging="580"/>
        <w:jc w:val="both"/>
      </w:pPr>
      <w:r>
        <w:rPr>
          <w:rStyle w:val="Zkladntext"/>
        </w:rPr>
        <w:t>Cena za dílo je stanovena dohodou smluvních stran (ve smyslu zákona č. 526/1990 Sb.) a j</w:t>
      </w:r>
      <w:r>
        <w:rPr>
          <w:rStyle w:val="Zkladntext"/>
        </w:rPr>
        <w:t>e stanovena dle vstupních nákladů zhotovitele platných ke dni předložení nabídky resp. uzavření smlouvy o dílo.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760" w:hanging="580"/>
        <w:jc w:val="both"/>
      </w:pPr>
      <w:r>
        <w:rPr>
          <w:rStyle w:val="Zkladntext"/>
        </w:rPr>
        <w:t>V případě, že v době přípravy realizace díla dle této smlouvy dojde ke zvýšení vstupních nákladů zhotovitele, které zhotovitel nemohl v době pod</w:t>
      </w:r>
      <w:r>
        <w:rPr>
          <w:rStyle w:val="Zkladntext"/>
        </w:rPr>
        <w:t>ání nabídky nebo uzavření smlouvy předpokládat (zvýšení vstupů cen materiálu a služeb covid-19 nebo inflace apod.) je zhotovitel povinen předložit objednateli k projednání nový návrh rozpočtu díla s odůvodněním zvýšení cen.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160"/>
        <w:jc w:val="both"/>
      </w:pPr>
      <w:r>
        <w:rPr>
          <w:rStyle w:val="Zkladntext"/>
        </w:rPr>
        <w:t>Všechny uvedené ceny jsou bez DP</w:t>
      </w:r>
      <w:r>
        <w:rPr>
          <w:rStyle w:val="Zkladntext"/>
        </w:rPr>
        <w:t>H, která bude účtována dle platných předpisů.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0"/>
        <w:ind w:left="1760" w:hanging="580"/>
        <w:jc w:val="both"/>
      </w:pPr>
      <w:r>
        <w:rPr>
          <w:rStyle w:val="Zkladntext"/>
        </w:rPr>
        <w:t>Skutečný počet instalovaných přístrojů povede ke změně celkové ceny díla. Tato změna celkové ceny díla změnou počtu instalovaných kusů dle skutečnosti není posuzována jako vícepráce. Počty namontovaných kusů do</w:t>
      </w:r>
      <w:r>
        <w:rPr>
          <w:rStyle w:val="Zkladntext"/>
        </w:rPr>
        <w:t>kladuje zhotovitel objednateli na montážním protokolu.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1747"/>
        </w:tabs>
        <w:spacing w:after="1560"/>
        <w:ind w:left="1760" w:hanging="580"/>
        <w:jc w:val="both"/>
      </w:pPr>
      <w:r>
        <w:rPr>
          <w:rStyle w:val="Zkladntext"/>
        </w:rPr>
        <w:t xml:space="preserve">Dodávka a montáž indikátorů vytápění a sběrnic spadá do </w:t>
      </w:r>
      <w:r>
        <w:rPr>
          <w:rStyle w:val="Zkladntext"/>
          <w:b/>
          <w:bCs/>
        </w:rPr>
        <w:t xml:space="preserve">režimu přenesené daně. </w:t>
      </w:r>
      <w:r>
        <w:rPr>
          <w:rStyle w:val="Zkladntext"/>
        </w:rPr>
        <w:t xml:space="preserve">Zhotovitel bude dílo fakturovat bez DPH a daň odvede objednatel. U vodoměrů, kde </w:t>
      </w:r>
      <w:proofErr w:type="gramStart"/>
      <w:r>
        <w:rPr>
          <w:rStyle w:val="Zkladntext"/>
        </w:rPr>
        <w:t>je</w:t>
      </w:r>
      <w:proofErr w:type="gramEnd"/>
      <w:r>
        <w:rPr>
          <w:rStyle w:val="Zkladntext"/>
        </w:rPr>
        <w:t xml:space="preserve"> prováděna jen dodávka vodoměrů bude </w:t>
      </w:r>
      <w:r>
        <w:rPr>
          <w:rStyle w:val="Zkladntext"/>
        </w:rPr>
        <w:t>účtována platná DPH (21 %).</w:t>
      </w:r>
    </w:p>
    <w:p w:rsidR="00A93030" w:rsidRDefault="00DB3BB8">
      <w:pPr>
        <w:pStyle w:val="Zkladntext20"/>
        <w:ind w:left="1160"/>
        <w:jc w:val="both"/>
        <w:sectPr w:rsidR="00A93030">
          <w:footerReference w:type="default" r:id="rId8"/>
          <w:pgSz w:w="11900" w:h="16840"/>
          <w:pgMar w:top="1525" w:right="1250" w:bottom="149" w:left="19" w:header="1097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6177915</wp:posOffset>
                </wp:positionH>
                <wp:positionV relativeFrom="paragraph">
                  <wp:posOffset>12700</wp:posOffset>
                </wp:positionV>
                <wp:extent cx="402590" cy="13716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3030" w:rsidRDefault="00DB3BB8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str. 2/5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44999999999999pt;margin-top:1.pt;width:31.699999999999999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str. 2/5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Smlouva o dílo č. 01 9/26/061 D</w:t>
      </w:r>
    </w:p>
    <w:p w:rsidR="00A93030" w:rsidRDefault="00A93030">
      <w:pPr>
        <w:spacing w:before="49" w:after="49" w:line="240" w:lineRule="exact"/>
        <w:rPr>
          <w:sz w:val="19"/>
          <w:szCs w:val="19"/>
        </w:rPr>
      </w:pPr>
    </w:p>
    <w:p w:rsidR="00A93030" w:rsidRDefault="00A93030">
      <w:pPr>
        <w:spacing w:line="1" w:lineRule="exact"/>
        <w:sectPr w:rsidR="00A93030">
          <w:type w:val="continuous"/>
          <w:pgSz w:w="11900" w:h="16840"/>
          <w:pgMar w:top="1525" w:right="0" w:bottom="149" w:left="0" w:header="0" w:footer="3" w:gutter="0"/>
          <w:cols w:space="720"/>
          <w:noEndnote/>
          <w:docGrid w:linePitch="360"/>
        </w:sectPr>
      </w:pPr>
    </w:p>
    <w:p w:rsidR="00A93030" w:rsidRDefault="00A93030">
      <w:pPr>
        <w:spacing w:after="513" w:line="1" w:lineRule="exact"/>
      </w:pPr>
    </w:p>
    <w:p w:rsidR="00A93030" w:rsidRDefault="00A93030">
      <w:pPr>
        <w:spacing w:line="1" w:lineRule="exact"/>
        <w:sectPr w:rsidR="00A93030">
          <w:type w:val="continuous"/>
          <w:pgSz w:w="11900" w:h="16840"/>
          <w:pgMar w:top="1525" w:right="1250" w:bottom="149" w:left="19" w:header="0" w:footer="3" w:gutter="0"/>
          <w:cols w:space="720"/>
          <w:noEndnote/>
          <w:docGrid w:linePitch="360"/>
        </w:sectPr>
      </w:pP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596"/>
        </w:tabs>
        <w:spacing w:before="280" w:after="160" w:line="240" w:lineRule="auto"/>
      </w:pPr>
      <w:bookmarkStart w:id="7" w:name="bookmark16"/>
      <w:r>
        <w:rPr>
          <w:rStyle w:val="Nadpis4"/>
          <w:b/>
          <w:bCs/>
        </w:rPr>
        <w:lastRenderedPageBreak/>
        <w:t>Platební podmínky</w:t>
      </w:r>
      <w:bookmarkEnd w:id="7"/>
    </w:p>
    <w:p w:rsidR="00A93030" w:rsidRDefault="00DB3BB8">
      <w:pPr>
        <w:pStyle w:val="Zkladntext1"/>
        <w:numPr>
          <w:ilvl w:val="1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Fakturace bude provedena po písemném předání a převzetí díla dle skutečně provedených pra</w:t>
      </w:r>
      <w:r>
        <w:rPr>
          <w:rStyle w:val="Zkladntext"/>
        </w:rPr>
        <w:t>cí. Faktura musí obsahovat náležitosti dle platných předpisů, musí být doručena na adresu objednatele.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96"/>
        </w:tabs>
        <w:spacing w:after="260"/>
      </w:pPr>
      <w:r>
        <w:rPr>
          <w:rStyle w:val="Zkladntext"/>
        </w:rPr>
        <w:t>Úhrada faktury bude provedena do 14 dní od jejího doručení objednateli.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596"/>
        </w:tabs>
        <w:spacing w:after="160" w:line="240" w:lineRule="auto"/>
      </w:pPr>
      <w:bookmarkStart w:id="8" w:name="bookmark18"/>
      <w:r>
        <w:rPr>
          <w:rStyle w:val="Nadpis4"/>
          <w:b/>
          <w:bCs/>
        </w:rPr>
        <w:t>Povinnosti stran při provádění díla</w:t>
      </w:r>
      <w:bookmarkEnd w:id="8"/>
    </w:p>
    <w:p w:rsidR="00A93030" w:rsidRDefault="00DB3BB8">
      <w:pPr>
        <w:pStyle w:val="Zkladntext1"/>
        <w:numPr>
          <w:ilvl w:val="1"/>
          <w:numId w:val="1"/>
        </w:numPr>
        <w:tabs>
          <w:tab w:val="left" w:pos="596"/>
        </w:tabs>
        <w:spacing w:after="0"/>
      </w:pPr>
      <w:r>
        <w:rPr>
          <w:rStyle w:val="Zkladntext"/>
          <w:i/>
          <w:iCs/>
        </w:rPr>
        <w:t>Zhotovitel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</w:pPr>
      <w:r>
        <w:rPr>
          <w:rStyle w:val="Zkladntext"/>
        </w:rPr>
        <w:t xml:space="preserve">Zhotovitel je povinen postupovat </w:t>
      </w:r>
      <w:r>
        <w:rPr>
          <w:rStyle w:val="Zkladntext"/>
        </w:rPr>
        <w:t>při zhotovení díla podle platných přepisů a technických norem.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Za případné vady vzniklé při provádění díla zodpovídá zhotovitel v plném rozsahu, včetně odpovědnosti za škodu.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Za vady nebude považován špatný stávající stav vodovodní nebo teplovodní soustavy</w:t>
      </w:r>
      <w:r>
        <w:rPr>
          <w:rStyle w:val="Zkladntext"/>
        </w:rPr>
        <w:t xml:space="preserve"> v domě před montáží. Pokud toto bude zjištěno v rámci manipulace se stávajícím zařízením, informuje zhotovitel zástupce vlastníka objektu o překážce provádění díla s návrhem a náklady možného řešení dle článku 4.4.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V případě reklamace vady je objednatel p</w:t>
      </w:r>
      <w:r>
        <w:rPr>
          <w:rStyle w:val="Zkladntext"/>
        </w:rPr>
        <w:t xml:space="preserve">ovinen ji písemně uplatnit po nahlášení a to neprodleně. Písemným nahlášením se rozumí i zaslání mailu na mailovou adresu </w:t>
      </w:r>
      <w:hyperlink r:id="rId9" w:history="1">
        <w:r>
          <w:rPr>
            <w:rStyle w:val="Zkladntext"/>
            <w:u w:val="single"/>
            <w:lang w:val="en-US" w:eastAsia="en-US" w:bidi="en-US"/>
          </w:rPr>
          <w:t>tomas.hliva@techem.cz</w:t>
        </w:r>
      </w:hyperlink>
      <w:r>
        <w:rPr>
          <w:rStyle w:val="Zkladntext"/>
          <w:lang w:val="en-US" w:eastAsia="en-US" w:bidi="en-US"/>
        </w:rPr>
        <w:t>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Zhotovitel je povinen zahájit práce na jejím odstranění nejpozději d</w:t>
      </w:r>
      <w:r>
        <w:rPr>
          <w:rStyle w:val="Zkladntext"/>
        </w:rPr>
        <w:t xml:space="preserve">o </w:t>
      </w:r>
      <w:proofErr w:type="gramStart"/>
      <w:r>
        <w:rPr>
          <w:rStyle w:val="Zkladntext"/>
        </w:rPr>
        <w:t>10-ti</w:t>
      </w:r>
      <w:proofErr w:type="gramEnd"/>
      <w:r>
        <w:rPr>
          <w:rStyle w:val="Zkladntext"/>
        </w:rPr>
        <w:t xml:space="preserve"> pracovních dnů po obdržení reklamace a v jejím odstraňování řádně pokračovat. Pokud bude reklamace zadána jako havarijní - zahájí zhotovitel práce příští pracovní den po jejím nahlášení. Havarijní se rozumí případná netěsnost montáže nebo dodaného </w:t>
      </w:r>
      <w:r>
        <w:rPr>
          <w:rStyle w:val="Zkladntext"/>
        </w:rPr>
        <w:t>zařízení ohrožující majetek zatečením média SV/TV.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Vyřízení reklamace bude dokumentováno vyplněním Reklamačního listu. V případě neoprávněné reklamace budou objednateli fakturovány vzniklé náklady.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Zhotovitel je oprávněn pověřit zhotovením části díla třetí</w:t>
      </w:r>
      <w:r>
        <w:rPr>
          <w:rStyle w:val="Zkladntext"/>
        </w:rPr>
        <w:t xml:space="preserve"> stranu. Pro tuto stranu platní stejné podmínky jako pro zhotovitele.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Zhotovitel předá objednateli oznámení o montáži (ve formě vývěsek pro umístění v přízemí domu), na kterých budou uvedeny termíny pro zpřístupnění bytových a nebytových prostor.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260"/>
        <w:ind w:left="580" w:hanging="580"/>
        <w:jc w:val="both"/>
      </w:pPr>
      <w:r>
        <w:rPr>
          <w:rStyle w:val="Zkladntext"/>
        </w:rPr>
        <w:t>Dílo bude</w:t>
      </w:r>
      <w:r>
        <w:rPr>
          <w:rStyle w:val="Zkladntext"/>
        </w:rPr>
        <w:t xml:space="preserve"> předáno zápisem o předání a převzetí díla. Dílo bude předáno bez zjevných vad a nedodělků.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96"/>
        </w:tabs>
        <w:spacing w:after="0"/>
        <w:jc w:val="both"/>
      </w:pPr>
      <w:r>
        <w:rPr>
          <w:rStyle w:val="Zkladntext"/>
          <w:i/>
          <w:iCs/>
        </w:rPr>
        <w:t>Objednatel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</w:pPr>
      <w:r>
        <w:rPr>
          <w:rStyle w:val="Zkladntext"/>
        </w:rPr>
        <w:t>Objednatel umožní zhotoviteli po dobu stanovenou čí. 3 této smlouvy přístup do objektu.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Objednatel zajistí na vyžádání zhotovitele uzamykatelnou místnost</w:t>
      </w:r>
      <w:r>
        <w:rPr>
          <w:rStyle w:val="Zkladntext"/>
        </w:rPr>
        <w:t xml:space="preserve"> v domě pro skladování materiálu a nářadí potřebných k montáži.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Dále umožní v případě potřeby a včasném vyžádání připojení zhotovitele na rozvod elektrické energie po dobu nutnou pro splnění předmětu díla.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Objednatel zajistí účinnou pomoc s přístupem do pr</w:t>
      </w:r>
      <w:r>
        <w:rPr>
          <w:rStyle w:val="Zkladntext"/>
        </w:rPr>
        <w:t>oblematických prostor (trvalá nepřítomnost, nesouhlas s montáží, apod.). Bude účinně spolupracovat se zhotovitelem při včasném informování konečných uživatelů bytů (resp. nebytových prostor) o montáži a prováděných pracích.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Objednatel je povinen zhotovitel</w:t>
      </w:r>
      <w:r>
        <w:rPr>
          <w:rStyle w:val="Zkladntext"/>
        </w:rPr>
        <w:t>i poskytnout na vyžádání veškerou dostupnou dokumentaci vztahující se k dané problematice.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</w:pPr>
      <w:r>
        <w:rPr>
          <w:rStyle w:val="Zkladntext"/>
        </w:rPr>
        <w:t>Objednatel se zavazuje převzít předmět díla ve stavu uvedeném v předávacím protokolu.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Objednatel není oprávněn do doby zaplacení faktury disponovat s předmětem smlou</w:t>
      </w:r>
      <w:r>
        <w:rPr>
          <w:rStyle w:val="Zkladntext"/>
        </w:rPr>
        <w:t>vy o dílo, zejména je nesmí prodat či přenechat jako zástavu.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596"/>
        </w:tabs>
        <w:spacing w:after="0"/>
        <w:ind w:left="580" w:hanging="580"/>
        <w:jc w:val="both"/>
      </w:pPr>
      <w:r>
        <w:rPr>
          <w:rStyle w:val="Zkladntext"/>
        </w:rPr>
        <w:t>Objednatel kontroluje provádění prací a má přístup na všechna pracoviště zhotovitele, v rámci této smlouvy o dílo.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140"/>
        <w:ind w:left="580" w:hanging="580"/>
        <w:jc w:val="both"/>
      </w:pPr>
      <w:r>
        <w:rPr>
          <w:rStyle w:val="Zkladntext"/>
        </w:rPr>
        <w:t xml:space="preserve">Uživatelé bytových jednotek (resp. nebytových prostor) budou pracovníky </w:t>
      </w:r>
      <w:r>
        <w:rPr>
          <w:rStyle w:val="Zkladntext"/>
        </w:rPr>
        <w:t xml:space="preserve">zhotovitele v dostatečném </w:t>
      </w:r>
      <w:r>
        <w:rPr>
          <w:rStyle w:val="Zkladntext"/>
        </w:rPr>
        <w:lastRenderedPageBreak/>
        <w:t>časovém předstihu informováni o době prací v jejich bytě. Práce budou koordinovány prostřednictvím kontaktních osob: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623"/>
        </w:tabs>
        <w:spacing w:after="140" w:line="240" w:lineRule="auto"/>
        <w:jc w:val="both"/>
      </w:pPr>
      <w:bookmarkStart w:id="9" w:name="bookmark20"/>
      <w:r>
        <w:rPr>
          <w:rStyle w:val="Nadpis4"/>
          <w:b/>
          <w:bCs/>
        </w:rPr>
        <w:t>Záruka</w:t>
      </w:r>
      <w:bookmarkEnd w:id="9"/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Zhotovitel</w:t>
      </w:r>
      <w:r>
        <w:rPr>
          <w:rStyle w:val="Zkladntext"/>
        </w:rPr>
        <w:t xml:space="preserve"> poskytuje na nové indikátory vytápění, nové vodoměry a sběrnice záruku </w:t>
      </w:r>
      <w:r>
        <w:rPr>
          <w:rStyle w:val="Zkladntext"/>
          <w:b/>
          <w:bCs/>
        </w:rPr>
        <w:t xml:space="preserve">36 měsíců. Na </w:t>
      </w:r>
      <w:r>
        <w:rPr>
          <w:rStyle w:val="Zkladntext"/>
        </w:rPr>
        <w:t>montážní práce je poskytována záruka 24 měsíců.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Odpovědnost zhotovitele se nevztahuje na škody nastalé živelně - zejména ohněm, vodou, mrazem, dále nedodržením provozních</w:t>
      </w:r>
      <w:r>
        <w:rPr>
          <w:rStyle w:val="Zkladntext"/>
        </w:rPr>
        <w:t xml:space="preserve"> a obslužných předpisů, neodborným zacházením, překročením stanovených provozních hodnot, přirozeným opotřebením, složením a parametry vody nebo topného média neodpovídajícího normám, vniknutím cizích těles, zabahněním, zašpiněním, poškozením chemickými, e</w:t>
      </w:r>
      <w:r>
        <w:rPr>
          <w:rStyle w:val="Zkladntext"/>
        </w:rPr>
        <w:t>lektrickými nebo elektrolytickými vlivy nebo jinými okolnostmi, jimž ze strany zhotovitele nebylo možno zabránit.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280"/>
        <w:ind w:left="580" w:hanging="580"/>
        <w:jc w:val="both"/>
      </w:pPr>
      <w:r>
        <w:rPr>
          <w:rStyle w:val="Zkladntext"/>
        </w:rPr>
        <w:t>Záruční lhůta začíná běžet dnem předání a je zachována, pokud na díle nebyla porušena originální plomba a objednatel neprovedl na díle výměny,</w:t>
      </w:r>
      <w:r>
        <w:rPr>
          <w:rStyle w:val="Zkladntext"/>
        </w:rPr>
        <w:t xml:space="preserve"> instalační práce nebo jiné změny.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623"/>
        </w:tabs>
        <w:spacing w:after="140" w:line="240" w:lineRule="auto"/>
        <w:jc w:val="both"/>
      </w:pPr>
      <w:bookmarkStart w:id="10" w:name="bookmark22"/>
      <w:r>
        <w:rPr>
          <w:rStyle w:val="Nadpis4"/>
          <w:b/>
          <w:bCs/>
        </w:rPr>
        <w:t>Smluvní pokuty</w:t>
      </w:r>
      <w:bookmarkEnd w:id="10"/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V případě prodlení s dokončením díla v termínu se zhotovitel zavazuje uhradit objednateli smluvní pokutu ve výši 0,05% z nezrealizované (či nedodané) části ceny díla za každý i započatý den, maximálně do vý</w:t>
      </w:r>
      <w:r>
        <w:rPr>
          <w:rStyle w:val="Zkladntext"/>
        </w:rPr>
        <w:t>še ceny nezrealizované části díla.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jc w:val="both"/>
      </w:pPr>
      <w:r>
        <w:rPr>
          <w:rStyle w:val="Zkladntext"/>
        </w:rPr>
        <w:t>Penalizace zhotovitele za neplnění časového harmonogramu se nevztahuje na prodlení způsobené: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623"/>
        </w:tabs>
        <w:spacing w:after="0"/>
        <w:jc w:val="both"/>
      </w:pPr>
      <w:r>
        <w:rPr>
          <w:rStyle w:val="Zkladntext"/>
        </w:rPr>
        <w:t>Nezpřístupněním bytu či jiných prostor potřebných k provádění montáží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623"/>
        </w:tabs>
        <w:spacing w:after="0"/>
        <w:jc w:val="both"/>
      </w:pPr>
      <w:r>
        <w:rPr>
          <w:rStyle w:val="Zkladntext"/>
        </w:rPr>
        <w:t>Nemožným přístupem k přístrojům (zazděná jádra s malým se</w:t>
      </w:r>
      <w:r>
        <w:rPr>
          <w:rStyle w:val="Zkladntext"/>
        </w:rPr>
        <w:t>rvisním otvorem apod.)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623"/>
        </w:tabs>
        <w:spacing w:after="0"/>
        <w:jc w:val="both"/>
      </w:pPr>
      <w:r>
        <w:rPr>
          <w:rStyle w:val="Zkladntext"/>
        </w:rPr>
        <w:t>Jiným typem stávajících přístrojů k výměně (jiné dimenze nebo stavební délky přístrojů)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623"/>
        </w:tabs>
        <w:spacing w:after="0"/>
        <w:jc w:val="both"/>
      </w:pPr>
      <w:r>
        <w:rPr>
          <w:rStyle w:val="Zkladntext"/>
        </w:rPr>
        <w:t>Špatným stavem vodovodní nebo ÚT soustavy (nemožnost odstavení okruhů bytů, stoupaček)</w:t>
      </w:r>
    </w:p>
    <w:p w:rsidR="00A93030" w:rsidRDefault="00DB3BB8">
      <w:pPr>
        <w:pStyle w:val="Zkladntext1"/>
        <w:numPr>
          <w:ilvl w:val="2"/>
          <w:numId w:val="1"/>
        </w:numPr>
        <w:tabs>
          <w:tab w:val="left" w:pos="623"/>
        </w:tabs>
        <w:spacing w:after="0"/>
        <w:ind w:left="720" w:hanging="720"/>
        <w:jc w:val="both"/>
      </w:pPr>
      <w:r>
        <w:rPr>
          <w:rStyle w:val="Zkladntext"/>
        </w:rPr>
        <w:t xml:space="preserve">Vlivem třetích stran, zejména na časové prodlení dodávek </w:t>
      </w:r>
      <w:r>
        <w:rPr>
          <w:rStyle w:val="Zkladntext"/>
        </w:rPr>
        <w:t>přístrojů nebo jejich částí od výrobců ke zhotoviteli v předpokládaných termínech dle této smlouvy, případně vlivem časové prodlevy projednání úpravy cen (ovlivnění dodávek a změny cen covid-19)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V případě prodlení s úhradou ceny díla v termínu splatnosti s</w:t>
      </w:r>
      <w:r>
        <w:rPr>
          <w:rStyle w:val="Zkladntext"/>
        </w:rPr>
        <w:t>e objednatel zavazuje uhradit zhotoviteli smluvní pokutu ve výši 0,05% z celkové účtované částky za každý den prodlení.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Zaplacením smluvní pokuty nezaniká objednateli právo požadovat úhradu případně vzniklé škody z činnosti zhotovitele.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V případě neoprávně</w:t>
      </w:r>
      <w:r>
        <w:rPr>
          <w:rStyle w:val="Zkladntext"/>
        </w:rPr>
        <w:t>né reklamace doložené Reklamačním listem uhradí objednatel zhotoviteli prokazatelné náklady za každý jednotlivý případ.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280"/>
        <w:ind w:left="580" w:hanging="580"/>
        <w:jc w:val="both"/>
      </w:pPr>
      <w:r>
        <w:rPr>
          <w:rStyle w:val="Zkladntext"/>
        </w:rPr>
        <w:t xml:space="preserve">Smluvní pokuta je splatná na základě písemného uplatnění. Smluvní pokuty sjednané touto smlouvou hradí povinná strana nezávisle na výši </w:t>
      </w:r>
      <w:r>
        <w:rPr>
          <w:rStyle w:val="Zkladntext"/>
        </w:rPr>
        <w:t>případných škod, které lze uplatňovat samostatně.</w:t>
      </w:r>
    </w:p>
    <w:p w:rsidR="00A93030" w:rsidRDefault="00DB3BB8">
      <w:pPr>
        <w:pStyle w:val="Nadpis40"/>
        <w:keepNext/>
        <w:keepLines/>
        <w:numPr>
          <w:ilvl w:val="0"/>
          <w:numId w:val="1"/>
        </w:numPr>
        <w:tabs>
          <w:tab w:val="left" w:pos="623"/>
        </w:tabs>
        <w:spacing w:after="140" w:line="240" w:lineRule="auto"/>
        <w:jc w:val="both"/>
      </w:pPr>
      <w:bookmarkStart w:id="11" w:name="bookmark24"/>
      <w:r>
        <w:rPr>
          <w:rStyle w:val="Nadpis4"/>
          <w:b/>
          <w:bCs/>
        </w:rPr>
        <w:t>Závěrečná ustanovení</w:t>
      </w:r>
      <w:bookmarkEnd w:id="11"/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0"/>
        <w:ind w:left="580" w:hanging="580"/>
        <w:jc w:val="both"/>
      </w:pPr>
      <w:r>
        <w:rPr>
          <w:rStyle w:val="Zkladntext"/>
        </w:rPr>
        <w:t>Předmět díla zůstává do okamžiku úplné úhrady konečné faktury vlastnictvím zhotovitele. Jakékoliv změny této smlouvy musí být učiněny písemnou formou a schváleny podpisem obou smluvních</w:t>
      </w:r>
      <w:r>
        <w:rPr>
          <w:rStyle w:val="Zkladntext"/>
        </w:rPr>
        <w:t xml:space="preserve"> stran.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623"/>
        </w:tabs>
        <w:spacing w:after="140"/>
        <w:ind w:left="580" w:hanging="580"/>
        <w:jc w:val="both"/>
        <w:sectPr w:rsidR="00A93030">
          <w:footerReference w:type="default" r:id="rId10"/>
          <w:footerReference w:type="first" r:id="rId11"/>
          <w:pgSz w:w="11900" w:h="16840"/>
          <w:pgMar w:top="1480" w:right="1364" w:bottom="1849" w:left="1157" w:header="0" w:footer="3" w:gutter="0"/>
          <w:cols w:space="720"/>
          <w:noEndnote/>
          <w:titlePg/>
          <w:docGrid w:linePitch="360"/>
        </w:sectPr>
      </w:pPr>
      <w:r>
        <w:rPr>
          <w:rStyle w:val="Zkladntext"/>
        </w:rPr>
        <w:t xml:space="preserve">V případě, že některá ze smluvních stran zjistí, že z důvodu vyšší moci je znemožněná </w:t>
      </w:r>
      <w:r>
        <w:rPr>
          <w:rStyle w:val="Zkladntext"/>
        </w:rPr>
        <w:t>realizace smluvně dohodnutého díla, okamžitě to oznámí druhé straně.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80"/>
        </w:tabs>
        <w:spacing w:after="0"/>
        <w:ind w:left="600" w:hanging="600"/>
        <w:jc w:val="both"/>
      </w:pPr>
      <w:r>
        <w:rPr>
          <w:rStyle w:val="Zkladntext"/>
        </w:rPr>
        <w:t>Pokud by některý odstavec této smlouvy v budoucnu odporoval některému zákonnému ustanovení, nezpochybňuje se tato smlouva jako celek, nýbrž pouze dotyčný odstavec. Smluvní strany se zavaz</w:t>
      </w:r>
      <w:r>
        <w:rPr>
          <w:rStyle w:val="Zkladntext"/>
        </w:rPr>
        <w:t>ují, že neplatné ustanovení nahradí platnými, které se co nejvíce přibližují smyslu a účelu původních ustanovení.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80"/>
        </w:tabs>
        <w:spacing w:after="0"/>
        <w:ind w:left="600" w:hanging="600"/>
        <w:jc w:val="both"/>
      </w:pPr>
      <w:r>
        <w:rPr>
          <w:rStyle w:val="Zkladntext"/>
        </w:rPr>
        <w:t>V případě změny statutu jakékoliv smluvní strany je povinna převzít veškeré závazky dceřiná nebo nástupnická organizace.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80"/>
        </w:tabs>
        <w:spacing w:after="0"/>
        <w:ind w:left="600" w:hanging="600"/>
        <w:jc w:val="both"/>
      </w:pPr>
      <w:r>
        <w:rPr>
          <w:rStyle w:val="Zkladntext"/>
          <w:b/>
          <w:bCs/>
        </w:rPr>
        <w:t xml:space="preserve">Příloha č. 2 </w:t>
      </w:r>
      <w:r>
        <w:rPr>
          <w:rStyle w:val="Zkladntext"/>
        </w:rPr>
        <w:t>této sml</w:t>
      </w:r>
      <w:r>
        <w:rPr>
          <w:rStyle w:val="Zkladntext"/>
        </w:rPr>
        <w:t>ouvy upravuje práva a povinnosti stran související se zpracováním osobních údajů předaných objednatelem zhotoviteli v souvislosti s touto smlouvou a tvoří nedílnou součást této smlouvy.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80"/>
        </w:tabs>
        <w:spacing w:after="0"/>
        <w:ind w:left="600" w:hanging="600"/>
        <w:jc w:val="both"/>
      </w:pPr>
      <w:r>
        <w:rPr>
          <w:rStyle w:val="Zkladntext"/>
        </w:rPr>
        <w:lastRenderedPageBreak/>
        <w:t xml:space="preserve">Smluvní strany potvrzují svým podpisem prohlášení, že si tuto smlouvu </w:t>
      </w:r>
      <w:r>
        <w:rPr>
          <w:rStyle w:val="Zkladntext"/>
        </w:rPr>
        <w:t>včetně případných příloh přečetly a že smlouva nebyla ujednána v tísni, ani za jinak jednostranně nevýhodných podmínek.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80"/>
        </w:tabs>
        <w:spacing w:after="0"/>
      </w:pPr>
      <w:r>
        <w:rPr>
          <w:rStyle w:val="Zkladntext"/>
        </w:rPr>
        <w:t>Tato smlouva se vystavuje ve čtyřech originálech, z nichž každá strana obdrží dva.</w:t>
      </w:r>
    </w:p>
    <w:p w:rsidR="00A93030" w:rsidRDefault="00DB3BB8">
      <w:pPr>
        <w:pStyle w:val="Zkladntext1"/>
        <w:numPr>
          <w:ilvl w:val="1"/>
          <w:numId w:val="1"/>
        </w:numPr>
        <w:tabs>
          <w:tab w:val="left" w:pos="580"/>
        </w:tabs>
        <w:spacing w:after="260"/>
      </w:pPr>
      <w:r>
        <w:rPr>
          <w:rStyle w:val="Zkladntext"/>
        </w:rPr>
        <w:t xml:space="preserve">Tato smlouva nabývá účinnosti dnem podpisu smluvními </w:t>
      </w:r>
      <w:r>
        <w:rPr>
          <w:rStyle w:val="Zkladntext"/>
        </w:rPr>
        <w:t>stranami.</w:t>
      </w:r>
    </w:p>
    <w:p w:rsidR="00A93030" w:rsidRDefault="00A93030">
      <w:pPr>
        <w:spacing w:line="240" w:lineRule="exact"/>
        <w:rPr>
          <w:sz w:val="19"/>
          <w:szCs w:val="19"/>
        </w:rPr>
      </w:pPr>
      <w:bookmarkStart w:id="12" w:name="_GoBack"/>
      <w:bookmarkEnd w:id="12"/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line="240" w:lineRule="exact"/>
        <w:rPr>
          <w:sz w:val="19"/>
          <w:szCs w:val="19"/>
        </w:rPr>
      </w:pPr>
    </w:p>
    <w:p w:rsidR="00A93030" w:rsidRDefault="00A93030">
      <w:pPr>
        <w:spacing w:before="77" w:after="77" w:line="240" w:lineRule="exact"/>
        <w:rPr>
          <w:sz w:val="19"/>
          <w:szCs w:val="19"/>
        </w:rPr>
      </w:pPr>
    </w:p>
    <w:p w:rsidR="00A93030" w:rsidRDefault="00A93030">
      <w:pPr>
        <w:spacing w:line="1" w:lineRule="exact"/>
        <w:sectPr w:rsidR="00A93030">
          <w:footerReference w:type="default" r:id="rId12"/>
          <w:type w:val="continuous"/>
          <w:pgSz w:w="11900" w:h="16840"/>
          <w:pgMar w:top="1399" w:right="0" w:bottom="338" w:left="0" w:header="0" w:footer="3" w:gutter="0"/>
          <w:cols w:space="720"/>
          <w:noEndnote/>
          <w:docGrid w:linePitch="360"/>
        </w:sectPr>
      </w:pPr>
    </w:p>
    <w:p w:rsidR="00A93030" w:rsidRDefault="00DB3BB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6114415</wp:posOffset>
                </wp:positionH>
                <wp:positionV relativeFrom="paragraph">
                  <wp:posOffset>12700</wp:posOffset>
                </wp:positionV>
                <wp:extent cx="402590" cy="13716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3030" w:rsidRDefault="00DB3BB8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str. 5/5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81.44999999999999pt;margin-top:1.pt;width:31.699999999999999pt;height:10.80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str. 5/5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3030" w:rsidRDefault="00DB3BB8">
      <w:pPr>
        <w:pStyle w:val="Zkladntext20"/>
        <w:sectPr w:rsidR="00A93030">
          <w:type w:val="continuous"/>
          <w:pgSz w:w="11900" w:h="16840"/>
          <w:pgMar w:top="1399" w:right="2271" w:bottom="338" w:left="1061" w:header="0" w:footer="3" w:gutter="0"/>
          <w:cols w:space="720"/>
          <w:noEndnote/>
          <w:docGrid w:linePitch="360"/>
        </w:sectPr>
      </w:pPr>
      <w:r>
        <w:rPr>
          <w:rStyle w:val="Zkladntext2"/>
        </w:rPr>
        <w:t>Smlouva o dílo č. 019/26/061 D</w:t>
      </w:r>
    </w:p>
    <w:p w:rsidR="00A93030" w:rsidRDefault="00A93030" w:rsidP="0068406B">
      <w:pPr>
        <w:pStyle w:val="Nadpis20"/>
        <w:keepNext/>
        <w:keepLines/>
        <w:pBdr>
          <w:top w:val="single" w:sz="0" w:space="0" w:color="D14447"/>
          <w:left w:val="single" w:sz="0" w:space="0" w:color="D14447"/>
          <w:bottom w:val="single" w:sz="0" w:space="7" w:color="D14447"/>
          <w:right w:val="single" w:sz="0" w:space="0" w:color="D14447"/>
        </w:pBdr>
        <w:shd w:val="clear" w:color="auto" w:fill="D14447"/>
        <w:spacing w:after="281"/>
      </w:pPr>
    </w:p>
    <w:sectPr w:rsidR="00A93030" w:rsidSect="0068406B">
      <w:footerReference w:type="default" r:id="rId13"/>
      <w:pgSz w:w="11900" w:h="16840"/>
      <w:pgMar w:top="494" w:right="1344" w:bottom="1199" w:left="1157" w:header="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BB8" w:rsidRDefault="00DB3BB8">
      <w:r>
        <w:separator/>
      </w:r>
    </w:p>
  </w:endnote>
  <w:endnote w:type="continuationSeparator" w:id="0">
    <w:p w:rsidR="00DB3BB8" w:rsidRDefault="00DB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0" w:rsidRDefault="00DB3B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9745345</wp:posOffset>
              </wp:positionV>
              <wp:extent cx="580644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64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030" w:rsidRDefault="00DB3BB8">
                          <w:pPr>
                            <w:pStyle w:val="Zhlavnebozpat20"/>
                            <w:tabs>
                              <w:tab w:val="right" w:pos="914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Smlouva o dílo č. 01 9/26/061 D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str.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8406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64.3pt;margin-top:767.35pt;width:457.2pt;height:7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" filled="f" stroked="f">
              <v:textbox style="mso-fit-shape-to-text:t" inset="0,0,0,0">
                <w:txbxContent>
                  <w:p w:rsidR="00A93030" w:rsidRDefault="00DB3BB8">
                    <w:pPr>
                      <w:pStyle w:val="Zhlavnebozpat20"/>
                      <w:tabs>
                        <w:tab w:val="right" w:pos="914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Smlouva o dílo č. 01 9/26/061 D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str.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separate"/>
                    </w:r>
                    <w:r w:rsidR="0068406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0" w:rsidRDefault="00A93030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0" w:rsidRDefault="00DB3B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9745345</wp:posOffset>
              </wp:positionV>
              <wp:extent cx="580644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64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030" w:rsidRDefault="00DB3BB8">
                          <w:pPr>
                            <w:pStyle w:val="Zhlavnebozpat20"/>
                            <w:tabs>
                              <w:tab w:val="right" w:pos="914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Smlouva o dílo č. 01 9/26/061 D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str.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8406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64.3pt;margin-top:767.35pt;width:457.2pt;height:7.9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" filled="f" stroked="f">
              <v:textbox style="mso-fit-shape-to-text:t" inset="0,0,0,0">
                <w:txbxContent>
                  <w:p w:rsidR="00A93030" w:rsidRDefault="00DB3BB8">
                    <w:pPr>
                      <w:pStyle w:val="Zhlavnebozpat20"/>
                      <w:tabs>
                        <w:tab w:val="right" w:pos="914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Smlouva o dílo č. 01 9/26/061 D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str.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separate"/>
                    </w:r>
                    <w:r w:rsidR="0068406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0" w:rsidRDefault="00DB3B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743585</wp:posOffset>
              </wp:positionH>
              <wp:positionV relativeFrom="page">
                <wp:posOffset>9766935</wp:posOffset>
              </wp:positionV>
              <wp:extent cx="580644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644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030" w:rsidRDefault="00DB3BB8">
                          <w:pPr>
                            <w:pStyle w:val="Zhlavnebozpat20"/>
                            <w:tabs>
                              <w:tab w:val="right" w:pos="9144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Smlouva o dílo č. 019/26/061 D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ab/>
                            <w:t xml:space="preserve">str.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8406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3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58.55pt;margin-top:769.05pt;width:457.2pt;height:7.9pt;z-index:-4404017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" filled="f" stroked="f">
              <v:textbox style="mso-fit-shape-to-text:t" inset="0,0,0,0">
                <w:txbxContent>
                  <w:p w:rsidR="00A93030" w:rsidRDefault="00DB3BB8">
                    <w:pPr>
                      <w:pStyle w:val="Zhlavnebozpat20"/>
                      <w:tabs>
                        <w:tab w:val="right" w:pos="9144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Smlouva o dílo č. 019/26/061 D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ab/>
                      <w:t xml:space="preserve">str.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separate"/>
                    </w:r>
                    <w:r w:rsidR="0068406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3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0" w:rsidRDefault="00A93030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030" w:rsidRDefault="00DB3BB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749935</wp:posOffset>
              </wp:positionH>
              <wp:positionV relativeFrom="page">
                <wp:posOffset>9998710</wp:posOffset>
              </wp:positionV>
              <wp:extent cx="5767070" cy="10350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3030" w:rsidRDefault="00DB3BB8">
                          <w:pPr>
                            <w:pStyle w:val="Zhlavnebozpat20"/>
                            <w:tabs>
                              <w:tab w:val="right" w:pos="9082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Smlouva o dílo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Techem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č.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019/26/061 D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str.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68406B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/5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1" type="#_x0000_t202" style="position:absolute;margin-left:59.05pt;margin-top:787.3pt;width:454.1pt;height:8.15pt;z-index:-4404017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" filled="f" stroked="f">
              <v:textbox style="mso-fit-shape-to-text:t" inset="0,0,0,0">
                <w:txbxContent>
                  <w:p w:rsidR="00A93030" w:rsidRDefault="00DB3BB8">
                    <w:pPr>
                      <w:pStyle w:val="Zhlavnebozpat20"/>
                      <w:tabs>
                        <w:tab w:val="right" w:pos="9082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Smlouva o dílo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Techem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 č. 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019/26/061 D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 xml:space="preserve">str. 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separate"/>
                    </w:r>
                    <w:r w:rsidR="0068406B">
                      <w:rPr>
                        <w:rStyle w:val="Zhlavnebozpat2"/>
                        <w:rFonts w:ascii="Arial" w:eastAsia="Arial" w:hAnsi="Arial" w:cs="Arial"/>
                        <w:noProof/>
                        <w:sz w:val="17"/>
                        <w:szCs w:val="17"/>
                      </w:rPr>
                      <w:t>6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7"/>
                        <w:szCs w:val="17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BB8" w:rsidRDefault="00DB3BB8"/>
  </w:footnote>
  <w:footnote w:type="continuationSeparator" w:id="0">
    <w:p w:rsidR="00DB3BB8" w:rsidRDefault="00DB3BB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0702"/>
    <w:multiLevelType w:val="multilevel"/>
    <w:tmpl w:val="2C60AA68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A79A0"/>
    <w:multiLevelType w:val="multilevel"/>
    <w:tmpl w:val="705E3736"/>
    <w:lvl w:ilvl="0">
      <w:start w:val="1"/>
      <w:numFmt w:val="decimal"/>
      <w:lvlText w:val="%1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FD585D"/>
    <w:multiLevelType w:val="multilevel"/>
    <w:tmpl w:val="655CEDFE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322C5A"/>
    <w:multiLevelType w:val="multilevel"/>
    <w:tmpl w:val="76D2EED4"/>
    <w:lvl w:ilvl="0">
      <w:start w:val="1"/>
      <w:numFmt w:val="low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741B04"/>
    <w:multiLevelType w:val="multilevel"/>
    <w:tmpl w:val="5592518C"/>
    <w:lvl w:ilvl="0">
      <w:start w:val="1"/>
      <w:numFmt w:val="bullet"/>
      <w:lvlText w:val="■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3A743E"/>
    <w:multiLevelType w:val="multilevel"/>
    <w:tmpl w:val="792C311E"/>
    <w:lvl w:ilvl="0">
      <w:start w:val="1"/>
      <w:numFmt w:val="lowerLetter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91780E"/>
    <w:multiLevelType w:val="multilevel"/>
    <w:tmpl w:val="0E646CBC"/>
    <w:lvl w:ilvl="0">
      <w:start w:val="1"/>
      <w:numFmt w:val="low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825B0E"/>
    <w:multiLevelType w:val="multilevel"/>
    <w:tmpl w:val="CE9857EE"/>
    <w:lvl w:ilvl="0">
      <w:start w:val="1"/>
      <w:numFmt w:val="upp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0E647C"/>
    <w:multiLevelType w:val="multilevel"/>
    <w:tmpl w:val="518E14C0"/>
    <w:lvl w:ilvl="0">
      <w:start w:val="1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55071E"/>
    <w:multiLevelType w:val="multilevel"/>
    <w:tmpl w:val="72E63F22"/>
    <w:lvl w:ilvl="0">
      <w:start w:val="1"/>
      <w:numFmt w:val="lowerLetter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30"/>
    <w:rsid w:val="0068406B"/>
    <w:rsid w:val="00A93030"/>
    <w:rsid w:val="00D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B4D73A-B42B-40CA-9DBC-EFBB8F4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color w:val="EBEBEB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rbel" w:eastAsia="Corbel" w:hAnsi="Corbel" w:cs="Corbel"/>
      <w:b w:val="0"/>
      <w:bCs w:val="0"/>
      <w:i w:val="0"/>
      <w:iCs w:val="0"/>
      <w:smallCaps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pacing w:after="580"/>
      <w:outlineLvl w:val="0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after="140"/>
      <w:ind w:left="470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7"/>
      <w:szCs w:val="17"/>
    </w:rPr>
  </w:style>
  <w:style w:type="paragraph" w:customStyle="1" w:styleId="Nadpis30">
    <w:name w:val="Nadpis #3"/>
    <w:basedOn w:val="Normln"/>
    <w:link w:val="Nadpis3"/>
    <w:pPr>
      <w:spacing w:after="70"/>
      <w:ind w:left="920"/>
      <w:outlineLvl w:val="2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Nadpis40">
    <w:name w:val="Nadpis #4"/>
    <w:basedOn w:val="Normln"/>
    <w:link w:val="Nadpis4"/>
    <w:pPr>
      <w:spacing w:after="200" w:line="194" w:lineRule="auto"/>
      <w:outlineLvl w:val="3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Jin0">
    <w:name w:val="Jiné"/>
    <w:basedOn w:val="Normln"/>
    <w:link w:val="Jin"/>
    <w:pPr>
      <w:spacing w:after="100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Verdana" w:eastAsia="Verdana" w:hAnsi="Verdana" w:cs="Verdana"/>
      <w:b/>
      <w:bCs/>
      <w:color w:val="EBEBEB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42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pacing w:after="440"/>
      <w:jc w:val="center"/>
    </w:pPr>
    <w:rPr>
      <w:rFonts w:ascii="Corbel" w:eastAsia="Corbel" w:hAnsi="Corbel" w:cs="Corbel"/>
      <w:smallCaps/>
    </w:rPr>
  </w:style>
  <w:style w:type="paragraph" w:styleId="Zhlav">
    <w:name w:val="header"/>
    <w:basedOn w:val="Normln"/>
    <w:link w:val="ZhlavChar"/>
    <w:uiPriority w:val="99"/>
    <w:unhideWhenUsed/>
    <w:rsid w:val="00684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06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684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tomas.hliva@teche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1717</Words>
  <Characters>10137</Characters>
  <Application>Microsoft Office Word</Application>
  <DocSecurity>0</DocSecurity>
  <Lines>84</Lines>
  <Paragraphs>23</Paragraphs>
  <ScaleCrop>false</ScaleCrop>
  <Company/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S25C-0i25013006020</dc:title>
  <dc:subject/>
  <dc:creator>Houstova</dc:creator>
  <cp:keywords/>
  <cp:lastModifiedBy>Ondřej Šabata</cp:lastModifiedBy>
  <cp:revision>2</cp:revision>
  <dcterms:created xsi:type="dcterms:W3CDTF">2025-02-21T12:52:00Z</dcterms:created>
  <dcterms:modified xsi:type="dcterms:W3CDTF">2025-02-21T12:54:00Z</dcterms:modified>
</cp:coreProperties>
</file>